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F3AE0"/>
    <w:p w14:paraId="7DE21E5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C937F37">
      <w:pPr>
        <w:spacing w:line="540" w:lineRule="exact"/>
        <w:jc w:val="center"/>
        <w:rPr>
          <w:rFonts w:ascii="华文中宋" w:hAnsi="华文中宋" w:eastAsia="华文中宋" w:cs="宋体"/>
          <w:b/>
          <w:kern w:val="0"/>
          <w:sz w:val="52"/>
          <w:szCs w:val="52"/>
        </w:rPr>
      </w:pPr>
    </w:p>
    <w:p w14:paraId="339132D2">
      <w:pPr>
        <w:spacing w:line="540" w:lineRule="exact"/>
        <w:jc w:val="center"/>
        <w:rPr>
          <w:rFonts w:ascii="华文中宋" w:hAnsi="华文中宋" w:eastAsia="华文中宋" w:cs="宋体"/>
          <w:b/>
          <w:kern w:val="0"/>
          <w:sz w:val="52"/>
          <w:szCs w:val="52"/>
        </w:rPr>
      </w:pPr>
    </w:p>
    <w:p w14:paraId="308D4002">
      <w:pPr>
        <w:spacing w:line="540" w:lineRule="exact"/>
        <w:jc w:val="center"/>
        <w:rPr>
          <w:rFonts w:ascii="华文中宋" w:hAnsi="华文中宋" w:eastAsia="华文中宋" w:cs="宋体"/>
          <w:b/>
          <w:kern w:val="0"/>
          <w:sz w:val="52"/>
          <w:szCs w:val="52"/>
        </w:rPr>
      </w:pPr>
    </w:p>
    <w:p w14:paraId="7502E259">
      <w:pPr>
        <w:spacing w:line="540" w:lineRule="exact"/>
        <w:jc w:val="center"/>
        <w:rPr>
          <w:rFonts w:ascii="华文中宋" w:hAnsi="华文中宋" w:eastAsia="华文中宋" w:cs="宋体"/>
          <w:b/>
          <w:kern w:val="0"/>
          <w:sz w:val="52"/>
          <w:szCs w:val="52"/>
        </w:rPr>
      </w:pPr>
    </w:p>
    <w:p w14:paraId="6704589C">
      <w:pPr>
        <w:spacing w:line="540" w:lineRule="exact"/>
        <w:jc w:val="center"/>
        <w:rPr>
          <w:rFonts w:ascii="华文中宋" w:hAnsi="华文中宋" w:eastAsia="华文中宋" w:cs="宋体"/>
          <w:b/>
          <w:kern w:val="0"/>
          <w:sz w:val="52"/>
          <w:szCs w:val="52"/>
        </w:rPr>
      </w:pPr>
    </w:p>
    <w:p w14:paraId="625FF57F">
      <w:pPr>
        <w:spacing w:line="540" w:lineRule="exact"/>
        <w:jc w:val="center"/>
        <w:rPr>
          <w:rFonts w:ascii="华文中宋" w:hAnsi="华文中宋" w:eastAsia="华文中宋" w:cs="宋体"/>
          <w:b/>
          <w:kern w:val="0"/>
          <w:sz w:val="52"/>
          <w:szCs w:val="52"/>
        </w:rPr>
      </w:pPr>
    </w:p>
    <w:p w14:paraId="020E328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093C7A4">
      <w:pPr>
        <w:spacing w:line="540" w:lineRule="exact"/>
        <w:jc w:val="center"/>
        <w:rPr>
          <w:rFonts w:ascii="华文中宋" w:hAnsi="华文中宋" w:eastAsia="华文中宋" w:cs="宋体"/>
          <w:b/>
          <w:kern w:val="0"/>
          <w:sz w:val="52"/>
          <w:szCs w:val="52"/>
        </w:rPr>
      </w:pPr>
    </w:p>
    <w:p w14:paraId="3D221EF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CF8893F">
      <w:pPr>
        <w:spacing w:line="540" w:lineRule="exact"/>
        <w:jc w:val="center"/>
        <w:rPr>
          <w:rFonts w:hAnsi="宋体" w:eastAsia="仿宋_GB2312" w:cs="宋体"/>
          <w:kern w:val="0"/>
          <w:sz w:val="30"/>
          <w:szCs w:val="30"/>
        </w:rPr>
      </w:pPr>
    </w:p>
    <w:p w14:paraId="31541D30">
      <w:pPr>
        <w:spacing w:line="540" w:lineRule="exact"/>
        <w:jc w:val="center"/>
        <w:rPr>
          <w:rFonts w:hAnsi="宋体" w:eastAsia="仿宋_GB2312" w:cs="宋体"/>
          <w:kern w:val="0"/>
          <w:sz w:val="30"/>
          <w:szCs w:val="30"/>
        </w:rPr>
      </w:pPr>
    </w:p>
    <w:p w14:paraId="7C7B4DBD">
      <w:pPr>
        <w:spacing w:line="540" w:lineRule="exact"/>
        <w:jc w:val="center"/>
        <w:rPr>
          <w:rFonts w:hAnsi="宋体" w:eastAsia="仿宋_GB2312" w:cs="宋体"/>
          <w:kern w:val="0"/>
          <w:sz w:val="30"/>
          <w:szCs w:val="30"/>
        </w:rPr>
      </w:pPr>
    </w:p>
    <w:p w14:paraId="1DCCC273">
      <w:pPr>
        <w:spacing w:line="540" w:lineRule="exact"/>
        <w:jc w:val="center"/>
        <w:rPr>
          <w:rFonts w:hAnsi="宋体" w:eastAsia="仿宋_GB2312" w:cs="宋体"/>
          <w:kern w:val="0"/>
          <w:sz w:val="30"/>
          <w:szCs w:val="30"/>
        </w:rPr>
      </w:pPr>
    </w:p>
    <w:p w14:paraId="6D2361B9">
      <w:pPr>
        <w:spacing w:line="540" w:lineRule="exact"/>
        <w:rPr>
          <w:rFonts w:hAnsi="宋体" w:eastAsia="仿宋_GB2312" w:cs="宋体"/>
          <w:kern w:val="0"/>
          <w:sz w:val="30"/>
          <w:szCs w:val="30"/>
        </w:rPr>
      </w:pPr>
    </w:p>
    <w:p w14:paraId="100A8CD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29CA97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街办及6个社区运转经费</w:t>
      </w:r>
    </w:p>
    <w:p w14:paraId="27A367C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新疆维吾尔自治区和田地区民丰县祥民街道博斯坦路社区居民委员会</w:t>
      </w:r>
    </w:p>
    <w:p w14:paraId="1F38222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新疆维吾尔自治区和田地区民丰县祥民街道博斯坦路社区居民委员会</w:t>
      </w:r>
    </w:p>
    <w:p w14:paraId="68EEEFA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穆合塔尔·麦麦提</w:t>
      </w:r>
    </w:p>
    <w:p w14:paraId="22059832">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2025年04月03日</w:t>
      </w:r>
    </w:p>
    <w:p w14:paraId="2B3D4741">
      <w:pPr>
        <w:spacing w:line="700" w:lineRule="exact"/>
        <w:ind w:firstLine="708" w:firstLineChars="236"/>
        <w:jc w:val="left"/>
        <w:rPr>
          <w:rFonts w:hAnsi="宋体" w:eastAsia="仿宋_GB2312" w:cs="宋体"/>
          <w:kern w:val="0"/>
          <w:sz w:val="30"/>
          <w:szCs w:val="30"/>
        </w:rPr>
      </w:pPr>
    </w:p>
    <w:p w14:paraId="77D0A571">
      <w:pPr>
        <w:spacing w:line="540" w:lineRule="exact"/>
        <w:rPr>
          <w:rStyle w:val="19"/>
          <w:rFonts w:ascii="黑体" w:hAnsi="黑体" w:eastAsia="黑体"/>
          <w:b w:val="0"/>
          <w:spacing w:val="-4"/>
          <w:sz w:val="32"/>
          <w:szCs w:val="32"/>
        </w:rPr>
      </w:pPr>
    </w:p>
    <w:p w14:paraId="00CEFFD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93112B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2EE0AC0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（1）指导、帮助社区居委会开展组织建设、制度建设和其它工作；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（2）负责本辖区社区建设、管理和服务工作；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（3）做好社会救助和</w:t>
      </w:r>
      <w:bookmarkStart w:id="0" w:name="_GoBack"/>
      <w:bookmarkEnd w:id="0"/>
      <w:r>
        <w:rPr>
          <w:rStyle w:val="19"/>
          <w:rFonts w:hint="eastAsia" w:ascii="楷体" w:hAnsi="楷体" w:eastAsia="楷体"/>
          <w:b w:val="0"/>
          <w:bCs w:val="0"/>
          <w:spacing w:val="-4"/>
          <w:sz w:val="32"/>
          <w:szCs w:val="32"/>
        </w:rPr>
        <w:t>其他社会保障工作；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（4）执行本辖区内经济和社会发展计划、财政预算，管理本辖区内的社会事务管理、劳动和社会保障、计划生育、环境保护、文化、卫生、安全生产、计划生育等行政工作；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（5）负责维护本辖区内社会秩序稳定，做好社会治安综合治理和人民调解工作；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（6）维护老年人、未成年人、妇女、残疾人等的合法权益；开展拥军优属，做好国防动员和兵役工作；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（7）配合做好防灾救灾工作；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（8）向区人民政府反映居民的意见和要求，处理群众来信来访事项以及办理区人民政府交办的事项。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实施主体：祥民街道办事处。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实施时间：本项目实施期限为2024年1月—2024年12月。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我单位严格按照国家财经法规、预算资金管理办法、财务管理制度以及专项资金管理办法的规定，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本项目预算安排总额为175万元，资金来源为财政拨款资金），其中：财政资金175万元，其他资金0万元，2024年实际收到预算资金175万元，预算资金到位率为100 %。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本项目实际支付资金171.69万元，预算执行率98.11%。本项目资金主要用于支付办公费费用84.96万元、邮电费18.83万元、取暖费25万元、差旅费10万元等。</w:t>
      </w:r>
    </w:p>
    <w:p w14:paraId="04D9FB4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520CD3C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合理支出办公费、水费、电费、邮电费、取暖费、差旅费、维修（护）费、劳务费、其他交通费用等，保障街办及6个社区正常运转。</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项目前期准备工作：前期对比2024年支出情况，统计办公费、水费、电费、邮电费、取暖费、差旅费、维修（护）费、劳务费、其他交通费的比例，并结合最新的文件要求对今年的运转经费进行调整。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项目实施：按照月份要求6月底之前支付50%，12月底前支付100%。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项目完成：按照月份要求6月底之前支付50%，12月底前支付100%。</w:t>
      </w:r>
    </w:p>
    <w:p w14:paraId="379F932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3735FE4">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4F71FB2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（一）绩效评价的目的、对象和范围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祥民街道及6个社区运转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此次我单位根据《财政支出绩效评价管理暂行办法》（财预〔2020〕10号）文件要求实施评价工作，本次评价对象为祥民街道及6个社区运转经费支出项目，评价核心为项目的资金投入、产出及效益。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4740075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3F3ABE9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 成本效益分析法 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资金使用合规性：文献法、实地勘察法，一是查找资金管理办法，包括专项资金管理办法和单位自有资金管理办法；二是通过查账了解具体开支情况，是否专用专用，是否按照标准支出。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A9D405F">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4199B2E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1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董振昊（评价小组组长）：主要负责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阿依古丽（评价小组组员）：主要负责收集资料，攥写绩效评价各项材料;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1月1日-1月31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2025年2月1日-2月28日，评价小组按照绩效评价的原则和规范，对取得的资料进行审查核实，对采集的数据进行分析，按照绩效评价指标评分表逐项进行打分、分析、汇总各方评价结果。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2025年3月1日-5月31日评价小组撰写绩效评价报告，按照新疆维吾尔自治区财政绩效管理信息系统绩效评价模块中统一格式和文本框架撰写绩效评价报告并提交审核。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18820D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70BD55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99.91分，绩效评级为“优秀”。综合评价结论如下：本项目共设置三级指标数量18个，实现三级指标数量17个，总体完成率为100%。项目决策类指标共设置6个，满分指标6个，得分率100.00%；过程管理类指标共设置5个，满分指标4个，得分率99.53%；项目产出类指标共设置5个，满分指标5个，得分率100.00%；项目效益类指标共设置2个，满分指标2个，得分率100.00%，详细情况见“附件2：项目综合得分表”。</w:t>
      </w:r>
    </w:p>
    <w:p w14:paraId="5090556C">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4FB2A8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3568AB57">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项目决策类指标由3个二级指标和6个三级指标构成，权重分21分，实际得分21分。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属于我单位履职所需；根据《财政资金直接支付申请书》，本项目资金性质为“公共财政预算”功能分类为“一般公共预算支出”经济分类为“行政运行”属于公共财政支持范围，符合中央、地方事权支出责任划分原则；经检查我单位财政应用平台指标，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础建设类模版：本项目根据民财预2024年1号文件要求，我单位上报《关于运转经费的请示》，经财政领导小组审核，下发批复文件，本项目正式设立。经查看，该项目立项过程产生的相关文件，符合相关要求。本项目为基础建设类项目，属于经常性项目，不涉及事前绩效评估和风险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已设置年度绩效目标，具体内容为“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本项目实际工作内容为：截止2024年12月31日，本项目实际支出资金171.69万元，预算执行率为98.11%。绩效目标与实际工作内容一致，两者具有相关性;本项目按照绩效目标完成了数量指标、质量指标、时效指标、成本指标，有效满足了正常的经费运转，年度绩效目标完成，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对于目标设定需要分科室单位分解,汇总后制定整体目标，如何科学整合全单位绩效目标比较困难；目标设定后如何科学设定考核评价标准，特别是对于不能量化的目标如何评价。，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预算申请内容为和项目实际内容为匹配；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175万元，我单位在预算申请中严格按照单位标准和数量进行核算，其中：单位标准为25万元，数量为7个。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运转资金的请示》和街办及6个社区运转经费项目实施方案》为依据进行资金分配，预算资金分配依据充分。根据民财预2024年1号文件显示，本项目实际到位资金175万元，实际分配资金与我单位提交申请的资金额度一致，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综上所述，本指标满分为2分，根据评分标准得2分，本项目资金分配合理。</w:t>
      </w:r>
      <w:r>
        <w:rPr>
          <w:rStyle w:val="19"/>
          <w:rFonts w:hint="eastAsia" w:ascii="楷体" w:hAnsi="楷体" w:eastAsia="楷体"/>
          <w:b w:val="0"/>
          <w:bCs w:val="0"/>
          <w:spacing w:val="-4"/>
          <w:sz w:val="32"/>
          <w:szCs w:val="32"/>
          <w:lang w:eastAsia="zh-CN"/>
        </w:rPr>
        <w:tab/>
      </w:r>
    </w:p>
    <w:p w14:paraId="0E31D2ED">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3B40D00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本项目预算资金为175万元，其中：本级财政安排资金175万元，其他资金0万元，实际到位资金175万元，资金到位率100%。得分4分。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本项目实际支出资金171.69万元，预算执行率98.11%。得分4.91分。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综上所述，本指标满分为5分，根据评分标准得4.91分，本项目资金分配合理。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祥民街道博斯坦路社区资金管理办法》《祥民街道博斯坦路社区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祥民街道博斯坦路社区资金管理办法》、《祥民街道博斯坦路社区收支业务管理制度》、《祥民街道博斯坦路社区政府采购业务管理制度》、《祥民街道博斯坦路社区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街办及6个社区运转经费项目工作领导小组，由党组书记齐疆任组长，负责项目的组织工作；古丽博斯坦任副组长，负责项目的实施工作；组员包括：董振昊和阿依古丽，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综上所述，本指标满分为4分，根据评分标准得4分，本项目所建立制度执行有效。</w:t>
      </w:r>
    </w:p>
    <w:p w14:paraId="3680CDF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1A858F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项目产出类指标由3个二级指标和5个三级指标构成，权重分20分，实际得分20分。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"保障街办数量:预期指标值为=1个，实际完成值为 1个,指标完成率为100%。"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"保障社区数量:预期指标值为=6个，实际完成值为 6个,指标完成率为100%。"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“保障街办、社区正常运转率：预期指标值为=100%，实际完成指标值为=100%，指标完成率为100%。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“资金支付及时率”指标：预期指标值为=100%，实际完成指标值为=100%，指标完成率为100%。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“项目完成时间”：预期指标值为2024年12月，实际完成指标值为2024年12月，指标完成率为100%。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w:t>
      </w:r>
    </w:p>
    <w:p w14:paraId="2F6A4D5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5DC49D2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项目效益类指标由2个二级指标和2个三级指标构成，权重分40分，实际得分40分。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“加强基层社会管理和服务”指标：预期指标值为有效加强，实际完成指标值为基本达成预期目标，指标完成率为100%。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4.可持续影响完成情况分析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5.满意度指标完成情况分析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“居民满意度”指标：预期指标值为&gt;=95%，实际完成指标值为=95%，指标完成率为100%。</w:t>
      </w:r>
    </w:p>
    <w:p w14:paraId="2AB504D1">
      <w:pPr>
        <w:spacing w:line="540" w:lineRule="exact"/>
        <w:ind w:firstLine="567"/>
        <w:rPr>
          <w:rStyle w:val="19"/>
          <w:rFonts w:hint="eastAsia" w:ascii="楷体" w:hAnsi="楷体" w:eastAsia="楷体"/>
          <w:spacing w:val="-4"/>
          <w:sz w:val="32"/>
          <w:szCs w:val="32"/>
        </w:rPr>
      </w:pPr>
    </w:p>
    <w:p w14:paraId="61A7C39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004BB0BD">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本项目年初预算资金总额为175万元，全年预算175万元，全年执行数为171.69万元，预算执行率为98.11%。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本项目共设置三级指标数量7个，满分指标数量7个，扣分指标数量0个，经分析计算所有三级指标完成率得出，本项目总体完成率为100%。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综上所述本项目预算执行率与总体完成率之间的偏差为1.89%。</w:t>
      </w:r>
    </w:p>
    <w:p w14:paraId="70079FF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62629B38">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从源头上强化对专项资金预算管理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实行专项资金预算管理，结合单位实际, 按轻重缓急统筹安排编制预算,提高预算编制科学性和合理性,优化资金结构。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按时间进度分解资金使用计划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专项资金的使用，要事前做计划，事中进行控制，事后总结提高。合理安排资金使用,充分体现资金投向的目标和效益。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进一步提高绩效管理水平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效评价的结果,不断提升预算管理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加强新行政单位会计制度和新预算法学习培训，规范账务处理，加强新《中华人民共和国预算法》、《行政单位会计制度》 、《会计法》 、《行政单位财务规则》等学习培训,规范单位预算收支核算。制定和完善基本支出、项目支出等各项支出标准,严格按项目和进度执行预算, 增强预算的约束力和严肃性；落实预算执行分析,及时了解预算执行差异,合理调整、纠正预算执行偏差，切实提高单位预算收支管理水平。尽可能地做到决算与预算相衔接。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完善管理制度,进一步加强资产管理严格按照《固定资产管理办法》的规定加强固定资产管理,及时登记、更新台账，加强资产卡片管理,对各类实物资产进行全面盘点,确保账账、账实相符。</w:t>
      </w:r>
    </w:p>
    <w:p w14:paraId="00CAB1A4">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4B32B17D">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加强学习如何科学合理制定绩效目标及考核体系，充分发挥绩效工作效用。财务上，会计核算要更加详细，为本单位各项工作的开展、总结、评估提供有效数据资料支撑,为各项业务工作更好的开展提供帮助。</w:t>
      </w:r>
    </w:p>
    <w:p w14:paraId="6F76261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190F9CC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民财预2024年1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69B6EDCD">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939408-B6BA-4DEA-95B4-84BCD8A9D7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00D6FEF-12DE-4046-BA7E-9D373603344C}"/>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4F27CBA5-2324-4DF4-8AD3-B64215EE12B9}"/>
  </w:font>
  <w:font w:name="华文中宋">
    <w:panose1 w:val="02010600040101010101"/>
    <w:charset w:val="86"/>
    <w:family w:val="auto"/>
    <w:pitch w:val="default"/>
    <w:sig w:usb0="00000287" w:usb1="080F0000" w:usb2="00000000" w:usb3="00000000" w:csb0="0004009F" w:csb1="DFD70000"/>
    <w:embedRegular r:id="rId4" w:fontKey="{904DE681-080B-4056-947F-B254CFC42B00}"/>
  </w:font>
  <w:font w:name="方正小标宋_GBK">
    <w:panose1 w:val="02000000000000000000"/>
    <w:charset w:val="86"/>
    <w:family w:val="script"/>
    <w:pitch w:val="default"/>
    <w:sig w:usb0="A00002BF" w:usb1="38CF7CFA" w:usb2="00082016" w:usb3="00000000" w:csb0="00040001" w:csb1="00000000"/>
    <w:embedRegular r:id="rId5" w:fontKey="{EDA519E9-6C64-42C1-908B-59794756F6EC}"/>
  </w:font>
  <w:font w:name="仿宋_GB2312">
    <w:panose1 w:val="02010609030101010101"/>
    <w:charset w:val="86"/>
    <w:family w:val="modern"/>
    <w:pitch w:val="default"/>
    <w:sig w:usb0="00000001" w:usb1="080E0000" w:usb2="00000000" w:usb3="00000000" w:csb0="00040000" w:csb1="00000000"/>
    <w:embedRegular r:id="rId6" w:fontKey="{1CC34FBD-6601-4155-81F1-2163D422A802}"/>
  </w:font>
  <w:font w:name="楷体">
    <w:panose1 w:val="02010609060101010101"/>
    <w:charset w:val="86"/>
    <w:family w:val="modern"/>
    <w:pitch w:val="default"/>
    <w:sig w:usb0="800002BF" w:usb1="38CF7CFA" w:usb2="00000016" w:usb3="00000000" w:csb0="00040001" w:csb1="00000000"/>
    <w:embedRegular r:id="rId7" w:fontKey="{60539FEB-B78C-4AA8-834C-18F995A856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13A9C55A">
        <w:pPr>
          <w:pStyle w:val="12"/>
          <w:jc w:val="center"/>
        </w:pPr>
        <w:r>
          <w:fldChar w:fldCharType="begin"/>
        </w:r>
        <w:r>
          <w:instrText xml:space="preserve">PAGE   \* MERGEFORMAT</w:instrText>
        </w:r>
        <w:r>
          <w:fldChar w:fldCharType="separate"/>
        </w:r>
        <w:r>
          <w:rPr>
            <w:lang w:val="zh-CN"/>
          </w:rPr>
          <w:t>1</w:t>
        </w:r>
        <w:r>
          <w:fldChar w:fldCharType="end"/>
        </w:r>
      </w:p>
    </w:sdtContent>
  </w:sdt>
  <w:p w14:paraId="67ACD78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4EE949D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Props1.xml><?xml version="1.0" encoding="utf-8"?>
<ds:datastoreItem xmlns:ds="http://schemas.openxmlformats.org/officeDocument/2006/customXml" ds:itemID="{67e1e210-5309-4550-ab85-5fd1e1277e50}">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8504</Words>
  <Characters>8841</Characters>
  <Lines>5</Lines>
  <Paragraphs>1</Paragraphs>
  <TotalTime>137</TotalTime>
  <ScaleCrop>false</ScaleCrop>
  <LinksUpToDate>false</LinksUpToDate>
  <CharactersWithSpaces>8861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2025-09-24T10:36:43Z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C734C92AAAF24344A0E4232D8EB3359B</vt:lpwstr>
  </property>
</Properties>
</file>