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民丰县科技人才创新合作资金项目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w:t>
      </w:r>
      <w:r>
        <w:rPr>
          <w:rStyle w:val="Strong"/>
          <w:rFonts w:ascii="楷体" w:eastAsia="楷体" w:hAnsi="楷体" w:hint="eastAsia"/>
          <w:spacing w:val="-4"/>
          <w:sz w:val="28"/>
          <w:szCs w:val="28"/>
        </w:rPr>
        <w:t xml:space="preserve">县发展和改革委员会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民丰县发展改革委员会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孟凡超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科技兴县多种合作机制到组织实施科技项目引育科技人才，从搭建创新平台到深化“放管服”改革释放人才活力民丰县近年来也在多措并举优化人才发展环境，完善服务保障措施，理顺引进机制，破除束缚科技人才发展的“藩篱”。但是目前民丰县在科技人才创新合作方面还存在很多不足之处，因此本项目计划引入3家专业的第三方合作机构为民丰县政府提供科技人才创新服务,如提供援疆项目第三方全过程跟踪服务及管理工作，提供中央预算内项目以及其他项目的全过程跟踪服务及管理工作，开展科技帮扶、全域科普等活动，以此推动民丰县科学技术的快速发展。从科技兴县多种合作机制到组织实施科技项目引育科技人才，从搭建创新平台到深化“放管服”改革释放人才活力民丰县近年来也在多措并举优化人才发展环境，完善服务保障措施，理顺引进机制，破除束缚科技人才发展的“藩篱”。但是目前民丰县在科技人才创新合作方面还存在很多不足之处，因此本项目计划引入3家专业的第三方合作机构为民丰县政府提供科技人才创新服务,如提供援疆项目第三方全过程跟踪服务及管理工作，提供中央预算内项目以及其他项目的全过程跟踪服务及管理工作，开展科技帮扶、全域科普等活动，以此推动民丰县科学技术的快速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本项目主要聘请专业机构开展以下活动：（1）援疆项目第三方全过程跟踪服务及管理工作；（2）中央预算内项目以及其他项目的全过程跟踪服务及管理工作。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实施主体：民丰县发展和改革委员会。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实施时间：本项目实施期限为2024年4月—2024年11月。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4月15日完成审批，4月底完成招投标，5月初开工建设，10月底完工。通过项目的实施，对于提升对口援疆综合效益、强化产业发展规划的战略导向作用、强化中国共产党的执政根基、推动科技创新发展、提升综合竞争力、培养创新人才、驱动产业升级、推动社会进步、增强可持续发展能力都具有重要的意义。综上所述，本项目政策性强，建设条件成熟，建设方案合理，规模适度，社会效益显著。因此，本项目的建设是切实可行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本项目预算安排总额为100万元，资金来源为援疆资金。预算资金到位率为100%。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本项目实际支付资金96.12万元，预算执行率96.12%。结余资金3.88万元。本项目资金主要用于支付工程服务费用94.32万元、前期费用1.8万元。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民发改字【2024】64号文件要求，实施本项目。主要内容：聘请一家第三方机构完成援疆项目第三方全过程跟踪服务及管理工作；中央预算内项目以及其他项目的全过程跟踪服务及管理工作。通过项目实施，有效提高援疆项目的实施效率和成果质量引入业第三方专业服务机构；机构负责民丰县2024年援疆项目第三方全过程跟踪服务及管理工作；机构负责民丰县2024年中央预算内项目以及其他项目的全过程跟踪服务及管理工作。项目投入总成本100万元。其中：1、工程费用96.13万元，其中（1）援疆项目第三方全过程跟踪服务及管理费用50万元；（2）中央预算内项目以及其他项目的全过程跟踪服务及管理费用46.1万元；2、工程其他费用2.90万元。3、预备费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项目前期准备工作：4月15日完成审批，4月底完成招投标。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项目实施：2024年4月完成审批，4月底完成招投标并开工建设，11月份完成目标任并竣工验收。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项目完成：2024年4月完成审批，4月底完成招投标并开工建设，11月份完成目标任并竣工验收。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科技人才创新合作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此次我单位根据《财政支出绩效评价管理暂行办法》（财预〔2020〕10号）文件要求实施评价工作，本次评价对象为民丰县科技人才创新合作资金项目，评价核心为项目的资金投入、产出及效益。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孟凡超：主要负责项目全过程监管;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艾合麦提江（评价小组组员）：主要负责审批，招投标事项及签订合同;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吐尼沙汗·买托合提（评价小组组员）：主要负责资金拨付的对接。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-3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2025年4月5日-4月10日，评价小组按照绩效评价的原则和规范，对取得的资料进行审查核实，对采集的数据进行分析，按照绩效评价指标评分表逐项进行打分、分析、汇总各方评价结果。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一是：提高投资项目决策水平，为投资主体和投资管理部门提供决策依据；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二是：提高投资效益，避免决策失误带来的损失。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三是：提高项目前期工作质量与效率，避免重复返工造成的资源浪费；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为企业选取优质合作方提供决策依据；咨询机构将根据不同的评估内容和要求，从专业角度，科学地、客观、公正地回答委托方的疑问，评价咨询成果的质量，验证咨询成果数据的合理性，论证分析模型的科学性，向委托方提出明确的评估结论、存在的主要问题及对策措施建议，为投资决策和项目组织实施提供专业咨询意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99.06分，绩效评级为“优”。综合评价结论如下：本项目共设置三级指标数量21个，实现三级指标数量19个，总体完成率为99.27%。项目决策类指标共设置6个，满分指标6个，得分率100%；过程管理类指标共设置5个，满分指标4个，得分率99%；项目产出类指标共设置8个，满分指标7个，得分率96.25%；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《建设项目可行性研究报告增加招标内容以及核准招标事项暂行规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计划字〔2001〕103号文转发的“国家发展计划委员会2001年第9号令”）；《中华人民共和国招标投标法》（1999年8月30日第九届全国人民代表大会常务委员会第十一次会议通过，1999年8月30日中华人民共和国主席令第二十一号公布，自2000年1月1日起施行）；《中华人民共和国招标投标法实施条例》（2012.1.1起实施）；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民丰县科技人才创新合作资金项目实施方案的批复》(民发改字〔2024〕76号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聘请专业机构开展以下活动：（1）援疆项目第三方全过程跟踪服务及管理工作；（2）中央预算内项目以及其他项目的全过程跟踪服务及管理工作。”；本项目实际工作内容为：截止2024年12月31日，本项目实际支出资金96.12万元，预算执行率为96.12%。实际已于2024年11月已完成；绩效目标与实际工作内容一致，两者具有相关性;本项目按照绩效目标完成了数量指标、质量指标、时效指标、成本指标，有效合理，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10个，定量指标6个，定性指标2个，指标量化率为80%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本项目预算编制支付第三方管理服务费用96.13万元，其他费用 2.88万元，预备费用0.99万元。即预算编制较科学且经过论证；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聘请专业机构开展以下活动：（1）援疆项目第三方全过程跟踪服务及管理工作；（2）中央预算内项目以及其他项目的全过程跟踪服务及管理工作。项目实际内容为聘请专业机构开展以下活动：（1）援疆项目第三方全过程跟踪服务及管理工作；（2）中央预算内项目以及其他项目的全过程跟踪服务及管理工作，预算申请与《民丰县科技人才创新合作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万元，我单位在预算申请中严格按照单位标准和数量进行核算，其中：单位标准为100万元，数量为1个。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民丰县科技人才创新合作资金项目项目资金的请示》和《民丰县科技人才创新合作资金项目项目实施方案》为依据进行资金分配，预算资金分配依据充分。根据《民财预【2024】1号》文件显示，本项目实际到位资金100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项目过程管理类指标由2个二级指标和5个三级指标构成，权重分19分，实际得分18.81分。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本项目实际支出资金96.12万元，预算执行率96.12%。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综上所述，本指标满分为5分，根据评分标准得4.81分，本项目资金分配合理。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发展和改革委员会资金管理办法》《援疆资金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援疆资金资金管理办法》、《民丰县发展和改革委员会收支业务管理制度》、《新疆维吾尔自治区政府采购业务管理制度》、《政府投资项目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1个项目工作领导小组，由党组书记孟凡超任组长，负责项目的组织工作；张国庆任副组长，负责项目的实施工作；组员包括：艾合麦提江和方富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项目产出类指标由4个二级指标和8个三级指标构成，权重分20分，实际得分19.25分。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“聘请第三方数量”:预期指标值为=3家，实际完成值为=3家,指标完成率为100%。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“服务投诉率（%）”指标：预期指标值为&lt;=3%，实际完成指标值为=0%，指标完成率为100%。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“资金支付及时率”指标：预期指标值为&gt;=95%，实际完成指标值为=100%，指标完成率为100%。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“项目完成时间”指标：预期指标值为2024年12月，实际完成指标值为2024年11月，指标完成率为100%。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“支付第三方管理服务费用”指标：预期指标值为&lt;=96.13万元，实际完成指标值为=94.32万元，指标完成率为100%。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“其他费用”指标：预期指标值为&lt;=2.88万元，实际完成指标值为=1.8万元，指标完成率为62.5%。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“预备费用”指标：预期指标值为&lt;=0.99万元，实际完成指标值为=0万元，指标完成率为100%。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“提高援疆项目的实施效率”指标：预期指标值为有效提高，实际完成指标值为基本达成目标，指标完成率为100%。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本项目年初预算资金总额为100万元，全年预算数为100万元，全年执行数为96.12万元，预算执行率为96.12%。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本项目共设置三级指标数量21个，满分指标数量21个，扣分指标数量2个，经分析计算所有三级指标完成率得出，本项目总体完成率为99.27%。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综上所述本项目预算执行率与总体完成率之间的偏差为3.15%。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健全预算项目管理制度，项目前期合理设置内部管理机构和岗位，明确职责权限，注重团队协作，明确业务各个环节流程、时间要求、审批权限等，保障信息对接及时，领导分工明确，事事有人管，件件有人抓，注重风险评估，明确单位内部各个业务归口管理责任，强化预算绩效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二是：严格坚持先做事、后验收、再拨付的原则，基本杜绝了资金被挤占和挪用现象的发生，跟踪检查到位。财政、纪检、监察等职能部门全面参与专项资金事前、事中和事后全过程的监管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预算执行率与总体完成率之间的偏差为3.15%。偏差原因为项目资金支付有结余，预算不够精准，后续将加强预算管理，精准预算。</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1.待进一步提高资金使用效益等角度出发，提出高层次的措施建议，待进一步完善单位内控制度、财务管理、预算管理、资产管理和绩效管理制度。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3.通过绩效管理，发现实施中存在漏洞，以后加强管理，及时掌握与之相关的各类信息，减少成本，使资金效益最大化。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