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民丰县供销合作发展基金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民丰县供销合作社联合社</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民丰县供销合作社联合社</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汤继勇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民丰县供销合作社发展基金</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供销合作发展基金管理办法”由中华全国供销合作社联合社制定，自2018年9月起施行。办法规定合作发展基金是以各及供销合作社出资为基础，联合财政资金、社会资本等设立，用于推动供销合作社改革发展等的资金受益。其资金来源包括供销合作社有资本受益、财政资金等。主要用于供销合作社基层社组织和为农服务项目建设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民丰县供销合作社发展基金主要用于各级基层社和供销社社有企业补助。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实施主体：民丰县供销合作社。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实施时间：本项目实施期限为2024年01月—2024年12月。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实施情况：民丰县供销合作发展基金本项目预算安排总数为1.42万元，资金来源为单位实有资金。支付率100%。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本项目预算安排总数为1.42万元，资金来源为单位实有资金。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本项目实际支付资金1.42万元，预算执行率100%。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民丰县供销合作发展基金年初预算数1.42万元，年底补助企业数量3家，实际支出金额1.42元。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项目前期准备工作：无开展前期准备工作。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项目实施：项目完成：项目支付2024年01月01日开始2024年12月30日结束。项目产出类指标由3个二级指标和6个三级指标构成，权重份90份，实际得分90份。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项目完成：项目支付2024年01月01日开始2024年12月30日结束。项目产出类指标由3个二级指标和6个三级指标构成，权重份90份，实际得分90份。</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资金使用合规率：100；资金发放及时率：100；项目完成时间：2024年12月；政策知晓率：100；保障企业正常运转：有效保障；补助企业满意度：95；补助企业数量：3</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一是：落实政策，做好社有企业补助困难群众救助工作。根据自治区供销社《关于使用供销合作管理办法》的通知，进一步做好提高民丰县供销合作社联合社社有企业补助，及时调整了企业补助标准，有效提升了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社有企业补助工作。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二是：精准识别，切实保障困难群众基本生活。民丰县供销社加强摸底排查、主动及时发现补助需求，切实保障企业补助工作。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5个，满分指标5个，得分率100%；项目效益类指标共设置3个，满分指标3个，得分率100%。详见情况见，附件打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实际分配资金以《关于申请民丰县供销合作方联合社发展基金项目资金的请示》和《民丰县供销合作方联合社发展基金项目实施方案》为依据进行资金分配，预算资金分配依据充分，本项目实际到位资金1.42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本项目预算资金为1.42万元，其中：本级财政安排资金0万元，其他资金1.42万元，实际到位资金1.42万元，资金到位率100%。得分4分。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本项目实际支出资金1.42万元，预算执行率100%。得分5分。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供销社单位资金管理办法》《供销社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供销社资金管理办法》、《单位收支业务管理制度》、《单位政府采购业务管理制度》、《单位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供销合作发展基金项目工作领导小组，由党支部书记赵洪昌任组长，负责项目的组织工作；图尔荪·麦提尼亚孜任副组长，负责项目的实施工作；组员包括：阿依妮萨罕·阿卜杜艾尼和孜乃提罕·乌热依木，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项目产出类指标由4个二级指标和5个三级指标构成，权重分20分，实际得分20分。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补助企业数量:预期指标值为&gt;=3家，实际完成值为=3家,指标完成率为100%。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资金使用合规率，预期指标值为=100%，实际完成值为=100%。指标完成率为100%。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资金发放及时率，预期指标值为=100%，实际完成值=100%。指标完成率为100%。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项目完成时间，年度指标值=2024年12月，实际完成值=2024年12月。指标完成率为100%。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补助企业成本，年度指标值=&lt;=0.47万元/家，实际完成值=&lt;=0.47万元/家。指标完成率为100%。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项目效益类指标由3个二级指标和3个三级指标构成，权重分40分，实际得分40分。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政策知晓率，年度指标值=100%，实际完成值=100%。指标完成率为100%。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“保障企业正常运转”指标：预期指标值为有效保障，实际完成指标值为达到预期指标，指标完成率为100%。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“民丰县供销合作发展基金项目”指标：预期指标值为3，实际完成指标值为3，指标完成率为100%。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“补助企业满意度”指标：预期指标值为&gt;=95%，实际完成指标值为=95%，指标完成率为100%。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六、主要经验及做法、存在的问题及原因分析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一是高度重视。高度重视中央财政绩效评价工作，积极加强部门之间沟通协调，在总结以往工作经验的基础上，按照财政局通知要求，认真开展绩效自评工作。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二是加强政府采购管理。严格履行政府采购程序，规范政府采购行为，加强对政府采购全流程活动的规范管理，推动政府采购相关制度贯彻</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七、有关建议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1、优化预算编制。一是坚持“以事定费”原则，细化项目预算，优化保障性支出。二是建立预算测算机制，结合历史数据、行业标准及部门战略综合测算。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2、强化预算执行。一是加强预算执行监控，严格控制预算调整，确保按批复明细使用资金；二是完善公用经费和</w:t>
      </w:r>
      <w:r>
        <w:rPr>
          <w:rStyle w:val="Strong"/>
          <w:rFonts w:ascii="楷体" w:eastAsia="楷体" w:hAnsi="楷体" w:hint="eastAsia"/>
          <w:b w:val="0"/>
          <w:bCs w:val="0"/>
          <w:spacing w:val="-4"/>
          <w:sz w:val="32"/>
          <w:szCs w:val="32"/>
        </w:rPr>
        <w:t xml:space="preserve">“三公”经费</w:t>
      </w:r>
      <w:r>
        <w:rPr>
          <w:rStyle w:val="Strong"/>
          <w:rFonts w:ascii="楷体" w:eastAsia="楷体" w:hAnsi="楷体" w:hint="eastAsia"/>
          <w:b w:val="0"/>
          <w:bCs w:val="0"/>
          <w:spacing w:val="-4"/>
          <w:sz w:val="32"/>
          <w:szCs w:val="32"/>
        </w:rPr>
        <w:t xml:space="preserve">管理制度，降低刚性支出压力。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3、完善绩效评价。一是科学设定绩效目标，确保数量/质量指标具有关联性、可操作性；二是建立绩效管理资料收集机制，确保评价依据充分。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