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民丰县萨勒吾则克乡中心幼儿园2024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08FB2E">
      <w:r>
        <w:br w:type="page"/>
      </w:r>
    </w:p>
    <w:p w14:paraId="02084BA1">
      <w:pPr>
        <w:spacing w:line="640" w:lineRule="exact"/>
        <w:jc w:val="center"/>
        <w:outlineLvl w:val="1"/>
      </w:pPr>
      <w:r>
        <w:rPr>
          <w:rFonts w:ascii="黑体" w:hAnsi="黑体" w:eastAsia="黑体"/>
          <w:sz w:val="32"/>
        </w:rPr>
        <w:t>第一部分 单位概况</w:t>
      </w:r>
    </w:p>
    <w:p w14:paraId="01E8A8B9">
      <w:pPr>
        <w:spacing w:line="640" w:lineRule="exact"/>
        <w:ind w:firstLine="640"/>
        <w:jc w:val="both"/>
        <w:outlineLvl w:val="2"/>
      </w:pPr>
      <w:r>
        <w:rPr>
          <w:rFonts w:ascii="黑体" w:hAnsi="黑体" w:eastAsia="黑体"/>
          <w:sz w:val="32"/>
        </w:rPr>
        <w:t>一、主要职能</w:t>
      </w:r>
    </w:p>
    <w:p w14:paraId="0E96A59F">
      <w:pPr>
        <w:spacing w:line="580" w:lineRule="exact"/>
        <w:ind w:firstLine="640"/>
        <w:jc w:val="both"/>
      </w:pPr>
      <w:r>
        <w:rPr>
          <w:rFonts w:ascii="仿宋_GB2312" w:hAnsi="仿宋_GB2312" w:eastAsia="仿宋_GB2312"/>
          <w:sz w:val="32"/>
        </w:rPr>
        <w:t>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w:t>
      </w:r>
      <w:r>
        <w:rPr>
          <w:rFonts w:hint="eastAsia" w:ascii="仿宋_GB2312" w:hAnsi="仿宋_GB2312" w:eastAsia="仿宋_GB2312"/>
          <w:sz w:val="32"/>
          <w:lang w:eastAsia="zh-CN"/>
        </w:rPr>
        <w:t>WW</w:t>
      </w:r>
      <w:r>
        <w:rPr>
          <w:rFonts w:ascii="仿宋_GB2312" w:hAnsi="仿宋_GB2312" w:eastAsia="仿宋_GB2312"/>
          <w:sz w:val="32"/>
        </w:rPr>
        <w:t>工作、党建工作、教育教学等日常工作。</w:t>
      </w:r>
    </w:p>
    <w:p w14:paraId="53C2B4E0">
      <w:pPr>
        <w:spacing w:line="640" w:lineRule="exact"/>
        <w:ind w:firstLine="640"/>
        <w:jc w:val="both"/>
        <w:outlineLvl w:val="2"/>
      </w:pPr>
      <w:r>
        <w:rPr>
          <w:rFonts w:ascii="黑体" w:hAnsi="黑体" w:eastAsia="黑体"/>
          <w:sz w:val="32"/>
        </w:rPr>
        <w:t>二、机构设置及人员情况</w:t>
      </w:r>
    </w:p>
    <w:p w14:paraId="7CCB463B">
      <w:pPr>
        <w:spacing w:line="580" w:lineRule="exact"/>
        <w:ind w:firstLine="640"/>
        <w:jc w:val="both"/>
      </w:pPr>
      <w:r>
        <w:rPr>
          <w:rFonts w:ascii="仿宋_GB2312" w:hAnsi="仿宋_GB2312" w:eastAsia="仿宋_GB2312"/>
          <w:sz w:val="32"/>
        </w:rPr>
        <w:t>民丰县萨勒吾则克乡中心幼儿园2024年度，实有人数20人，其中：在职人员18人，增加1人；离休人员0人，增加0人；退休人员2人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4E05D4F0">
      <w:pPr>
        <w:spacing w:line="580" w:lineRule="exact"/>
        <w:ind w:firstLine="640"/>
        <w:jc w:val="both"/>
      </w:pPr>
      <w:r>
        <w:rPr>
          <w:rFonts w:ascii="仿宋_GB2312" w:hAnsi="仿宋_GB2312" w:eastAsia="仿宋_GB2312"/>
          <w:sz w:val="32"/>
        </w:rPr>
        <w:t>民丰县萨勒吾则克乡中心幼儿园无下属预算单位，下设5个科室，分别是：党建办、园长办公室、德育办、后勤办、财务室。</w:t>
      </w:r>
    </w:p>
    <w:p w14:paraId="7208C244">
      <w:r>
        <w:br w:type="page"/>
      </w:r>
    </w:p>
    <w:p w14:paraId="6627579F">
      <w:pPr>
        <w:spacing w:line="240" w:lineRule="auto"/>
        <w:jc w:val="center"/>
        <w:outlineLvl w:val="1"/>
      </w:pPr>
      <w:r>
        <w:rPr>
          <w:rFonts w:ascii="黑体" w:hAnsi="黑体" w:eastAsia="黑体"/>
          <w:sz w:val="32"/>
        </w:rPr>
        <w:t>第二部分 部门决算情况说明</w:t>
      </w:r>
    </w:p>
    <w:p w14:paraId="047DDC6D">
      <w:pPr>
        <w:spacing w:line="640" w:lineRule="exact"/>
        <w:ind w:firstLine="640"/>
        <w:jc w:val="both"/>
        <w:outlineLvl w:val="2"/>
      </w:pPr>
      <w:r>
        <w:rPr>
          <w:rFonts w:ascii="黑体" w:hAnsi="黑体" w:eastAsia="黑体"/>
          <w:sz w:val="32"/>
        </w:rPr>
        <w:t>一、收入支出决算总体情况说明</w:t>
      </w:r>
    </w:p>
    <w:p w14:paraId="69DC890F">
      <w:pPr>
        <w:spacing w:line="580" w:lineRule="exact"/>
        <w:ind w:firstLine="640"/>
        <w:jc w:val="both"/>
      </w:pPr>
      <w:r>
        <w:rPr>
          <w:rFonts w:ascii="仿宋_GB2312" w:hAnsi="仿宋_GB2312" w:eastAsia="仿宋_GB2312"/>
          <w:b/>
          <w:sz w:val="32"/>
        </w:rPr>
        <w:t>2024年度收入总计405.32万元，</w:t>
      </w:r>
      <w:r>
        <w:rPr>
          <w:rFonts w:ascii="仿宋_GB2312" w:hAnsi="仿宋_GB2312" w:eastAsia="仿宋_GB2312"/>
          <w:b w:val="0"/>
          <w:sz w:val="32"/>
        </w:rPr>
        <w:t>其中：本年收入合计405.32万元，使用非财政拨款结余（含专用结余）0.00万元，年初结转和结余0.00万元。</w:t>
      </w:r>
    </w:p>
    <w:p w14:paraId="21000B3C">
      <w:pPr>
        <w:spacing w:line="580" w:lineRule="exact"/>
        <w:ind w:firstLine="640"/>
        <w:jc w:val="both"/>
      </w:pPr>
      <w:r>
        <w:rPr>
          <w:rFonts w:ascii="仿宋_GB2312" w:hAnsi="仿宋_GB2312" w:eastAsia="仿宋_GB2312"/>
          <w:b/>
          <w:sz w:val="32"/>
        </w:rPr>
        <w:t>2024年度支出总计405.32万元，</w:t>
      </w:r>
      <w:r>
        <w:rPr>
          <w:rFonts w:ascii="仿宋_GB2312" w:hAnsi="仿宋_GB2312" w:eastAsia="仿宋_GB2312"/>
          <w:b w:val="0"/>
          <w:sz w:val="32"/>
        </w:rPr>
        <w:t>其中：本年支出合计405.32万元，结余分配0.00万元，年末结转和结余0.00万元。</w:t>
      </w:r>
    </w:p>
    <w:p w14:paraId="6349A493">
      <w:pPr>
        <w:spacing w:line="580" w:lineRule="exact"/>
        <w:ind w:firstLine="640"/>
        <w:jc w:val="both"/>
      </w:pPr>
      <w:r>
        <w:rPr>
          <w:rFonts w:ascii="仿宋_GB2312" w:hAnsi="仿宋_GB2312" w:eastAsia="仿宋_GB2312"/>
          <w:b w:val="0"/>
          <w:sz w:val="32"/>
        </w:rPr>
        <w:t>收入支出总体与上年相比，增加5.83万元，增长1.46%，主要原因是：本年新增在职人员，在职人员工资调增，社保、公积金基数调增，人员经费增加。</w:t>
      </w:r>
    </w:p>
    <w:p w14:paraId="41527E4F">
      <w:pPr>
        <w:spacing w:line="640" w:lineRule="exact"/>
        <w:ind w:firstLine="640"/>
        <w:jc w:val="both"/>
        <w:outlineLvl w:val="2"/>
      </w:pPr>
      <w:r>
        <w:rPr>
          <w:rFonts w:ascii="黑体" w:hAnsi="黑体" w:eastAsia="黑体"/>
          <w:sz w:val="32"/>
        </w:rPr>
        <w:t>二、收入决算情况说明</w:t>
      </w:r>
    </w:p>
    <w:p w14:paraId="22FDB29C">
      <w:pPr>
        <w:spacing w:line="580" w:lineRule="exact"/>
        <w:ind w:firstLine="640"/>
        <w:jc w:val="both"/>
      </w:pPr>
      <w:r>
        <w:rPr>
          <w:rFonts w:ascii="仿宋_GB2312" w:hAnsi="仿宋_GB2312" w:eastAsia="仿宋_GB2312"/>
          <w:b/>
          <w:sz w:val="32"/>
        </w:rPr>
        <w:t>本年收入405.32万元，</w:t>
      </w:r>
      <w:r>
        <w:rPr>
          <w:rFonts w:ascii="仿宋_GB2312" w:hAnsi="仿宋_GB2312" w:eastAsia="仿宋_GB2312"/>
          <w:b w:val="0"/>
          <w:sz w:val="32"/>
        </w:rPr>
        <w:t>其中：财政拨款收入405.32万元，占100.00%；上级补助收入0.00万元，占0.00%；事业收入0.00万元，占0.00%；经营收入0.00万元，占0.00%；附属单位上缴收入0.00万元，占0.00%；其他收入0.00万元，占0.00%。</w:t>
      </w:r>
    </w:p>
    <w:p w14:paraId="14BD2078">
      <w:pPr>
        <w:spacing w:line="640" w:lineRule="exact"/>
        <w:ind w:firstLine="640"/>
        <w:jc w:val="both"/>
        <w:outlineLvl w:val="2"/>
      </w:pPr>
      <w:r>
        <w:rPr>
          <w:rFonts w:ascii="黑体" w:hAnsi="黑体" w:eastAsia="黑体"/>
          <w:sz w:val="32"/>
        </w:rPr>
        <w:t>三、支出决算情况说明</w:t>
      </w:r>
    </w:p>
    <w:p w14:paraId="18453D8F">
      <w:pPr>
        <w:spacing w:line="580" w:lineRule="exact"/>
        <w:ind w:firstLine="640"/>
        <w:jc w:val="both"/>
      </w:pPr>
      <w:r>
        <w:rPr>
          <w:rFonts w:ascii="仿宋_GB2312" w:hAnsi="仿宋_GB2312" w:eastAsia="仿宋_GB2312"/>
          <w:b/>
          <w:sz w:val="32"/>
        </w:rPr>
        <w:t>本年支出405.32万元，</w:t>
      </w:r>
      <w:r>
        <w:rPr>
          <w:rFonts w:ascii="仿宋_GB2312" w:hAnsi="仿宋_GB2312" w:eastAsia="仿宋_GB2312"/>
          <w:b w:val="0"/>
          <w:sz w:val="32"/>
        </w:rPr>
        <w:t>其中：基本支出340.97万元，占84.12%；项目支出64.35万元，占15.88%；上缴上级支出0.00万元，占0.00%；经营支出0.00万元，占0.00%；对附属单位补助支出0.00万元，占0.00%。</w:t>
      </w:r>
    </w:p>
    <w:p w14:paraId="277CA652">
      <w:pPr>
        <w:spacing w:line="640" w:lineRule="exact"/>
        <w:ind w:firstLine="640"/>
        <w:jc w:val="both"/>
        <w:outlineLvl w:val="2"/>
      </w:pPr>
      <w:r>
        <w:rPr>
          <w:rFonts w:ascii="黑体" w:hAnsi="黑体" w:eastAsia="黑体"/>
          <w:sz w:val="32"/>
        </w:rPr>
        <w:t>四、财政拨款收入支出决算总体情况说明</w:t>
      </w:r>
    </w:p>
    <w:p w14:paraId="77AA111F">
      <w:pPr>
        <w:spacing w:line="580" w:lineRule="exact"/>
        <w:ind w:firstLine="640"/>
        <w:jc w:val="both"/>
      </w:pPr>
      <w:r>
        <w:rPr>
          <w:rFonts w:ascii="仿宋_GB2312" w:hAnsi="仿宋_GB2312" w:eastAsia="仿宋_GB2312"/>
          <w:b/>
          <w:sz w:val="32"/>
        </w:rPr>
        <w:t>2024年度财政拨款收入总计405.32万元，</w:t>
      </w:r>
      <w:r>
        <w:rPr>
          <w:rFonts w:ascii="仿宋_GB2312" w:hAnsi="仿宋_GB2312" w:eastAsia="仿宋_GB2312"/>
          <w:b w:val="0"/>
          <w:sz w:val="32"/>
        </w:rPr>
        <w:t>其中：年初财政拨款结转和结余0.00万元，本年财政拨款收入405.32万元。</w:t>
      </w:r>
      <w:r>
        <w:rPr>
          <w:rFonts w:ascii="仿宋_GB2312" w:hAnsi="仿宋_GB2312" w:eastAsia="仿宋_GB2312"/>
          <w:b/>
          <w:sz w:val="32"/>
        </w:rPr>
        <w:t>财政拨款支出总计405.32万元，</w:t>
      </w:r>
      <w:r>
        <w:rPr>
          <w:rFonts w:ascii="仿宋_GB2312" w:hAnsi="仿宋_GB2312" w:eastAsia="仿宋_GB2312"/>
          <w:b w:val="0"/>
          <w:sz w:val="32"/>
        </w:rPr>
        <w:t>其中：年末财政拨款结转和结余0.00万元，本年财政拨款支出405.32万元。</w:t>
      </w:r>
    </w:p>
    <w:p w14:paraId="17669C3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增加5.83万元，增长1.46%，主要原因是：本年新增在职人员，在职人员工资调增，社保、公积金基数调增，人员经费增加。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年初预算数409.14万元，决算数405.32万元，预决算差异率-0.93%，主要原因是：本年幼儿人数减少，年中调减幼儿伙食补助经费。</w:t>
      </w:r>
    </w:p>
    <w:p w14:paraId="405FAE10">
      <w:pPr>
        <w:spacing w:line="640" w:lineRule="exact"/>
        <w:ind w:firstLine="640"/>
        <w:jc w:val="both"/>
        <w:outlineLvl w:val="2"/>
      </w:pPr>
      <w:r>
        <w:rPr>
          <w:rFonts w:ascii="黑体" w:hAnsi="黑体" w:eastAsia="黑体"/>
          <w:sz w:val="32"/>
        </w:rPr>
        <w:t>五、一般公共预算财政拨款支出决算情况说明</w:t>
      </w:r>
    </w:p>
    <w:p w14:paraId="5B55B314">
      <w:pPr>
        <w:spacing w:line="640" w:lineRule="exact"/>
        <w:ind w:firstLine="640"/>
        <w:jc w:val="both"/>
        <w:outlineLvl w:val="3"/>
      </w:pPr>
      <w:r>
        <w:rPr>
          <w:rFonts w:ascii="楷体_GB2312" w:hAnsi="楷体_GB2312" w:eastAsia="楷体_GB2312"/>
          <w:b/>
          <w:sz w:val="32"/>
        </w:rPr>
        <w:t>（一）一般公共预算财政拨款支出决算总体情况</w:t>
      </w:r>
    </w:p>
    <w:p w14:paraId="68826C66">
      <w:pPr>
        <w:spacing w:line="580" w:lineRule="exact"/>
        <w:ind w:firstLine="640"/>
        <w:jc w:val="both"/>
      </w:pPr>
      <w:r>
        <w:rPr>
          <w:rFonts w:ascii="仿宋_GB2312" w:hAnsi="仿宋_GB2312" w:eastAsia="仿宋_GB2312"/>
          <w:b/>
          <w:sz w:val="32"/>
        </w:rPr>
        <w:t>2024年度一般公共预算财政拨款支出405.32万元，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增加5.83万元，增长1.46%，主要原因是：本年新增在职人员，在职人员工资调增，社保、公积金基数调增，人员经费增加。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年初预算数409.14万元，决算数405.32万元，预决算差异率-0.93%，主要原因是：本年幼儿人数减少，年中调减幼儿伙食补助经费。</w:t>
      </w:r>
    </w:p>
    <w:p w14:paraId="302AE315">
      <w:pPr>
        <w:spacing w:line="640" w:lineRule="exact"/>
        <w:ind w:firstLine="640"/>
        <w:jc w:val="both"/>
        <w:outlineLvl w:val="3"/>
      </w:pPr>
      <w:r>
        <w:rPr>
          <w:rFonts w:ascii="楷体_GB2312" w:hAnsi="楷体_GB2312" w:eastAsia="楷体_GB2312"/>
          <w:b/>
          <w:sz w:val="32"/>
        </w:rPr>
        <w:t>（二）一般公共预算财政拨款支出决算结构情况</w:t>
      </w:r>
    </w:p>
    <w:p w14:paraId="532890F4">
      <w:pPr>
        <w:spacing w:line="580" w:lineRule="exact"/>
        <w:ind w:firstLine="640"/>
        <w:jc w:val="both"/>
      </w:pPr>
      <w:r>
        <w:rPr>
          <w:rFonts w:ascii="仿宋_GB2312" w:hAnsi="仿宋_GB2312" w:eastAsia="仿宋_GB2312"/>
          <w:b w:val="0"/>
          <w:sz w:val="32"/>
        </w:rPr>
        <w:t>1.教育支出(类)405.32万元,占100.00%。</w:t>
      </w:r>
    </w:p>
    <w:p w14:paraId="23614375">
      <w:pPr>
        <w:spacing w:line="640" w:lineRule="exact"/>
        <w:ind w:firstLine="640"/>
        <w:jc w:val="both"/>
        <w:outlineLvl w:val="3"/>
      </w:pPr>
      <w:r>
        <w:rPr>
          <w:rFonts w:ascii="楷体_GB2312" w:hAnsi="楷体_GB2312" w:eastAsia="楷体_GB2312"/>
          <w:b/>
          <w:sz w:val="32"/>
        </w:rPr>
        <w:t>（三）一般公共预算财政拨款支出决算具体情况</w:t>
      </w:r>
    </w:p>
    <w:p w14:paraId="0B08E545">
      <w:pPr>
        <w:spacing w:line="580" w:lineRule="exact"/>
        <w:ind w:firstLine="640"/>
        <w:jc w:val="both"/>
      </w:pPr>
      <w:r>
        <w:rPr>
          <w:rFonts w:ascii="仿宋_GB2312" w:hAnsi="仿宋_GB2312" w:eastAsia="仿宋_GB2312"/>
          <w:b w:val="0"/>
          <w:sz w:val="32"/>
        </w:rPr>
        <w:t>1.教育支出(类)普通教育(款)学前教育(项):支出决算数为405.32万元，比上年决算增加5.83万元，增长1.46%,主要原因是：本年新增在职人员，在职人员工资调增，社保、公积金基数调增，人员经费增加。</w:t>
      </w:r>
    </w:p>
    <w:p w14:paraId="4197E15F">
      <w:pPr>
        <w:spacing w:line="640" w:lineRule="exact"/>
        <w:ind w:firstLine="640"/>
        <w:jc w:val="both"/>
        <w:outlineLvl w:val="2"/>
      </w:pPr>
      <w:r>
        <w:rPr>
          <w:rFonts w:ascii="黑体" w:hAnsi="黑体" w:eastAsia="黑体"/>
          <w:sz w:val="32"/>
        </w:rPr>
        <w:t>六、一般公共预算财政拨款基本支出决算情况说明</w:t>
      </w:r>
    </w:p>
    <w:p w14:paraId="2A27C104">
      <w:pPr>
        <w:spacing w:line="580" w:lineRule="exact"/>
        <w:ind w:firstLine="640"/>
        <w:jc w:val="both"/>
      </w:pPr>
      <w:r>
        <w:rPr>
          <w:rFonts w:ascii="仿宋_GB2312" w:hAnsi="仿宋_GB2312" w:eastAsia="仿宋_GB2312"/>
          <w:b w:val="0"/>
          <w:sz w:val="32"/>
        </w:rPr>
        <w:t>2024年度一般公共预算财政拨款基本支出340.97万元，其中：</w:t>
      </w:r>
      <w:r>
        <w:rPr>
          <w:rFonts w:ascii="仿宋_GB2312" w:hAnsi="仿宋_GB2312" w:eastAsia="仿宋_GB2312"/>
          <w:b/>
          <w:sz w:val="32"/>
        </w:rPr>
        <w:t>人员经费340.97万元，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39E2B3D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9327C7E">
      <w:pPr>
        <w:spacing w:line="640" w:lineRule="exact"/>
        <w:ind w:firstLine="640"/>
        <w:jc w:val="both"/>
        <w:outlineLvl w:val="2"/>
      </w:pPr>
      <w:r>
        <w:rPr>
          <w:rFonts w:ascii="黑体" w:hAnsi="黑体" w:eastAsia="黑体"/>
          <w:sz w:val="32"/>
        </w:rPr>
        <w:t>七、政府性基金预算财政拨款收入支出决算情况说明</w:t>
      </w:r>
    </w:p>
    <w:p w14:paraId="6AFDF0E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9988584">
      <w:pPr>
        <w:spacing w:line="640" w:lineRule="exact"/>
        <w:ind w:firstLine="640"/>
        <w:jc w:val="both"/>
        <w:outlineLvl w:val="2"/>
      </w:pPr>
      <w:r>
        <w:rPr>
          <w:rFonts w:ascii="黑体" w:hAnsi="黑体" w:eastAsia="黑体"/>
          <w:sz w:val="32"/>
        </w:rPr>
        <w:t>八、国有资本经营预算财政拨款收入支出决算情况说明</w:t>
      </w:r>
    </w:p>
    <w:p w14:paraId="5C02AF7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F311D9">
      <w:pPr>
        <w:spacing w:line="640" w:lineRule="exact"/>
        <w:ind w:firstLine="640"/>
        <w:jc w:val="both"/>
        <w:outlineLvl w:val="2"/>
      </w:pPr>
      <w:r>
        <w:rPr>
          <w:rFonts w:ascii="黑体" w:hAnsi="黑体" w:eastAsia="黑体"/>
          <w:sz w:val="32"/>
        </w:rPr>
        <w:t>九、财政拨款“三公”经费支出决算情况说明</w:t>
      </w:r>
    </w:p>
    <w:p w14:paraId="01BA3AB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93FA498">
      <w:pPr>
        <w:spacing w:line="580" w:lineRule="exact"/>
        <w:ind w:firstLine="640"/>
        <w:jc w:val="both"/>
      </w:pPr>
      <w:r>
        <w:rPr>
          <w:rFonts w:ascii="仿宋_GB2312" w:hAnsi="仿宋_GB2312" w:eastAsia="仿宋_GB2312"/>
          <w:b/>
          <w:sz w:val="32"/>
        </w:rPr>
        <w:t>具体情况如下：</w:t>
      </w:r>
    </w:p>
    <w:p w14:paraId="7A6CCB7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805338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70B9B4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ECF30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3086DF2">
      <w:pPr>
        <w:spacing w:line="640" w:lineRule="exact"/>
        <w:ind w:firstLine="640"/>
        <w:jc w:val="both"/>
        <w:outlineLvl w:val="2"/>
      </w:pPr>
      <w:r>
        <w:rPr>
          <w:rFonts w:ascii="黑体" w:hAnsi="黑体" w:eastAsia="黑体"/>
          <w:sz w:val="32"/>
        </w:rPr>
        <w:t>十、其他重要事项的情况说明</w:t>
      </w:r>
    </w:p>
    <w:p w14:paraId="75D54E66">
      <w:pPr>
        <w:spacing w:line="640" w:lineRule="exact"/>
        <w:ind w:firstLine="640"/>
        <w:jc w:val="both"/>
        <w:outlineLvl w:val="3"/>
      </w:pPr>
      <w:r>
        <w:rPr>
          <w:rFonts w:ascii="楷体_GB2312" w:hAnsi="楷体_GB2312" w:eastAsia="楷体_GB2312"/>
          <w:b/>
          <w:sz w:val="32"/>
        </w:rPr>
        <w:t>（一）机关运行经费及公用经费支出情况</w:t>
      </w:r>
    </w:p>
    <w:p w14:paraId="6D3556BC">
      <w:pPr>
        <w:spacing w:line="580" w:lineRule="exact"/>
        <w:ind w:firstLine="640"/>
        <w:jc w:val="both"/>
      </w:pPr>
      <w:r>
        <w:rPr>
          <w:rFonts w:ascii="仿宋_GB2312" w:hAnsi="仿宋_GB2312" w:eastAsia="仿宋_GB2312"/>
          <w:b w:val="0"/>
          <w:sz w:val="32"/>
        </w:rPr>
        <w:t>2024年度民丰县萨勒吾则克乡中心幼儿园（事业单位）公用经费支出0.00万元，比上年增加0.00万元，增长0.00%，主要原因是：2023年与2024年均未安排公用经费支出。</w:t>
      </w:r>
    </w:p>
    <w:p w14:paraId="1B6560AD">
      <w:pPr>
        <w:spacing w:line="640" w:lineRule="exact"/>
        <w:ind w:firstLine="640"/>
        <w:jc w:val="both"/>
        <w:outlineLvl w:val="3"/>
      </w:pPr>
      <w:r>
        <w:rPr>
          <w:rFonts w:ascii="楷体_GB2312" w:hAnsi="楷体_GB2312" w:eastAsia="楷体_GB2312"/>
          <w:b/>
          <w:sz w:val="32"/>
        </w:rPr>
        <w:t>（二）政府采购情况</w:t>
      </w:r>
    </w:p>
    <w:p w14:paraId="61A44137">
      <w:pPr>
        <w:spacing w:line="580" w:lineRule="exact"/>
        <w:ind w:firstLine="640"/>
        <w:jc w:val="both"/>
      </w:pPr>
      <w:r>
        <w:rPr>
          <w:rFonts w:ascii="仿宋_GB2312" w:hAnsi="仿宋_GB2312" w:eastAsia="仿宋_GB2312"/>
          <w:b w:val="0"/>
          <w:sz w:val="32"/>
        </w:rPr>
        <w:t>2024年度政府采购支出总额9.24万元，其中：政府采购货物支出7.20万元、政府采购工程支出0.00万元、政府采购服务支出2.04万元。</w:t>
      </w:r>
    </w:p>
    <w:p w14:paraId="32ABFBCA">
      <w:pPr>
        <w:spacing w:line="580" w:lineRule="exact"/>
        <w:ind w:firstLine="640"/>
        <w:jc w:val="both"/>
      </w:pPr>
      <w:r>
        <w:rPr>
          <w:rFonts w:ascii="仿宋_GB2312" w:hAnsi="仿宋_GB2312" w:eastAsia="仿宋_GB2312"/>
          <w:b w:val="0"/>
          <w:sz w:val="32"/>
        </w:rPr>
        <w:t>授予中小企业合同金额9.24万元，占政府采购支出总额的100.00%，其中：授予小微企业合同金额9.24万元，占政府采购支出总额的100.00%。</w:t>
      </w:r>
    </w:p>
    <w:p w14:paraId="2C215908">
      <w:pPr>
        <w:spacing w:line="640" w:lineRule="exact"/>
        <w:ind w:firstLine="640"/>
        <w:jc w:val="both"/>
        <w:outlineLvl w:val="3"/>
      </w:pPr>
      <w:r>
        <w:rPr>
          <w:rFonts w:ascii="楷体_GB2312" w:hAnsi="楷体_GB2312" w:eastAsia="楷体_GB2312"/>
          <w:b/>
          <w:sz w:val="32"/>
        </w:rPr>
        <w:t>（三）国有资产占用情况说明</w:t>
      </w:r>
    </w:p>
    <w:p w14:paraId="4083E594">
      <w:pPr>
        <w:spacing w:line="580" w:lineRule="exact"/>
        <w:ind w:firstLine="640"/>
        <w:jc w:val="both"/>
      </w:pPr>
      <w:r>
        <w:rPr>
          <w:rFonts w:ascii="仿宋_GB2312" w:hAnsi="仿宋_GB2312" w:eastAsia="仿宋_GB2312"/>
          <w:b w:val="0"/>
          <w:sz w:val="32"/>
        </w:rPr>
        <w:t>截至2024年12月31日，房屋787.15平方米，价值75.47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4E0358B">
      <w:pPr>
        <w:spacing w:line="640" w:lineRule="exact"/>
        <w:ind w:firstLine="640"/>
        <w:jc w:val="both"/>
        <w:outlineLvl w:val="2"/>
      </w:pPr>
      <w:r>
        <w:rPr>
          <w:rFonts w:ascii="黑体" w:hAnsi="黑体" w:eastAsia="黑体"/>
          <w:sz w:val="32"/>
        </w:rPr>
        <w:t>十一、预算绩效的情况说明</w:t>
      </w:r>
    </w:p>
    <w:p w14:paraId="60AD35A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405.32万元，实际执行总额405.32万元；预算绩效评价项目2个，全年预算数11.13万元，全年执行数10.56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效果；二是严格按照工作职责和相关文件依据，确保专款专用。发现的问题及原因：对个别项目资金使用方面预算不够细致，出现实际支出数超出了预算申报数和出现项目资金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下一步改进措施：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效评价的结果,不断提升预算管理水平。具体附整体支出绩效自评表，项目支出绩效自评表和评价报告。</w:t>
      </w:r>
    </w:p>
    <w:p w14:paraId="2B7C8AD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C78586">
        <w:tc>
          <w:tcPr>
            <w:tcW w:w="8847" w:type="dxa"/>
            <w:gridSpan w:val="9"/>
            <w:vAlign w:val="center"/>
          </w:tcPr>
          <w:p w14:paraId="3D017E2D">
            <w:pPr>
              <w:jc w:val="center"/>
            </w:pPr>
            <w:r>
              <w:rPr>
                <w:rFonts w:ascii="宋体" w:hAnsi="宋体" w:eastAsia="宋体"/>
                <w:sz w:val="24"/>
              </w:rPr>
              <w:t>单位整体支出绩效自评表</w:t>
            </w:r>
          </w:p>
        </w:tc>
      </w:tr>
      <w:tr w14:paraId="4CD7F57C">
        <w:tblPrEx>
          <w:tblCellMar>
            <w:top w:w="0" w:type="dxa"/>
            <w:left w:w="108" w:type="dxa"/>
            <w:bottom w:w="0" w:type="dxa"/>
            <w:right w:w="108" w:type="dxa"/>
          </w:tblCellMar>
        </w:tblPrEx>
        <w:tc>
          <w:tcPr>
            <w:tcW w:w="8847" w:type="dxa"/>
            <w:gridSpan w:val="9"/>
            <w:vAlign w:val="center"/>
          </w:tcPr>
          <w:p w14:paraId="27D7BFEA">
            <w:pPr>
              <w:jc w:val="center"/>
            </w:pPr>
            <w:r>
              <w:rPr>
                <w:rFonts w:ascii="宋体" w:hAnsi="宋体" w:eastAsia="宋体"/>
                <w:sz w:val="24"/>
              </w:rPr>
              <w:t>（2024年度）</w:t>
            </w:r>
          </w:p>
        </w:tc>
      </w:tr>
      <w:tr w14:paraId="27FE80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8C3F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304B41">
            <w:pPr>
              <w:jc w:val="center"/>
            </w:pPr>
            <w:r>
              <w:rPr>
                <w:rFonts w:ascii="宋体" w:hAnsi="宋体" w:eastAsia="宋体"/>
                <w:sz w:val="16"/>
              </w:rPr>
              <w:t>民丰县萨勒吾则克乡中心幼儿园</w:t>
            </w:r>
          </w:p>
        </w:tc>
      </w:tr>
      <w:tr w14:paraId="1306CB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DEFD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01C6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DF08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687C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0B5B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BBD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2E48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1BD46">
            <w:pPr>
              <w:jc w:val="center"/>
            </w:pPr>
            <w:r>
              <w:rPr>
                <w:rFonts w:ascii="宋体" w:hAnsi="宋体" w:eastAsia="宋体"/>
                <w:sz w:val="16"/>
              </w:rPr>
              <w:t>得分</w:t>
            </w:r>
          </w:p>
        </w:tc>
      </w:tr>
      <w:tr w14:paraId="4CB790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8D99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6682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BBD5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3FA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654F8">
            <w:pPr>
              <w:jc w:val="center"/>
            </w:pPr>
            <w:r>
              <w:rPr>
                <w:rFonts w:ascii="宋体" w:hAnsi="宋体" w:eastAsia="宋体"/>
                <w:sz w:val="16"/>
              </w:rPr>
              <w:t>64.35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B2BDA">
            <w:pPr>
              <w:jc w:val="center"/>
            </w:pPr>
            <w:r>
              <w:rPr>
                <w:rFonts w:ascii="宋体" w:hAnsi="宋体" w:eastAsia="宋体"/>
                <w:sz w:val="16"/>
              </w:rPr>
              <w:t>64.35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FC7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A44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12241">
            <w:pPr>
              <w:jc w:val="center"/>
            </w:pPr>
            <w:r>
              <w:rPr>
                <w:rFonts w:ascii="宋体" w:hAnsi="宋体" w:eastAsia="宋体"/>
                <w:sz w:val="16"/>
              </w:rPr>
              <w:t>-</w:t>
            </w:r>
          </w:p>
        </w:tc>
      </w:tr>
      <w:tr w14:paraId="679896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6FA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8AF4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51E8D">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62F34">
            <w:pPr>
              <w:jc w:val="center"/>
            </w:pPr>
            <w:r>
              <w:rPr>
                <w:rFonts w:ascii="宋体" w:hAnsi="宋体" w:eastAsia="宋体"/>
                <w:sz w:val="16"/>
              </w:rPr>
              <w:t>409.14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1A45C">
            <w:pPr>
              <w:jc w:val="center"/>
            </w:pPr>
            <w:r>
              <w:rPr>
                <w:rFonts w:ascii="宋体" w:hAnsi="宋体" w:eastAsia="宋体"/>
                <w:sz w:val="16"/>
              </w:rPr>
              <w:t>340.97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12E60">
            <w:pPr>
              <w:jc w:val="center"/>
            </w:pPr>
            <w:r>
              <w:rPr>
                <w:rFonts w:ascii="宋体" w:hAnsi="宋体" w:eastAsia="宋体"/>
                <w:sz w:val="16"/>
              </w:rPr>
              <w:t>340.97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CA4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5D7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BFBC1">
            <w:pPr>
              <w:jc w:val="center"/>
            </w:pPr>
            <w:r>
              <w:rPr>
                <w:rFonts w:ascii="宋体" w:hAnsi="宋体" w:eastAsia="宋体"/>
                <w:sz w:val="16"/>
              </w:rPr>
              <w:t>-</w:t>
            </w:r>
          </w:p>
        </w:tc>
      </w:tr>
      <w:tr w14:paraId="32C024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74C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2ECA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52EF8">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9A4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C82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C91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9E5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89C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4D41C">
            <w:pPr>
              <w:jc w:val="center"/>
            </w:pPr>
            <w:r>
              <w:rPr>
                <w:rFonts w:ascii="宋体" w:hAnsi="宋体" w:eastAsia="宋体"/>
                <w:sz w:val="16"/>
              </w:rPr>
              <w:t>-</w:t>
            </w:r>
          </w:p>
        </w:tc>
      </w:tr>
      <w:tr w14:paraId="34999B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FB13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3574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59F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0F687">
            <w:pPr>
              <w:jc w:val="center"/>
            </w:pPr>
            <w:r>
              <w:rPr>
                <w:rFonts w:ascii="宋体" w:hAnsi="宋体" w:eastAsia="宋体"/>
                <w:sz w:val="16"/>
              </w:rPr>
              <w:t>409.14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05FDA">
            <w:pPr>
              <w:jc w:val="center"/>
            </w:pPr>
            <w:r>
              <w:rPr>
                <w:rFonts w:ascii="宋体" w:hAnsi="宋体" w:eastAsia="宋体"/>
                <w:sz w:val="16"/>
              </w:rPr>
              <w:t>405.32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5C0EA">
            <w:pPr>
              <w:jc w:val="center"/>
            </w:pPr>
            <w:r>
              <w:rPr>
                <w:rFonts w:ascii="宋体" w:hAnsi="宋体" w:eastAsia="宋体"/>
                <w:sz w:val="16"/>
              </w:rPr>
              <w:t>405.32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A1E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11315">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D1A4">
            <w:pPr>
              <w:jc w:val="center"/>
            </w:pPr>
            <w:r>
              <w:rPr>
                <w:rFonts w:ascii="宋体" w:hAnsi="宋体" w:eastAsia="宋体"/>
                <w:sz w:val="16"/>
              </w:rPr>
              <w:t>10</w:t>
            </w:r>
          </w:p>
        </w:tc>
      </w:tr>
      <w:tr w14:paraId="408159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D9F0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0016D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92D0DA">
            <w:pPr>
              <w:jc w:val="center"/>
            </w:pPr>
            <w:r>
              <w:rPr>
                <w:rFonts w:ascii="宋体" w:hAnsi="宋体" w:eastAsia="宋体"/>
                <w:sz w:val="16"/>
              </w:rPr>
              <w:t>实际完成情况</w:t>
            </w:r>
          </w:p>
        </w:tc>
      </w:tr>
      <w:tr w14:paraId="1307F5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2415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AE62E0">
            <w:pPr>
              <w:jc w:val="both"/>
            </w:pPr>
            <w:r>
              <w:rPr>
                <w:rFonts w:ascii="宋体" w:hAnsi="宋体" w:eastAsia="宋体"/>
                <w:sz w:val="16"/>
              </w:rPr>
              <w:t xml:space="preserve">目标1：正确贯彻执行党和国家的教育方针，政策，法规；目标2：维护学校的教学秩序，为学生创造良好的学习环境；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积极稳妥地推进教育改革，按教育规律办事，不断提高教育质量；目标4：根据学校规模，设置学校管理机构，建立健全各项规章制度和岗位责任制；目标5：坚持教书育人，服务育人，环境育人方针，加强对学生的思想品德教育，使学生的德智体全面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目标6：抓好教师队伍建设，使每个教师都热心于教育事业； 目标7：做好安全防范，保证学生的人身安全。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334D4">
            <w:pPr>
              <w:jc w:val="both"/>
            </w:pPr>
            <w:r>
              <w:rPr>
                <w:rFonts w:ascii="宋体" w:hAnsi="宋体" w:eastAsia="宋体"/>
                <w:sz w:val="16"/>
              </w:rPr>
              <w:t>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一、园务管理：落实制度，明确职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为了使幼儿园管理工作逐步向规范化方向迈进，我园严格按照管理制度汇编，做到分工明确，责任到人。在实际工作中严格照章办事。通过落实制度，明确职责，提高了教职工的工作责任感，促进了我园各项工作有序、有效地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二、教师培养：加强学习，提高素质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为了提高教师的素质，我们通过多种形式对教师进行培训。首先利用教研活动努力提高教师专业素质，通过暑期的师德培训，开展形式多样的师德教育活动。利用寒假我园教师参加国家通用语言文字培训提高国通语水平，</w:t>
            </w:r>
            <w:r>
              <w:rPr>
                <w:rFonts w:hint="eastAsia" w:ascii="宋体" w:hAnsi="宋体"/>
                <w:sz w:val="16"/>
                <w:lang w:eastAsia="zh-CN"/>
              </w:rPr>
              <w:t>对</w:t>
            </w:r>
            <w:r>
              <w:rPr>
                <w:rFonts w:ascii="宋体" w:hAnsi="宋体" w:eastAsia="宋体"/>
                <w:sz w:val="16"/>
              </w:rPr>
              <w:t>所有教师进行了师徒结对，传帮带教，让新教师在学习中进步，在反思中成长。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三、教育教学：注重细节，提升质量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一是各班能认真</w:t>
            </w:r>
            <w:r>
              <w:rPr>
                <w:rFonts w:hint="eastAsia" w:ascii="宋体" w:hAnsi="宋体"/>
                <w:sz w:val="16"/>
                <w:lang w:eastAsia="zh-CN"/>
              </w:rPr>
              <w:t>制定</w:t>
            </w:r>
            <w:r>
              <w:rPr>
                <w:rFonts w:ascii="宋体" w:hAnsi="宋体" w:eastAsia="宋体"/>
                <w:sz w:val="16"/>
              </w:rPr>
              <w:t>教学计划，在制定周、月、一日活动时合理安排各方面的教育内容，根据孩子的年龄特点把领域活动与主题活动有机结合，相互渗透，有效地防止在教学工作的主观性和随意性。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二是定期检查教师备课、幼儿成长册、教养笔记等。落实一日教学常规，加大对一日生活各个环节的监督和调控。以抽查听课为载体，在听完每节课后与教师及时交流，并进行点评纠正。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是各班都创设了有利于引发幼儿互动的环境。在走廊、楼梯、班级主题墙、家长园地等环境的创设，做到美观新颖，突出主题。根据孩子年龄特点，力求做到生活化，情趣化，艺术化和儿童化，让孩子主动参与到环境中来，从中受到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是充分发挥我园的区域优势，挖掘自然教育资源，把本土资源的内容渗透到幼儿的一日生活之中，贯穿于游戏、教育活动之中，并以多种形式进行整合，结合本园、本班幼儿的实际情况，灵活开展。在组织好幼儿一日活动、上好主题教学活动的同时，我们还结合世界水日、世界无烟日、护绿活动 、环保创意种植开展了系列活动，增强了幼儿的环保意识。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四、卫生保健：落实安全，细化保育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我园制定《药品管理制度</w:t>
            </w:r>
            <w:r>
              <w:rPr>
                <w:rFonts w:hint="eastAsia" w:ascii="宋体" w:hAnsi="宋体"/>
                <w:sz w:val="16"/>
                <w:lang w:eastAsia="zh-CN"/>
              </w:rPr>
              <w:t>》《</w:t>
            </w:r>
            <w:r>
              <w:rPr>
                <w:rFonts w:ascii="宋体" w:hAnsi="宋体" w:eastAsia="宋体"/>
                <w:sz w:val="16"/>
              </w:rPr>
              <w:t>班级安全管理制度</w:t>
            </w:r>
            <w:r>
              <w:rPr>
                <w:rFonts w:hint="eastAsia" w:ascii="宋体" w:hAnsi="宋体"/>
                <w:sz w:val="16"/>
                <w:lang w:eastAsia="zh-CN"/>
              </w:rPr>
              <w:t>》《</w:t>
            </w:r>
            <w:r>
              <w:rPr>
                <w:rFonts w:ascii="宋体" w:hAnsi="宋体" w:eastAsia="宋体"/>
                <w:sz w:val="16"/>
              </w:rPr>
              <w:t>幼儿接送制度</w:t>
            </w:r>
            <w:r>
              <w:rPr>
                <w:rFonts w:hint="eastAsia" w:ascii="宋体" w:hAnsi="宋体"/>
                <w:sz w:val="16"/>
                <w:lang w:eastAsia="zh-CN"/>
              </w:rPr>
              <w:t>》《</w:t>
            </w:r>
            <w:r>
              <w:rPr>
                <w:rFonts w:ascii="宋体" w:hAnsi="宋体" w:eastAsia="宋体"/>
                <w:sz w:val="16"/>
              </w:rPr>
              <w:t>幼儿意外伤害事故处理</w:t>
            </w:r>
            <w:r>
              <w:rPr>
                <w:rFonts w:hint="eastAsia" w:ascii="宋体" w:hAnsi="宋体"/>
                <w:sz w:val="16"/>
                <w:lang w:eastAsia="zh-CN"/>
              </w:rPr>
              <w:t>》《</w:t>
            </w:r>
            <w:r>
              <w:rPr>
                <w:rFonts w:ascii="宋体" w:hAnsi="宋体" w:eastAsia="宋体"/>
                <w:sz w:val="16"/>
              </w:rPr>
              <w:t>房屋设备检查制度》等安全卫生保健制度，促使安全卫生保健工作有序、科学地开展，为幼儿提供有利于健康成长的环境。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(一)细化制度，提高安全管理力度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细化各块安全工作责任。每年度与每位教职工依据自身的工作签订安全目标责任书，做到人人有责。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(二)细化工作，规划保育工作程序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在已有制度的基础上进一步细化幼儿在园一日生活各环节的管理细则，包括对教师的具体工作、对保育员的具体要求、对食堂工作人员的要求，让每位工作人员明确工作程序，规范地开展幼儿一日生活各环节的保育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五、家长工作：家园合作，有序开展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《纲要》中提出：家庭是幼儿园重要的合作伙伴。本着这种理念，把做好家长工作作为我园的工作重点之一。每学期开始要求老师们制定好家长工作计划，有目的有计划地开展各项家长会。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每学期结合开学，我园开展了幼小衔接家长会。在班级内进行了各种丰富</w:t>
            </w:r>
            <w:r>
              <w:rPr>
                <w:rFonts w:hint="eastAsia" w:ascii="宋体" w:hAnsi="宋体"/>
                <w:sz w:val="16"/>
                <w:lang w:eastAsia="zh-CN"/>
              </w:rPr>
              <w:t>幼儿</w:t>
            </w:r>
            <w:r>
              <w:rPr>
                <w:rFonts w:ascii="宋体" w:hAnsi="宋体" w:eastAsia="宋体"/>
                <w:sz w:val="16"/>
              </w:rPr>
              <w:t>园生活的活动。这让孩子们开阔眼界的同时，增进了亲子、家园间的情感。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我们的家长工作以多种形式开展着，在每年一次的家长问卷调查中，家长对老师的满意度还是很高的，相信我们的家长会一直理解、支持我们的工作的。</w:t>
            </w:r>
          </w:p>
        </w:tc>
      </w:tr>
      <w:tr w14:paraId="790EDA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F49B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0CCD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8A2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FC297">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9659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4A1D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1BCBC">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60359">
            <w:pPr>
              <w:jc w:val="center"/>
            </w:pPr>
            <w:r>
              <w:rPr>
                <w:rFonts w:ascii="宋体" w:hAnsi="宋体" w:eastAsia="宋体"/>
                <w:sz w:val="16"/>
              </w:rPr>
              <w:t>得分</w:t>
            </w:r>
          </w:p>
        </w:tc>
      </w:tr>
      <w:tr w14:paraId="3001BB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56D9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4A99F">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69C8C">
            <w:pPr>
              <w:jc w:val="center"/>
            </w:pPr>
            <w:r>
              <w:rPr>
                <w:rFonts w:ascii="宋体" w:hAnsi="宋体" w:eastAsia="宋体"/>
                <w:sz w:val="16"/>
              </w:rPr>
              <w:t>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D8766">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A45D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42FF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40253">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8FAC9">
            <w:pPr>
              <w:jc w:val="center"/>
            </w:pPr>
            <w:r>
              <w:rPr>
                <w:rFonts w:ascii="宋体" w:hAnsi="宋体" w:eastAsia="宋体"/>
                <w:sz w:val="16"/>
              </w:rPr>
              <w:t>30</w:t>
            </w:r>
          </w:p>
        </w:tc>
      </w:tr>
      <w:tr w14:paraId="121725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59E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78A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EC9A8">
            <w:pPr>
              <w:jc w:val="center"/>
            </w:pPr>
            <w:r>
              <w:rPr>
                <w:rFonts w:ascii="宋体" w:hAnsi="宋体" w:eastAsia="宋体"/>
                <w:sz w:val="16"/>
              </w:rPr>
              <w:t>幼儿园幼儿数量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D15B8">
            <w:pPr>
              <w:jc w:val="center"/>
            </w:pPr>
            <w:r>
              <w:rPr>
                <w:rFonts w:ascii="宋体" w:hAnsi="宋体" w:eastAsia="宋体"/>
                <w:sz w:val="16"/>
              </w:rPr>
              <w:t>&gt;=151人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E5F0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0950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FE1F7">
            <w:pPr>
              <w:jc w:val="center"/>
            </w:pPr>
            <w:r>
              <w:rPr>
                <w:rFonts w:ascii="宋体" w:hAnsi="宋体" w:eastAsia="宋体"/>
                <w:sz w:val="16"/>
              </w:rPr>
              <w:t>102人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760B9">
            <w:pPr>
              <w:jc w:val="center"/>
            </w:pPr>
            <w:r>
              <w:rPr>
                <w:rFonts w:ascii="宋体" w:hAnsi="宋体" w:eastAsia="宋体"/>
                <w:sz w:val="16"/>
              </w:rPr>
              <w:t>20.26</w:t>
            </w:r>
          </w:p>
        </w:tc>
      </w:tr>
      <w:tr w14:paraId="627B00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EB3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633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183F">
            <w:pPr>
              <w:jc w:val="center"/>
            </w:pPr>
            <w:r>
              <w:rPr>
                <w:rFonts w:ascii="宋体" w:hAnsi="宋体" w:eastAsia="宋体"/>
                <w:sz w:val="16"/>
              </w:rPr>
              <w:t>幼儿园教师人数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54EC9">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71BA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7367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E09BA">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82D1F">
            <w:pPr>
              <w:jc w:val="center"/>
            </w:pPr>
            <w:r>
              <w:rPr>
                <w:rFonts w:ascii="宋体" w:hAnsi="宋体" w:eastAsia="宋体"/>
                <w:sz w:val="16"/>
              </w:rPr>
              <w:t>30</w:t>
            </w:r>
          </w:p>
        </w:tc>
      </w:tr>
    </w:tbl>
    <w:p w14:paraId="08927F3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A653149">
        <w:tc>
          <w:tcPr>
            <w:tcW w:w="8847" w:type="dxa"/>
            <w:gridSpan w:val="9"/>
            <w:vAlign w:val="center"/>
          </w:tcPr>
          <w:p w14:paraId="217FA864">
            <w:pPr>
              <w:jc w:val="center"/>
            </w:pPr>
            <w:r>
              <w:rPr>
                <w:rFonts w:ascii="宋体" w:hAnsi="宋体" w:eastAsia="宋体"/>
                <w:sz w:val="24"/>
              </w:rPr>
              <w:t>项目支出绩效自评表</w:t>
            </w:r>
          </w:p>
        </w:tc>
      </w:tr>
      <w:tr w14:paraId="057F3425">
        <w:tblPrEx>
          <w:tblCellMar>
            <w:top w:w="0" w:type="dxa"/>
            <w:left w:w="108" w:type="dxa"/>
            <w:bottom w:w="0" w:type="dxa"/>
            <w:right w:w="108" w:type="dxa"/>
          </w:tblCellMar>
        </w:tblPrEx>
        <w:tc>
          <w:tcPr>
            <w:tcW w:w="8847" w:type="dxa"/>
            <w:gridSpan w:val="9"/>
            <w:vAlign w:val="center"/>
          </w:tcPr>
          <w:p w14:paraId="227248E4">
            <w:pPr>
              <w:jc w:val="center"/>
            </w:pPr>
            <w:r>
              <w:rPr>
                <w:rFonts w:ascii="宋体" w:hAnsi="宋体" w:eastAsia="宋体"/>
                <w:sz w:val="24"/>
              </w:rPr>
              <w:t>(2024年度)</w:t>
            </w:r>
          </w:p>
        </w:tc>
      </w:tr>
      <w:tr w14:paraId="3AF8D9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8F7F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0C6D30">
            <w:pPr>
              <w:jc w:val="center"/>
            </w:pPr>
            <w:r>
              <w:rPr>
                <w:rFonts w:ascii="宋体" w:hAnsi="宋体" w:eastAsia="宋体"/>
                <w:sz w:val="16"/>
              </w:rPr>
              <w:t>2022年教育非直达资金（伙食费）  和地财教</w:t>
            </w:r>
            <w:r>
              <w:rPr>
                <w:rFonts w:hint="eastAsia" w:ascii="宋体" w:hAnsi="宋体"/>
                <w:sz w:val="16"/>
                <w:lang w:eastAsia="zh-CN"/>
              </w:rPr>
              <w:t>〔2022〕22号</w:t>
            </w:r>
            <w:r>
              <w:rPr>
                <w:rFonts w:ascii="宋体" w:hAnsi="宋体" w:eastAsia="宋体"/>
                <w:sz w:val="16"/>
              </w:rPr>
              <w:t>(结转)</w:t>
            </w:r>
          </w:p>
        </w:tc>
      </w:tr>
      <w:tr w14:paraId="318EA5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5D6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F54451">
            <w:pPr>
              <w:jc w:val="center"/>
            </w:pPr>
            <w:r>
              <w:rPr>
                <w:rFonts w:ascii="宋体" w:hAnsi="宋体" w:eastAsia="宋体"/>
                <w:sz w:val="16"/>
              </w:rPr>
              <w:t>民丰县萨勒吾则克乡中心幼儿园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C0BD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74CB3E">
            <w:pPr>
              <w:jc w:val="center"/>
            </w:pPr>
            <w:r>
              <w:rPr>
                <w:rFonts w:ascii="宋体" w:hAnsi="宋体" w:eastAsia="宋体"/>
                <w:sz w:val="16"/>
              </w:rPr>
              <w:t>民丰县萨勒吾则克乡中心幼儿园</w:t>
            </w:r>
          </w:p>
        </w:tc>
      </w:tr>
      <w:tr w14:paraId="0C1315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FE92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0658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E21D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8A35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1267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3181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6D9D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4F33E">
            <w:pPr>
              <w:jc w:val="center"/>
            </w:pPr>
            <w:r>
              <w:rPr>
                <w:rFonts w:ascii="宋体" w:hAnsi="宋体" w:eastAsia="宋体"/>
                <w:sz w:val="16"/>
              </w:rPr>
              <w:t>得分</w:t>
            </w:r>
          </w:p>
        </w:tc>
      </w:tr>
      <w:tr w14:paraId="26EC9D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02D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4A4A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0C13E">
            <w:pPr>
              <w:jc w:val="center"/>
            </w:pPr>
            <w:r>
              <w:rPr>
                <w:rFonts w:ascii="宋体" w:hAnsi="宋体" w:eastAsia="宋体"/>
                <w:sz w:val="16"/>
              </w:rPr>
              <w:t>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BA99">
            <w:pPr>
              <w:jc w:val="center"/>
            </w:pPr>
            <w:r>
              <w:rPr>
                <w:rFonts w:ascii="宋体" w:hAnsi="宋体" w:eastAsia="宋体"/>
                <w:sz w:val="16"/>
              </w:rPr>
              <w:t>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6BE94">
            <w:pPr>
              <w:jc w:val="center"/>
            </w:pPr>
            <w:r>
              <w:rPr>
                <w:rFonts w:ascii="宋体" w:hAnsi="宋体" w:eastAsia="宋体"/>
                <w:sz w:val="16"/>
              </w:rPr>
              <w:t>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462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AAA2A">
            <w:pPr>
              <w:jc w:val="center"/>
            </w:pPr>
            <w:r>
              <w:rPr>
                <w:rFonts w:ascii="宋体" w:hAnsi="宋体" w:eastAsia="宋体"/>
                <w:sz w:val="16"/>
              </w:rPr>
              <w:t xml:space="preserve">82.93%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D5C52">
            <w:pPr>
              <w:jc w:val="center"/>
            </w:pPr>
            <w:r>
              <w:rPr>
                <w:rFonts w:ascii="宋体" w:hAnsi="宋体" w:eastAsia="宋体"/>
                <w:sz w:val="16"/>
              </w:rPr>
              <w:t>5.73分</w:t>
            </w:r>
          </w:p>
        </w:tc>
      </w:tr>
      <w:tr w14:paraId="6F8324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475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391F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53C45">
            <w:pPr>
              <w:jc w:val="center"/>
            </w:pPr>
            <w:r>
              <w:rPr>
                <w:rFonts w:ascii="宋体" w:hAnsi="宋体" w:eastAsia="宋体"/>
                <w:sz w:val="16"/>
              </w:rPr>
              <w:t>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CB5FE">
            <w:pPr>
              <w:jc w:val="center"/>
            </w:pPr>
            <w:r>
              <w:rPr>
                <w:rFonts w:ascii="宋体" w:hAnsi="宋体" w:eastAsia="宋体"/>
                <w:sz w:val="16"/>
              </w:rPr>
              <w:t>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5BB24">
            <w:pPr>
              <w:jc w:val="center"/>
            </w:pPr>
            <w:r>
              <w:rPr>
                <w:rFonts w:ascii="宋体" w:hAnsi="宋体" w:eastAsia="宋体"/>
                <w:sz w:val="16"/>
              </w:rPr>
              <w:t>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B87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57B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5187B">
            <w:pPr>
              <w:jc w:val="center"/>
            </w:pPr>
            <w:r>
              <w:rPr>
                <w:rFonts w:ascii="宋体" w:hAnsi="宋体" w:eastAsia="宋体"/>
                <w:sz w:val="16"/>
              </w:rPr>
              <w:t>—</w:t>
            </w:r>
          </w:p>
        </w:tc>
      </w:tr>
      <w:tr w14:paraId="31CD23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550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D493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8C3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AD3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5CA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6DF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C7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14B9B">
            <w:pPr>
              <w:jc w:val="center"/>
            </w:pPr>
            <w:r>
              <w:rPr>
                <w:rFonts w:ascii="宋体" w:hAnsi="宋体" w:eastAsia="宋体"/>
                <w:sz w:val="16"/>
              </w:rPr>
              <w:t>—</w:t>
            </w:r>
          </w:p>
        </w:tc>
      </w:tr>
      <w:tr w14:paraId="177651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5E8ED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DC2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9A9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07F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BFC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0CF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ABB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D8734">
            <w:pPr>
              <w:jc w:val="center"/>
            </w:pPr>
            <w:r>
              <w:rPr>
                <w:rFonts w:ascii="宋体" w:hAnsi="宋体" w:eastAsia="宋体"/>
                <w:sz w:val="16"/>
              </w:rPr>
              <w:t>—</w:t>
            </w:r>
          </w:p>
        </w:tc>
      </w:tr>
      <w:tr w14:paraId="7AF036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FEBC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D989C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28999B">
            <w:pPr>
              <w:jc w:val="center"/>
            </w:pPr>
            <w:r>
              <w:rPr>
                <w:rFonts w:ascii="宋体" w:hAnsi="宋体" w:eastAsia="宋体"/>
                <w:sz w:val="16"/>
              </w:rPr>
              <w:t>实际完成情况</w:t>
            </w:r>
          </w:p>
        </w:tc>
      </w:tr>
      <w:tr w14:paraId="166F00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228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C599BB">
            <w:pPr>
              <w:jc w:val="both"/>
            </w:pPr>
            <w:r>
              <w:rPr>
                <w:rFonts w:ascii="宋体" w:hAnsi="宋体" w:eastAsia="宋体"/>
                <w:sz w:val="16"/>
              </w:rPr>
              <w:t>根据2022年教育非直达资金（伙食费）  和地财教</w:t>
            </w:r>
            <w:r>
              <w:rPr>
                <w:rFonts w:hint="eastAsia" w:ascii="宋体" w:hAnsi="宋体"/>
                <w:sz w:val="16"/>
                <w:lang w:eastAsia="zh-CN"/>
              </w:rPr>
              <w:t>〔2022〕22号</w:t>
            </w:r>
            <w:r>
              <w:rPr>
                <w:rFonts w:ascii="宋体" w:hAnsi="宋体" w:eastAsia="宋体"/>
                <w:sz w:val="16"/>
              </w:rPr>
              <w:t>文件实施本项目。项目实施内容：保障我县2所幼儿园151名学生220天的伙食补助，按照每人每年1450元标准进行补助。本项目为上年结转项目，上年结转金额3.34万元，人均伙食费221.192元。通过项目实施，减轻学前教育困难家庭幼儿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3884DB">
            <w:pPr>
              <w:jc w:val="both"/>
            </w:pPr>
            <w:r>
              <w:rPr>
                <w:rFonts w:ascii="宋体" w:hAnsi="宋体" w:eastAsia="宋体"/>
                <w:sz w:val="16"/>
              </w:rPr>
              <w:t>项目已完成保障我县2所幼儿园102名学生220天的伙食补助，通过项目实施，减轻了学前教育困难家庭幼儿生活费负担，促进了教育资源公平均衡配置</w:t>
            </w:r>
            <w:r>
              <w:rPr>
                <w:rFonts w:hint="eastAsia" w:ascii="宋体" w:hAnsi="宋体"/>
                <w:sz w:val="16"/>
                <w:lang w:eastAsia="zh-CN"/>
              </w:rPr>
              <w:t>。</w:t>
            </w:r>
          </w:p>
        </w:tc>
      </w:tr>
      <w:tr w14:paraId="421AE3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167FA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1BD6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14C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6C86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FE43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BC26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79E7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0614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826C1">
            <w:pPr>
              <w:jc w:val="center"/>
            </w:pPr>
            <w:r>
              <w:rPr>
                <w:rFonts w:ascii="宋体" w:hAnsi="宋体" w:eastAsia="宋体"/>
                <w:sz w:val="16"/>
              </w:rPr>
              <w:t>偏差原因分析及改进措施</w:t>
            </w:r>
          </w:p>
        </w:tc>
      </w:tr>
      <w:tr w14:paraId="263CAD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3591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5160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273F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1D18A">
            <w:pPr>
              <w:jc w:val="center"/>
            </w:pPr>
            <w:r>
              <w:rPr>
                <w:rFonts w:ascii="宋体" w:hAnsi="宋体" w:eastAsia="宋体"/>
                <w:sz w:val="16"/>
              </w:rPr>
              <w:t>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D389F">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39F38">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F48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340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C102D">
            <w:pPr>
              <w:jc w:val="center"/>
            </w:pPr>
          </w:p>
        </w:tc>
      </w:tr>
      <w:tr w14:paraId="7850DC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9CB8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096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AD9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8D782">
            <w:pPr>
              <w:jc w:val="center"/>
            </w:pPr>
            <w:r>
              <w:rPr>
                <w:rFonts w:ascii="宋体" w:hAnsi="宋体" w:eastAsia="宋体"/>
                <w:sz w:val="16"/>
              </w:rPr>
              <w:t>幼儿园幼儿数量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69FB2">
            <w:pPr>
              <w:jc w:val="center"/>
            </w:pPr>
            <w:r>
              <w:rPr>
                <w:rFonts w:ascii="宋体" w:hAnsi="宋体" w:eastAsia="宋体"/>
                <w:sz w:val="16"/>
              </w:rPr>
              <w:t>&gt;=151人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54E6C">
            <w:pPr>
              <w:jc w:val="center"/>
            </w:pPr>
            <w:r>
              <w:rPr>
                <w:rFonts w:ascii="宋体" w:hAnsi="宋体" w:eastAsia="宋体"/>
                <w:sz w:val="16"/>
              </w:rPr>
              <w:t>=102人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83F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30022">
            <w:pPr>
              <w:jc w:val="center"/>
            </w:pPr>
            <w:r>
              <w:rPr>
                <w:rFonts w:ascii="宋体" w:hAnsi="宋体" w:eastAsia="宋体"/>
                <w:sz w:val="16"/>
              </w:rPr>
              <w:t>1.89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E775C">
            <w:pPr>
              <w:jc w:val="center"/>
            </w:pPr>
            <w:r>
              <w:rPr>
                <w:rFonts w:ascii="宋体" w:hAnsi="宋体" w:eastAsia="宋体"/>
                <w:sz w:val="16"/>
              </w:rPr>
              <w:t>人数按实际需求存在变动，人数减少</w:t>
            </w:r>
          </w:p>
        </w:tc>
      </w:tr>
      <w:tr w14:paraId="10B4F9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E82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312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305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45DB1">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B24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426C2">
            <w:pPr>
              <w:jc w:val="center"/>
            </w:pPr>
            <w:r>
              <w:rPr>
                <w:rFonts w:ascii="宋体" w:hAnsi="宋体" w:eastAsia="宋体"/>
                <w:sz w:val="16"/>
              </w:rPr>
              <w:t>=67.55%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811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C7056">
            <w:pPr>
              <w:jc w:val="center"/>
            </w:pPr>
            <w:r>
              <w:rPr>
                <w:rFonts w:ascii="宋体" w:hAnsi="宋体" w:eastAsia="宋体"/>
                <w:sz w:val="16"/>
              </w:rPr>
              <w:t>1.89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D3AD6">
            <w:pPr>
              <w:jc w:val="center"/>
            </w:pPr>
            <w:r>
              <w:rPr>
                <w:rFonts w:ascii="宋体" w:hAnsi="宋体" w:eastAsia="宋体"/>
                <w:sz w:val="16"/>
              </w:rPr>
              <w:t>人数按实际需求存在变动，人数减少，发放人数减少</w:t>
            </w:r>
          </w:p>
        </w:tc>
      </w:tr>
      <w:tr w14:paraId="033860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AF2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B72B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DB2A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4B228">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70E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63D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CA5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F75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BAB1C">
            <w:pPr>
              <w:jc w:val="center"/>
            </w:pPr>
          </w:p>
        </w:tc>
      </w:tr>
      <w:tr w14:paraId="7190A7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15B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583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44C9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B6E57">
            <w:pPr>
              <w:jc w:val="center"/>
            </w:pPr>
            <w:r>
              <w:rPr>
                <w:rFonts w:ascii="宋体" w:hAnsi="宋体" w:eastAsia="宋体"/>
                <w:sz w:val="16"/>
              </w:rPr>
              <w:t>人均伙食费用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E4781">
            <w:pPr>
              <w:jc w:val="center"/>
            </w:pPr>
            <w:r>
              <w:rPr>
                <w:rFonts w:ascii="宋体" w:hAnsi="宋体" w:eastAsia="宋体"/>
                <w:sz w:val="16"/>
              </w:rPr>
              <w:t>&lt;=221.192元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3975C">
            <w:pPr>
              <w:jc w:val="center"/>
            </w:pPr>
            <w:r>
              <w:rPr>
                <w:rFonts w:ascii="宋体" w:hAnsi="宋体" w:eastAsia="宋体"/>
                <w:sz w:val="16"/>
              </w:rPr>
              <w:t>=271.57元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DD49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DD9FF">
            <w:pPr>
              <w:jc w:val="center"/>
            </w:pPr>
            <w:r>
              <w:rPr>
                <w:rFonts w:ascii="宋体" w:hAnsi="宋体" w:eastAsia="宋体"/>
                <w:sz w:val="16"/>
              </w:rPr>
              <w:t>8.61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3F13C">
            <w:pPr>
              <w:jc w:val="center"/>
            </w:pPr>
            <w:r>
              <w:rPr>
                <w:rFonts w:ascii="宋体" w:hAnsi="宋体" w:eastAsia="宋体"/>
                <w:sz w:val="16"/>
              </w:rPr>
              <w:t>截至目前，该项目未完成，原因：该项目由上级资金先支付，若上级拨款不够才会考虑使用结转资金。</w:t>
            </w:r>
          </w:p>
        </w:tc>
      </w:tr>
      <w:tr w14:paraId="19C76B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D8E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286D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D6D4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50EC2">
            <w:pPr>
              <w:jc w:val="center"/>
            </w:pPr>
            <w:r>
              <w:rPr>
                <w:rFonts w:ascii="宋体" w:hAnsi="宋体" w:eastAsia="宋体"/>
                <w:sz w:val="16"/>
              </w:rPr>
              <w:t>促进教育资源公平均衡配置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F5F8A">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961F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76EA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AE84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54DC4">
            <w:pPr>
              <w:jc w:val="center"/>
            </w:pPr>
          </w:p>
        </w:tc>
      </w:tr>
      <w:tr w14:paraId="7341EA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D02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B558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9246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9EAF1">
            <w:pPr>
              <w:jc w:val="center"/>
            </w:pPr>
            <w:r>
              <w:rPr>
                <w:rFonts w:ascii="宋体" w:hAnsi="宋体" w:eastAsia="宋体"/>
                <w:sz w:val="16"/>
              </w:rPr>
              <w:t>受益幼儿园满意度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DB38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E3A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C49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9A7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13B89">
            <w:pPr>
              <w:jc w:val="center"/>
            </w:pPr>
          </w:p>
        </w:tc>
      </w:tr>
      <w:tr w14:paraId="7175101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83569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B387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1B0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B5464">
            <w:pPr>
              <w:jc w:val="center"/>
            </w:pPr>
            <w:r>
              <w:rPr>
                <w:rFonts w:ascii="宋体" w:hAnsi="宋体" w:eastAsia="宋体"/>
                <w:sz w:val="16"/>
              </w:rPr>
              <w:t>68.12分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1DE2A7"/>
        </w:tc>
      </w:tr>
    </w:tbl>
    <w:p w14:paraId="390CFF2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83E8DF">
        <w:tblPrEx>
          <w:tblCellMar>
            <w:top w:w="0" w:type="dxa"/>
            <w:left w:w="108" w:type="dxa"/>
            <w:bottom w:w="0" w:type="dxa"/>
            <w:right w:w="108" w:type="dxa"/>
          </w:tblCellMar>
        </w:tblPrEx>
        <w:tc>
          <w:tcPr>
            <w:tcW w:w="8847" w:type="dxa"/>
            <w:gridSpan w:val="9"/>
            <w:vAlign w:val="center"/>
          </w:tcPr>
          <w:p w14:paraId="061BED4F">
            <w:pPr>
              <w:jc w:val="center"/>
            </w:pPr>
            <w:r>
              <w:rPr>
                <w:rFonts w:ascii="宋体" w:hAnsi="宋体" w:eastAsia="宋体"/>
                <w:sz w:val="24"/>
              </w:rPr>
              <w:t>项目支出绩效自评表</w:t>
            </w:r>
          </w:p>
        </w:tc>
      </w:tr>
      <w:tr w14:paraId="33FA7119">
        <w:tblPrEx>
          <w:tblCellMar>
            <w:top w:w="0" w:type="dxa"/>
            <w:left w:w="108" w:type="dxa"/>
            <w:bottom w:w="0" w:type="dxa"/>
            <w:right w:w="108" w:type="dxa"/>
          </w:tblCellMar>
        </w:tblPrEx>
        <w:tc>
          <w:tcPr>
            <w:tcW w:w="8847" w:type="dxa"/>
            <w:gridSpan w:val="9"/>
            <w:vAlign w:val="center"/>
          </w:tcPr>
          <w:p w14:paraId="76F59A8E">
            <w:pPr>
              <w:jc w:val="center"/>
            </w:pPr>
            <w:r>
              <w:rPr>
                <w:rFonts w:ascii="宋体" w:hAnsi="宋体" w:eastAsia="宋体"/>
                <w:sz w:val="24"/>
              </w:rPr>
              <w:t>(2024年度)</w:t>
            </w:r>
          </w:p>
        </w:tc>
      </w:tr>
      <w:tr w14:paraId="2E9225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C3DC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A8F2D9">
            <w:pPr>
              <w:jc w:val="center"/>
            </w:pPr>
            <w:r>
              <w:rPr>
                <w:rFonts w:ascii="宋体" w:hAnsi="宋体" w:eastAsia="宋体"/>
                <w:sz w:val="16"/>
              </w:rPr>
              <w:t>县配套学前教育经费（伙食费）</w:t>
            </w:r>
          </w:p>
        </w:tc>
      </w:tr>
      <w:tr w14:paraId="2FE4C8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11FA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939D40">
            <w:pPr>
              <w:jc w:val="center"/>
            </w:pPr>
            <w:r>
              <w:rPr>
                <w:rFonts w:ascii="宋体" w:hAnsi="宋体" w:eastAsia="宋体"/>
                <w:sz w:val="16"/>
              </w:rPr>
              <w:t>民丰县萨勒吾则克乡中心幼儿园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0684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0D946C">
            <w:pPr>
              <w:jc w:val="center"/>
            </w:pPr>
            <w:r>
              <w:rPr>
                <w:rFonts w:ascii="宋体" w:hAnsi="宋体" w:eastAsia="宋体"/>
                <w:sz w:val="16"/>
              </w:rPr>
              <w:t>民丰县萨勒吾则克乡中心幼儿园</w:t>
            </w:r>
          </w:p>
        </w:tc>
      </w:tr>
      <w:tr w14:paraId="477440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F47E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386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8B7A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81D5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955F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08B1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A72E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C394F">
            <w:pPr>
              <w:jc w:val="center"/>
            </w:pPr>
            <w:r>
              <w:rPr>
                <w:rFonts w:ascii="宋体" w:hAnsi="宋体" w:eastAsia="宋体"/>
                <w:sz w:val="16"/>
              </w:rPr>
              <w:t>得分</w:t>
            </w:r>
          </w:p>
        </w:tc>
      </w:tr>
      <w:tr w14:paraId="7CE861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F8CE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67B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42F22">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3293D">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24861">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3C4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793D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D51A0">
            <w:pPr>
              <w:jc w:val="center"/>
            </w:pPr>
            <w:r>
              <w:rPr>
                <w:rFonts w:ascii="宋体" w:hAnsi="宋体" w:eastAsia="宋体"/>
                <w:sz w:val="16"/>
              </w:rPr>
              <w:t>10.00分</w:t>
            </w:r>
          </w:p>
        </w:tc>
      </w:tr>
      <w:tr w14:paraId="647065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7B2D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B322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E9363">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4B318">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249EF">
            <w:pPr>
              <w:jc w:val="center"/>
            </w:pPr>
            <w:r>
              <w:rPr>
                <w:rFonts w:ascii="宋体" w:hAnsi="宋体" w:eastAsia="宋体"/>
                <w:sz w:val="16"/>
              </w:rPr>
              <w:t>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FC3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EA2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5475E">
            <w:pPr>
              <w:jc w:val="center"/>
            </w:pPr>
            <w:r>
              <w:rPr>
                <w:rFonts w:ascii="宋体" w:hAnsi="宋体" w:eastAsia="宋体"/>
                <w:sz w:val="16"/>
              </w:rPr>
              <w:t>—</w:t>
            </w:r>
          </w:p>
        </w:tc>
      </w:tr>
      <w:tr w14:paraId="4C6FC1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96B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700C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3C0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A65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C18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ECC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4ED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10A25">
            <w:pPr>
              <w:jc w:val="center"/>
            </w:pPr>
            <w:r>
              <w:rPr>
                <w:rFonts w:ascii="宋体" w:hAnsi="宋体" w:eastAsia="宋体"/>
                <w:sz w:val="16"/>
              </w:rPr>
              <w:t>—</w:t>
            </w:r>
          </w:p>
        </w:tc>
      </w:tr>
      <w:tr w14:paraId="49B518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6E1F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C9B9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FC5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75F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C12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08A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A88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30E26">
            <w:pPr>
              <w:jc w:val="center"/>
            </w:pPr>
            <w:r>
              <w:rPr>
                <w:rFonts w:ascii="宋体" w:hAnsi="宋体" w:eastAsia="宋体"/>
                <w:sz w:val="16"/>
              </w:rPr>
              <w:t>—</w:t>
            </w:r>
          </w:p>
        </w:tc>
      </w:tr>
      <w:tr w14:paraId="56933F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E77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3885E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C93B57">
            <w:pPr>
              <w:jc w:val="center"/>
            </w:pPr>
            <w:r>
              <w:rPr>
                <w:rFonts w:ascii="宋体" w:hAnsi="宋体" w:eastAsia="宋体"/>
                <w:sz w:val="16"/>
              </w:rPr>
              <w:t>实际完成情况</w:t>
            </w:r>
          </w:p>
        </w:tc>
      </w:tr>
      <w:tr w14:paraId="63D379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13FA1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ADF498">
            <w:pPr>
              <w:jc w:val="both"/>
            </w:pPr>
            <w:r>
              <w:rPr>
                <w:rFonts w:ascii="宋体" w:hAnsi="宋体" w:eastAsia="宋体"/>
                <w:sz w:val="16"/>
              </w:rPr>
              <w:t>根据《自治区农村学前三年免费教育经费保障机制管理办法》新财教</w:t>
            </w:r>
            <w:r>
              <w:rPr>
                <w:rFonts w:hint="eastAsia" w:ascii="宋体" w:hAnsi="宋体"/>
                <w:sz w:val="16"/>
                <w:lang w:eastAsia="zh-CN"/>
              </w:rPr>
              <w:t>〔2017〕19号</w:t>
            </w:r>
            <w:r>
              <w:rPr>
                <w:rFonts w:ascii="宋体" w:hAnsi="宋体" w:eastAsia="宋体"/>
                <w:sz w:val="16"/>
              </w:rPr>
              <w:t>文件要求实施本项目。项目实施内容：保障我县2所幼儿园151名学生220天的伙食补助，按照每人每年516元标准进行补助。通过项目实施，减轻学前教育困难家庭幼儿生活费负担，促进教育资源公平均衡配置。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4F6B81">
            <w:pPr>
              <w:jc w:val="both"/>
            </w:pPr>
            <w:r>
              <w:rPr>
                <w:rFonts w:ascii="宋体" w:hAnsi="宋体" w:eastAsia="宋体"/>
                <w:sz w:val="16"/>
              </w:rPr>
              <w:t>截至目前，该项目已完成。保障我县2所幼儿园102名学生220天的伙食补助，按照每人每年516元标准进行补助。通过项目实施，减轻学前教育困难家庭幼儿生活费负担，促进教育资源公平均衡配置。</w:t>
            </w:r>
          </w:p>
        </w:tc>
      </w:tr>
      <w:tr w14:paraId="5CFF96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120B2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1612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1838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E619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9960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01B7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900B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327D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03FA6">
            <w:pPr>
              <w:jc w:val="center"/>
            </w:pPr>
            <w:r>
              <w:rPr>
                <w:rFonts w:ascii="宋体" w:hAnsi="宋体" w:eastAsia="宋体"/>
                <w:sz w:val="16"/>
              </w:rPr>
              <w:t>偏差原因分析及改进措施</w:t>
            </w:r>
          </w:p>
        </w:tc>
      </w:tr>
      <w:tr w14:paraId="39B540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956B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B42D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8DC0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5F606">
            <w:pPr>
              <w:jc w:val="center"/>
            </w:pPr>
            <w:r>
              <w:rPr>
                <w:rFonts w:ascii="宋体" w:hAnsi="宋体" w:eastAsia="宋体"/>
                <w:sz w:val="16"/>
              </w:rPr>
              <w:t>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E17DD">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18F8E">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9DD6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675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B2AAC">
            <w:pPr>
              <w:jc w:val="center"/>
            </w:pPr>
          </w:p>
        </w:tc>
      </w:tr>
      <w:tr w14:paraId="502672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BAC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019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42C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D7425">
            <w:pPr>
              <w:jc w:val="center"/>
            </w:pPr>
            <w:r>
              <w:rPr>
                <w:rFonts w:ascii="宋体" w:hAnsi="宋体" w:eastAsia="宋体"/>
                <w:sz w:val="16"/>
              </w:rPr>
              <w:t>幼儿园幼儿数量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AD449">
            <w:pPr>
              <w:jc w:val="center"/>
            </w:pPr>
            <w:r>
              <w:rPr>
                <w:rFonts w:ascii="宋体" w:hAnsi="宋体" w:eastAsia="宋体"/>
                <w:sz w:val="16"/>
              </w:rPr>
              <w:t>&gt;=151人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90C77">
            <w:pPr>
              <w:jc w:val="center"/>
            </w:pPr>
            <w:r>
              <w:rPr>
                <w:rFonts w:ascii="宋体" w:hAnsi="宋体" w:eastAsia="宋体"/>
                <w:sz w:val="16"/>
              </w:rPr>
              <w:t>=102人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ADC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0B930">
            <w:pPr>
              <w:jc w:val="center"/>
            </w:pPr>
            <w:r>
              <w:rPr>
                <w:rFonts w:ascii="宋体" w:hAnsi="宋体" w:eastAsia="宋体"/>
                <w:sz w:val="16"/>
              </w:rPr>
              <w:t>1.89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7A36">
            <w:pPr>
              <w:jc w:val="center"/>
            </w:pPr>
            <w:r>
              <w:rPr>
                <w:rFonts w:ascii="宋体" w:hAnsi="宋体" w:eastAsia="宋体"/>
                <w:sz w:val="16"/>
              </w:rPr>
              <w:t>人数按实际需求存在变动，人数减少</w:t>
            </w:r>
          </w:p>
        </w:tc>
      </w:tr>
      <w:tr w14:paraId="6E766B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3E0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43B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397D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F7E19">
            <w:pPr>
              <w:jc w:val="center"/>
            </w:pPr>
            <w:r>
              <w:rPr>
                <w:rFonts w:ascii="宋体" w:hAnsi="宋体" w:eastAsia="宋体"/>
                <w:sz w:val="16"/>
              </w:rPr>
              <w:t>幼儿园教师数量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8B254">
            <w:pPr>
              <w:jc w:val="center"/>
            </w:pPr>
            <w:r>
              <w:rPr>
                <w:rFonts w:ascii="宋体" w:hAnsi="宋体" w:eastAsia="宋体"/>
                <w:sz w:val="16"/>
              </w:rPr>
              <w:t>&gt;=18人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245D3">
            <w:pPr>
              <w:jc w:val="center"/>
            </w:pPr>
            <w:r>
              <w:rPr>
                <w:rFonts w:ascii="宋体" w:hAnsi="宋体" w:eastAsia="宋体"/>
                <w:sz w:val="16"/>
              </w:rPr>
              <w:t>=18人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49A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9B6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E248E">
            <w:pPr>
              <w:jc w:val="center"/>
            </w:pPr>
          </w:p>
        </w:tc>
      </w:tr>
      <w:tr w14:paraId="7B8DBD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3B66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2EB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93FD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94809">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E44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5FC03">
            <w:pPr>
              <w:jc w:val="center"/>
            </w:pPr>
            <w:r>
              <w:rPr>
                <w:rFonts w:ascii="宋体" w:hAnsi="宋体" w:eastAsia="宋体"/>
                <w:sz w:val="16"/>
              </w:rPr>
              <w:t>=67.55%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D3B8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B44E3">
            <w:pPr>
              <w:jc w:val="center"/>
            </w:pPr>
            <w:r>
              <w:rPr>
                <w:rFonts w:ascii="宋体" w:hAnsi="宋体" w:eastAsia="宋体"/>
                <w:sz w:val="16"/>
              </w:rPr>
              <w:t>0.94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8816E">
            <w:pPr>
              <w:jc w:val="center"/>
            </w:pPr>
            <w:r>
              <w:rPr>
                <w:rFonts w:ascii="宋体" w:hAnsi="宋体" w:eastAsia="宋体"/>
                <w:sz w:val="16"/>
              </w:rPr>
              <w:t>人数按实际需求存在变动，人数减少，发放人数减少</w:t>
            </w:r>
          </w:p>
        </w:tc>
      </w:tr>
      <w:tr w14:paraId="153C9B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801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894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D5B2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18170">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757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1A4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93A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946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E207C">
            <w:pPr>
              <w:jc w:val="center"/>
            </w:pPr>
          </w:p>
        </w:tc>
      </w:tr>
      <w:tr w14:paraId="42413F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D6F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173E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5840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8A1DF">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92146">
            <w:pPr>
              <w:jc w:val="center"/>
            </w:pPr>
            <w:r>
              <w:rPr>
                <w:rFonts w:ascii="宋体" w:hAnsi="宋体" w:eastAsia="宋体"/>
                <w:sz w:val="16"/>
              </w:rPr>
              <w:t>&lt;=516元/人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7784">
            <w:pPr>
              <w:jc w:val="center"/>
            </w:pPr>
            <w:r>
              <w:rPr>
                <w:rFonts w:ascii="宋体" w:hAnsi="宋体" w:eastAsia="宋体"/>
                <w:sz w:val="16"/>
              </w:rPr>
              <w:t>=516元/人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72AC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A77C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2BB27">
            <w:pPr>
              <w:jc w:val="center"/>
            </w:pPr>
          </w:p>
        </w:tc>
      </w:tr>
      <w:tr w14:paraId="1438B9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825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BC21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B6B3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D5038">
            <w:pPr>
              <w:jc w:val="center"/>
            </w:pPr>
            <w:r>
              <w:rPr>
                <w:rFonts w:ascii="宋体" w:hAnsi="宋体" w:eastAsia="宋体"/>
                <w:sz w:val="16"/>
              </w:rPr>
              <w:t>促进教育资源公平均衡配置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D0D34">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6B90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AD9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CB4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8191A">
            <w:pPr>
              <w:jc w:val="center"/>
            </w:pPr>
          </w:p>
        </w:tc>
      </w:tr>
      <w:tr w14:paraId="703623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C56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C9D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D0EB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AFE21">
            <w:pPr>
              <w:jc w:val="center"/>
            </w:pPr>
            <w:r>
              <w:rPr>
                <w:rFonts w:ascii="宋体" w:hAnsi="宋体" w:eastAsia="宋体"/>
                <w:sz w:val="16"/>
              </w:rPr>
              <w:t>受益幼儿园满意度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BDDC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4A5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70C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43C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E6587">
            <w:pPr>
              <w:jc w:val="center"/>
            </w:pPr>
          </w:p>
        </w:tc>
      </w:tr>
      <w:tr w14:paraId="0C8FE00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E9E5E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EBA4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376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78C7D">
            <w:pPr>
              <w:jc w:val="center"/>
            </w:pPr>
            <w:r>
              <w:rPr>
                <w:rFonts w:ascii="宋体" w:hAnsi="宋体" w:eastAsia="宋体"/>
                <w:sz w:val="16"/>
              </w:rPr>
              <w:t>87.83分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B84AA8"/>
        </w:tc>
      </w:tr>
    </w:tbl>
    <w:p w14:paraId="62783578">
      <w:r>
        <w:br w:type="page"/>
      </w:r>
    </w:p>
    <w:p w14:paraId="1B58D737">
      <w:pPr>
        <w:spacing w:line="640" w:lineRule="exact"/>
        <w:ind w:firstLine="640"/>
        <w:jc w:val="both"/>
        <w:outlineLvl w:val="2"/>
      </w:pPr>
      <w:r>
        <w:rPr>
          <w:rFonts w:ascii="黑体" w:hAnsi="黑体" w:eastAsia="黑体"/>
          <w:sz w:val="32"/>
        </w:rPr>
        <w:t>十二、其他需说明的事项</w:t>
      </w:r>
    </w:p>
    <w:p w14:paraId="2EEA9797">
      <w:pPr>
        <w:spacing w:line="580" w:lineRule="exact"/>
        <w:ind w:firstLine="640"/>
        <w:jc w:val="both"/>
      </w:pPr>
      <w:r>
        <w:rPr>
          <w:rFonts w:ascii="仿宋_GB2312" w:hAnsi="仿宋_GB2312" w:eastAsia="仿宋_GB2312"/>
          <w:b w:val="0"/>
          <w:sz w:val="32"/>
        </w:rPr>
        <w:t>本单位无其他需说明的事项。</w:t>
      </w:r>
    </w:p>
    <w:p w14:paraId="6551F8A8">
      <w:r>
        <w:br w:type="page"/>
      </w:r>
    </w:p>
    <w:p w14:paraId="4C10303D">
      <w:pPr>
        <w:spacing w:line="240" w:lineRule="auto"/>
        <w:jc w:val="center"/>
        <w:outlineLvl w:val="1"/>
      </w:pPr>
      <w:r>
        <w:rPr>
          <w:rFonts w:ascii="黑体" w:hAnsi="黑体" w:eastAsia="黑体"/>
          <w:sz w:val="32"/>
        </w:rPr>
        <w:t>第三部分 专业名词解释</w:t>
      </w:r>
    </w:p>
    <w:p w14:paraId="4F50C34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1F2F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571F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A66327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633B5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99FBB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CAF4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041D7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229CD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73DBC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A4924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5020E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3822A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A1E9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0DC14A">
      <w:r>
        <w:br w:type="page"/>
      </w:r>
    </w:p>
    <w:p w14:paraId="3EE68AC6">
      <w:pPr>
        <w:spacing w:line="240" w:lineRule="auto"/>
        <w:jc w:val="center"/>
        <w:outlineLvl w:val="1"/>
      </w:pPr>
      <w:r>
        <w:rPr>
          <w:rFonts w:ascii="黑体" w:hAnsi="黑体" w:eastAsia="黑体"/>
          <w:sz w:val="32"/>
        </w:rPr>
        <w:t>第四部分 部门决算报表（见附表）</w:t>
      </w:r>
    </w:p>
    <w:p w14:paraId="40FCBBE1">
      <w:pPr>
        <w:spacing w:line="240" w:lineRule="auto"/>
        <w:ind w:firstLine="640"/>
        <w:jc w:val="both"/>
      </w:pPr>
      <w:r>
        <w:rPr>
          <w:rFonts w:ascii="仿宋_GB2312" w:hAnsi="仿宋_GB2312" w:eastAsia="仿宋_GB2312"/>
          <w:b w:val="0"/>
          <w:sz w:val="32"/>
        </w:rPr>
        <w:t>一、《收入支出决算总表》</w:t>
      </w:r>
    </w:p>
    <w:p w14:paraId="1FEF7662">
      <w:pPr>
        <w:spacing w:line="240" w:lineRule="auto"/>
        <w:ind w:firstLine="640"/>
        <w:jc w:val="both"/>
      </w:pPr>
      <w:r>
        <w:rPr>
          <w:rFonts w:ascii="仿宋_GB2312" w:hAnsi="仿宋_GB2312" w:eastAsia="仿宋_GB2312"/>
          <w:b w:val="0"/>
          <w:sz w:val="32"/>
        </w:rPr>
        <w:t>二、《收入决算表》</w:t>
      </w:r>
    </w:p>
    <w:p w14:paraId="7ECDD360">
      <w:pPr>
        <w:spacing w:line="240" w:lineRule="auto"/>
        <w:ind w:firstLine="640"/>
        <w:jc w:val="both"/>
      </w:pPr>
      <w:r>
        <w:rPr>
          <w:rFonts w:ascii="仿宋_GB2312" w:hAnsi="仿宋_GB2312" w:eastAsia="仿宋_GB2312"/>
          <w:b w:val="0"/>
          <w:sz w:val="32"/>
        </w:rPr>
        <w:t>三、《支出决算表》</w:t>
      </w:r>
    </w:p>
    <w:p w14:paraId="62179868">
      <w:pPr>
        <w:spacing w:line="240" w:lineRule="auto"/>
        <w:ind w:firstLine="640"/>
        <w:jc w:val="both"/>
      </w:pPr>
      <w:r>
        <w:rPr>
          <w:rFonts w:ascii="仿宋_GB2312" w:hAnsi="仿宋_GB2312" w:eastAsia="仿宋_GB2312"/>
          <w:b w:val="0"/>
          <w:sz w:val="32"/>
        </w:rPr>
        <w:t>四、《财政拨款收入支出决算总表》</w:t>
      </w:r>
    </w:p>
    <w:p w14:paraId="1D9D33C8">
      <w:pPr>
        <w:spacing w:line="240" w:lineRule="auto"/>
        <w:ind w:firstLine="640"/>
        <w:jc w:val="both"/>
      </w:pPr>
      <w:r>
        <w:rPr>
          <w:rFonts w:ascii="仿宋_GB2312" w:hAnsi="仿宋_GB2312" w:eastAsia="仿宋_GB2312"/>
          <w:b w:val="0"/>
          <w:sz w:val="32"/>
        </w:rPr>
        <w:t>五、《一般公共预算财政拨款支出决算表》</w:t>
      </w:r>
    </w:p>
    <w:p w14:paraId="0743E25A">
      <w:pPr>
        <w:spacing w:line="240" w:lineRule="auto"/>
        <w:ind w:firstLine="640"/>
        <w:jc w:val="both"/>
      </w:pPr>
      <w:r>
        <w:rPr>
          <w:rFonts w:ascii="仿宋_GB2312" w:hAnsi="仿宋_GB2312" w:eastAsia="仿宋_GB2312"/>
          <w:b w:val="0"/>
          <w:sz w:val="32"/>
        </w:rPr>
        <w:t>六、《一般公共预算财政拨款基本支出决算表》</w:t>
      </w:r>
    </w:p>
    <w:p w14:paraId="445592AE">
      <w:pPr>
        <w:spacing w:line="240" w:lineRule="auto"/>
        <w:ind w:firstLine="640"/>
        <w:jc w:val="both"/>
      </w:pPr>
      <w:r>
        <w:rPr>
          <w:rFonts w:ascii="仿宋_GB2312" w:hAnsi="仿宋_GB2312" w:eastAsia="仿宋_GB2312"/>
          <w:b w:val="0"/>
          <w:sz w:val="32"/>
        </w:rPr>
        <w:t>七、《政府性基金预算财政拨款收入支出决算表》</w:t>
      </w:r>
    </w:p>
    <w:p w14:paraId="4214F429">
      <w:pPr>
        <w:spacing w:line="240" w:lineRule="auto"/>
        <w:ind w:firstLine="640"/>
        <w:jc w:val="both"/>
      </w:pPr>
      <w:r>
        <w:rPr>
          <w:rFonts w:ascii="仿宋_GB2312" w:hAnsi="仿宋_GB2312" w:eastAsia="仿宋_GB2312"/>
          <w:b w:val="0"/>
          <w:sz w:val="32"/>
        </w:rPr>
        <w:t>八、《国有资本经营预算财政拨款收入支出决算表》</w:t>
      </w:r>
    </w:p>
    <w:p w14:paraId="7B9C70FD">
      <w:pPr>
        <w:spacing w:line="240" w:lineRule="auto"/>
        <w:ind w:firstLine="640"/>
        <w:jc w:val="both"/>
      </w:pPr>
      <w:r>
        <w:rPr>
          <w:rFonts w:ascii="仿宋_GB2312" w:hAnsi="仿宋_GB2312" w:eastAsia="仿宋_GB2312"/>
          <w:b w:val="0"/>
          <w:sz w:val="32"/>
        </w:rPr>
        <w:t>九、《财政拨款“三公”经费支出决算表》</w:t>
      </w:r>
    </w:p>
    <w:p w14:paraId="710BEF7F">
      <w:pPr>
        <w:spacing w:line="240" w:lineRule="auto"/>
        <w:ind w:firstLine="640"/>
        <w:jc w:val="both"/>
      </w:pPr>
    </w:p>
    <w:p w14:paraId="11B738E5">
      <w:pPr>
        <w:spacing w:line="240" w:lineRule="auto"/>
        <w:ind w:firstLine="640"/>
        <w:jc w:val="both"/>
      </w:pPr>
    </w:p>
    <w:p w14:paraId="3E170A20">
      <w:pPr>
        <w:spacing w:line="240" w:lineRule="auto"/>
        <w:ind w:firstLine="640"/>
        <w:jc w:val="both"/>
      </w:pPr>
    </w:p>
    <w:p w14:paraId="79FE044A">
      <w:pPr>
        <w:spacing w:line="240" w:lineRule="auto"/>
        <w:ind w:firstLine="640"/>
        <w:jc w:val="both"/>
      </w:pPr>
    </w:p>
    <w:p w14:paraId="0252459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C5EF59-EE6E-42BA-81E5-D2D4B7C28B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82DC32E-464F-45FA-80F1-E493C54C3F46}"/>
  </w:font>
  <w:font w:name="仿宋_GB2312">
    <w:panose1 w:val="02010609030101010101"/>
    <w:charset w:val="86"/>
    <w:family w:val="modern"/>
    <w:pitch w:val="default"/>
    <w:sig w:usb0="00000001" w:usb1="080E0000" w:usb2="00000000" w:usb3="00000000" w:csb0="00040000" w:csb1="00000000"/>
    <w:embedRegular r:id="rId3" w:fontKey="{B2F447B7-6FE1-46A0-9830-75C519A3F003}"/>
  </w:font>
  <w:font w:name="楷体_GB2312">
    <w:panose1 w:val="02010609030101010101"/>
    <w:charset w:val="86"/>
    <w:family w:val="auto"/>
    <w:pitch w:val="default"/>
    <w:sig w:usb0="00000001" w:usb1="080E0000" w:usb2="00000000" w:usb3="00000000" w:csb0="00040000" w:csb1="00000000"/>
    <w:embedRegular r:id="rId4" w:fontKey="{55E4ECC5-D98B-4CA5-AFAF-F6D135F975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2435AC"/>
    <w:rsid w:val="50DB5F45"/>
    <w:rsid w:val="52F92565"/>
    <w:rsid w:val="543D17CB"/>
    <w:rsid w:val="55DA564E"/>
    <w:rsid w:val="56E07045"/>
    <w:rsid w:val="583059FA"/>
    <w:rsid w:val="587E6212"/>
    <w:rsid w:val="5AFC6609"/>
    <w:rsid w:val="5FA17648"/>
    <w:rsid w:val="5FD320BD"/>
    <w:rsid w:val="60DE4D57"/>
    <w:rsid w:val="613409CB"/>
    <w:rsid w:val="61A46A97"/>
    <w:rsid w:val="62DD7D21"/>
    <w:rsid w:val="63B64CC4"/>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3620</Words>
  <Characters>4140</Characters>
  <Lines>0</Lines>
  <Paragraphs>0</Paragraphs>
  <TotalTime>3</TotalTime>
  <ScaleCrop>false</ScaleCrop>
  <LinksUpToDate>false</LinksUpToDate>
  <CharactersWithSpaces>4148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2025-09-25T08:00:04Z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