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民丰县若克雅乡人民政府2024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0A2FDE5">
      <w:r>
        <w:br w:type="page"/>
      </w:r>
    </w:p>
    <w:p w14:paraId="2168AD27">
      <w:pPr>
        <w:spacing w:line="640" w:lineRule="exact"/>
        <w:jc w:val="center"/>
        <w:outlineLvl w:val="1"/>
      </w:pPr>
      <w:bookmarkStart w:id="0" w:name="_GoBack"/>
      <w:bookmarkEnd w:id="0"/>
      <w:r>
        <w:rPr>
          <w:rFonts w:ascii="黑体" w:hAnsi="黑体" w:eastAsia="黑体"/>
          <w:sz w:val="32"/>
        </w:rPr>
        <w:t>第一部分 单位概况</w:t>
      </w:r>
    </w:p>
    <w:p w14:paraId="70016E45">
      <w:pPr>
        <w:spacing w:line="640" w:lineRule="exact"/>
        <w:ind w:firstLine="640"/>
        <w:jc w:val="both"/>
        <w:outlineLvl w:val="2"/>
      </w:pPr>
      <w:r>
        <w:rPr>
          <w:rFonts w:ascii="黑体" w:hAnsi="黑体" w:eastAsia="黑体"/>
          <w:sz w:val="32"/>
        </w:rPr>
        <w:t>一、主要职能</w:t>
      </w:r>
    </w:p>
    <w:p w14:paraId="7A924657">
      <w:pPr>
        <w:spacing w:line="580" w:lineRule="exact"/>
        <w:ind w:firstLine="640"/>
        <w:jc w:val="both"/>
      </w:pPr>
      <w:r>
        <w:rPr>
          <w:rFonts w:ascii="仿宋_GB2312" w:hAnsi="仿宋_GB2312" w:eastAsia="仿宋_GB2312"/>
          <w:sz w:val="32"/>
        </w:rPr>
        <w:t>1.贯彻执行党和国家的各项方针政策、法律,法规,执行地区行政公署、县人民政府的决定、命令、指示、完成县人民政府部署的各项任务。</w:t>
      </w:r>
    </w:p>
    <w:p w14:paraId="5910ECC4">
      <w:pPr>
        <w:spacing w:line="580" w:lineRule="exact"/>
        <w:ind w:firstLine="640"/>
        <w:jc w:val="both"/>
      </w:pPr>
      <w:r>
        <w:rPr>
          <w:rFonts w:ascii="仿宋_GB2312" w:hAnsi="仿宋_GB2312" w:eastAsia="仿宋_GB2312"/>
          <w:sz w:val="32"/>
        </w:rPr>
        <w:t>2.对本乡公共事务行使组织领导、综合协调、统筹监督、监督检查的职能,对县政府职能部门的派出机构实行双重领导。</w:t>
      </w:r>
    </w:p>
    <w:p w14:paraId="11FE181E">
      <w:pPr>
        <w:spacing w:line="580" w:lineRule="exact"/>
        <w:ind w:firstLine="640"/>
        <w:jc w:val="both"/>
      </w:pPr>
      <w:r>
        <w:rPr>
          <w:rFonts w:ascii="仿宋_GB2312" w:hAnsi="仿宋_GB2312" w:eastAsia="仿宋_GB2312"/>
          <w:sz w:val="32"/>
        </w:rPr>
        <w:t>3.负责本乡经济发展规划和组织实施,营造良好投资环境,服务好辖区内经济组织,协助做好招商引资工作。</w:t>
      </w:r>
    </w:p>
    <w:p w14:paraId="5E7E1D1B">
      <w:pPr>
        <w:spacing w:line="580" w:lineRule="exact"/>
        <w:ind w:firstLine="640"/>
        <w:jc w:val="both"/>
      </w:pPr>
      <w:r>
        <w:rPr>
          <w:rFonts w:ascii="仿宋_GB2312" w:hAnsi="仿宋_GB2312" w:eastAsia="仿宋_GB2312"/>
          <w:sz w:val="32"/>
        </w:rPr>
        <w:t>4.拟定村集体建设工作规划,指导和帮助村民委员会做好组织建设和制度建设,推动本乡民主和法制建设,发挥村委会在全乡建设中的积极作用。</w:t>
      </w:r>
    </w:p>
    <w:p w14:paraId="4F59C60C">
      <w:pPr>
        <w:spacing w:line="580" w:lineRule="exact"/>
        <w:ind w:firstLine="640"/>
        <w:jc w:val="both"/>
      </w:pPr>
      <w:r>
        <w:rPr>
          <w:rFonts w:ascii="仿宋_GB2312" w:hAnsi="仿宋_GB2312" w:eastAsia="仿宋_GB2312"/>
          <w:sz w:val="32"/>
        </w:rPr>
        <w:t>5.做好拥军优属,社会救助,住房保障,老龄人、残疾人、殡葬管理等民政工作。</w:t>
      </w:r>
    </w:p>
    <w:p w14:paraId="48ADE48B">
      <w:pPr>
        <w:spacing w:line="580" w:lineRule="exact"/>
        <w:ind w:firstLine="640"/>
        <w:jc w:val="both"/>
      </w:pPr>
      <w:r>
        <w:rPr>
          <w:rFonts w:ascii="仿宋_GB2312" w:hAnsi="仿宋_GB2312" w:eastAsia="仿宋_GB2312"/>
          <w:sz w:val="32"/>
        </w:rPr>
        <w:t>6.负责本乡的村镇规划建设,环境卫生、绿化、环境保护等工作。</w:t>
      </w:r>
    </w:p>
    <w:p w14:paraId="0BADCC40">
      <w:pPr>
        <w:spacing w:line="580" w:lineRule="exact"/>
        <w:ind w:firstLine="640"/>
        <w:jc w:val="both"/>
      </w:pPr>
      <w:r>
        <w:rPr>
          <w:rFonts w:ascii="仿宋_GB2312" w:hAnsi="仿宋_GB2312" w:eastAsia="仿宋_GB2312"/>
          <w:sz w:val="32"/>
        </w:rPr>
        <w:t>7.拟定社会治安综合治理规划并组织实施,维护本乡社会稳定,协调处理各类突发事件,及时办理人民群众来信,来访等事项。</w:t>
      </w:r>
    </w:p>
    <w:p w14:paraId="63842E84">
      <w:pPr>
        <w:spacing w:line="580" w:lineRule="exact"/>
        <w:ind w:firstLine="640"/>
        <w:jc w:val="both"/>
      </w:pPr>
      <w:r>
        <w:rPr>
          <w:rFonts w:ascii="仿宋_GB2312" w:hAnsi="仿宋_GB2312" w:eastAsia="仿宋_GB2312"/>
          <w:sz w:val="32"/>
        </w:rPr>
        <w:t>8.负责协调各部门,做好辖区内交通,安全生产,食品药品安全,消防等工作。</w:t>
      </w:r>
    </w:p>
    <w:p w14:paraId="0EC5728C">
      <w:pPr>
        <w:spacing w:line="580" w:lineRule="exact"/>
        <w:ind w:firstLine="640"/>
        <w:jc w:val="both"/>
      </w:pPr>
      <w:r>
        <w:rPr>
          <w:rFonts w:ascii="仿宋_GB2312" w:hAnsi="仿宋_GB2312" w:eastAsia="仿宋_GB2312"/>
          <w:sz w:val="32"/>
        </w:rPr>
        <w:t>9.做好流动人口管理工作,完成本乡文化,体育,广播电视、卫生、教育科普等工作。</w:t>
      </w:r>
    </w:p>
    <w:p w14:paraId="4D0B2F4B">
      <w:pPr>
        <w:spacing w:line="580" w:lineRule="exact"/>
        <w:ind w:firstLine="640"/>
        <w:jc w:val="both"/>
      </w:pPr>
      <w:r>
        <w:rPr>
          <w:rFonts w:ascii="仿宋_GB2312" w:hAnsi="仿宋_GB2312" w:eastAsia="仿宋_GB2312"/>
          <w:sz w:val="32"/>
        </w:rPr>
        <w:t>10.承办县人民政府交办的其他事项。</w:t>
      </w:r>
    </w:p>
    <w:p w14:paraId="2107BD5B">
      <w:pPr>
        <w:spacing w:line="640" w:lineRule="exact"/>
        <w:ind w:firstLine="640"/>
        <w:jc w:val="both"/>
        <w:outlineLvl w:val="2"/>
      </w:pPr>
      <w:r>
        <w:rPr>
          <w:rFonts w:ascii="黑体" w:hAnsi="黑体" w:eastAsia="黑体"/>
          <w:sz w:val="32"/>
        </w:rPr>
        <w:t>二、机构设置及人员情况</w:t>
      </w:r>
    </w:p>
    <w:p w14:paraId="1789DC79">
      <w:pPr>
        <w:spacing w:line="580" w:lineRule="exact"/>
        <w:ind w:firstLine="640"/>
        <w:jc w:val="both"/>
      </w:pPr>
      <w:r>
        <w:rPr>
          <w:rFonts w:ascii="仿宋_GB2312" w:hAnsi="仿宋_GB2312" w:eastAsia="仿宋_GB2312"/>
          <w:sz w:val="32"/>
        </w:rPr>
        <w:t>民丰县若克雅乡人民政府2024年度，实有人数136人，其中：在职人员111人，减少5人；离休人员0人，增加0人；退休人员25人,减少1人。</w:t>
      </w:r>
    </w:p>
    <w:p w14:paraId="68638A32">
      <w:pPr>
        <w:spacing w:line="580" w:lineRule="exact"/>
        <w:ind w:firstLine="640"/>
        <w:jc w:val="both"/>
      </w:pPr>
      <w:r>
        <w:rPr>
          <w:rFonts w:ascii="仿宋_GB2312" w:hAnsi="仿宋_GB2312" w:eastAsia="仿宋_GB2312"/>
          <w:sz w:val="32"/>
        </w:rPr>
        <w:t>民丰县若克雅乡人民政府无下属预算单位，下设10个科室，分别是：党政综合办公室、党建工作办公室、经济发展和财政办公室、社会事务办公室、综合执法办公室、综治和网格化服务中心、便民服务中心、农业发展服务中心、村镇建设发展中心、公共文化服务中心。</w:t>
      </w:r>
    </w:p>
    <w:p w14:paraId="565D3446">
      <w:r>
        <w:br w:type="page"/>
      </w:r>
    </w:p>
    <w:p w14:paraId="28459453">
      <w:pPr>
        <w:spacing w:line="240" w:lineRule="auto"/>
        <w:jc w:val="center"/>
        <w:outlineLvl w:val="1"/>
      </w:pPr>
      <w:r>
        <w:rPr>
          <w:rFonts w:ascii="黑体" w:hAnsi="黑体" w:eastAsia="黑体"/>
          <w:sz w:val="32"/>
        </w:rPr>
        <w:t>第二部分 部门决算情况说明</w:t>
      </w:r>
    </w:p>
    <w:p w14:paraId="2368AD6C">
      <w:pPr>
        <w:spacing w:line="640" w:lineRule="exact"/>
        <w:ind w:firstLine="640"/>
        <w:jc w:val="both"/>
        <w:outlineLvl w:val="2"/>
      </w:pPr>
      <w:r>
        <w:rPr>
          <w:rFonts w:ascii="黑体" w:hAnsi="黑体" w:eastAsia="黑体"/>
          <w:sz w:val="32"/>
        </w:rPr>
        <w:t>一、收入支出决算总体情况说明</w:t>
      </w:r>
    </w:p>
    <w:p w14:paraId="27CB6B85">
      <w:pPr>
        <w:spacing w:line="580" w:lineRule="exact"/>
        <w:ind w:firstLine="640"/>
        <w:jc w:val="both"/>
      </w:pPr>
      <w:r>
        <w:rPr>
          <w:rFonts w:ascii="仿宋_GB2312" w:hAnsi="仿宋_GB2312" w:eastAsia="仿宋_GB2312"/>
          <w:b/>
          <w:sz w:val="32"/>
        </w:rPr>
        <w:t>2024年度收入总计4,652.85万元，</w:t>
      </w:r>
      <w:r>
        <w:rPr>
          <w:rFonts w:ascii="仿宋_GB2312" w:hAnsi="仿宋_GB2312" w:eastAsia="仿宋_GB2312"/>
          <w:b w:val="0"/>
          <w:sz w:val="32"/>
        </w:rPr>
        <w:t>其中：本年收入合计4,440.28万元，使用非财政拨款结余（含专用结余）0.00万元，年初结转和结余212.57万元。</w:t>
      </w:r>
    </w:p>
    <w:p w14:paraId="599ECE9D">
      <w:pPr>
        <w:spacing w:line="580" w:lineRule="exact"/>
        <w:ind w:firstLine="640"/>
        <w:jc w:val="both"/>
      </w:pPr>
      <w:r>
        <w:rPr>
          <w:rFonts w:ascii="仿宋_GB2312" w:hAnsi="仿宋_GB2312" w:eastAsia="仿宋_GB2312"/>
          <w:b/>
          <w:sz w:val="32"/>
        </w:rPr>
        <w:t>2024年度支出总计4,652.85万元，</w:t>
      </w:r>
      <w:r>
        <w:rPr>
          <w:rFonts w:ascii="仿宋_GB2312" w:hAnsi="仿宋_GB2312" w:eastAsia="仿宋_GB2312"/>
          <w:b w:val="0"/>
          <w:sz w:val="32"/>
        </w:rPr>
        <w:t>其中：本年支出合计4,616.14万元，结余分配0.00万元，年末结转和结余36.71万元。</w:t>
      </w:r>
    </w:p>
    <w:p w14:paraId="41C10FE6">
      <w:pPr>
        <w:spacing w:line="580" w:lineRule="exact"/>
        <w:ind w:firstLine="640"/>
        <w:jc w:val="both"/>
      </w:pPr>
      <w:r>
        <w:rPr>
          <w:rFonts w:ascii="仿宋_GB2312" w:hAnsi="仿宋_GB2312" w:eastAsia="仿宋_GB2312"/>
          <w:b w:val="0"/>
          <w:sz w:val="32"/>
        </w:rPr>
        <w:t>收入支出总体与上年相比，增加1,486.23万元，增长46.93%，主要原因是：本年增加民丰县若克雅乡劳光村2024年乡村振兴示范村建设项目（基础设施）、民丰县若克雅乡劳光村2024年乡村振兴示范村建设项目（污水处理）、民丰县若克雅乡草原村数字化温室大棚建设项目、民丰县若克雅乡劳光村2024年乡村振兴示范村建设项目（产业发展）、民丰县若克雅乡草原村壮大村集体经济项目、民丰县种植业产业帮扶精准到户项目、民丰县庭院经济产业帮扶精准到户项目、民丰县畜牧业产业帮扶精准到户项目、民丰县林果业产业帮扶精准到户项目等，导致经费支出增加。</w:t>
      </w:r>
    </w:p>
    <w:p w14:paraId="035213B3">
      <w:pPr>
        <w:spacing w:line="640" w:lineRule="exact"/>
        <w:ind w:firstLine="640"/>
        <w:jc w:val="both"/>
        <w:outlineLvl w:val="2"/>
      </w:pPr>
      <w:r>
        <w:rPr>
          <w:rFonts w:ascii="黑体" w:hAnsi="黑体" w:eastAsia="黑体"/>
          <w:sz w:val="32"/>
        </w:rPr>
        <w:t>二、收入决算情况说明</w:t>
      </w:r>
    </w:p>
    <w:p w14:paraId="5458E4B4">
      <w:pPr>
        <w:spacing w:line="580" w:lineRule="exact"/>
        <w:ind w:firstLine="640"/>
        <w:jc w:val="both"/>
      </w:pPr>
      <w:r>
        <w:rPr>
          <w:rFonts w:ascii="仿宋_GB2312" w:hAnsi="仿宋_GB2312" w:eastAsia="仿宋_GB2312"/>
          <w:b/>
          <w:sz w:val="32"/>
        </w:rPr>
        <w:t>本年收入4,440.28万元，</w:t>
      </w:r>
      <w:r>
        <w:rPr>
          <w:rFonts w:ascii="仿宋_GB2312" w:hAnsi="仿宋_GB2312" w:eastAsia="仿宋_GB2312"/>
          <w:b w:val="0"/>
          <w:sz w:val="32"/>
        </w:rPr>
        <w:t>其中：财政拨款收入4,050.44万元，占91.22%；上级补助收入0.00万元，占0.00%；事业收入0.00万元，占0.00%；经营收入0.00万元，占0.00%；附属单位上缴收入0.00万元，占0.00%；其他收入389.84万元，占8.78%。</w:t>
      </w:r>
    </w:p>
    <w:p w14:paraId="550AC85C">
      <w:pPr>
        <w:spacing w:line="640" w:lineRule="exact"/>
        <w:ind w:firstLine="640"/>
        <w:jc w:val="both"/>
        <w:outlineLvl w:val="2"/>
      </w:pPr>
      <w:r>
        <w:rPr>
          <w:rFonts w:ascii="黑体" w:hAnsi="黑体" w:eastAsia="黑体"/>
          <w:sz w:val="32"/>
        </w:rPr>
        <w:t>三、支出决算情况说明</w:t>
      </w:r>
    </w:p>
    <w:p w14:paraId="5EC0D0BD">
      <w:pPr>
        <w:spacing w:line="580" w:lineRule="exact"/>
        <w:ind w:firstLine="640"/>
        <w:jc w:val="both"/>
      </w:pPr>
      <w:r>
        <w:rPr>
          <w:rFonts w:ascii="仿宋_GB2312" w:hAnsi="仿宋_GB2312" w:eastAsia="仿宋_GB2312"/>
          <w:b/>
          <w:sz w:val="32"/>
        </w:rPr>
        <w:t>本年支出4,616.14万元，</w:t>
      </w:r>
      <w:r>
        <w:rPr>
          <w:rFonts w:ascii="仿宋_GB2312" w:hAnsi="仿宋_GB2312" w:eastAsia="仿宋_GB2312"/>
          <w:b w:val="0"/>
          <w:sz w:val="32"/>
        </w:rPr>
        <w:t>其中：基本支出2,900.86万元，占62.84%；项目支出1,715.27万元，占37.16%；上缴上级支出0.00万元，占0.00%；经营支出0.00万元，占0.00%；对附属单位补助支出0.00万元，占0.00%。</w:t>
      </w:r>
    </w:p>
    <w:p w14:paraId="40BD7777">
      <w:pPr>
        <w:spacing w:line="640" w:lineRule="exact"/>
        <w:ind w:firstLine="640"/>
        <w:jc w:val="both"/>
        <w:outlineLvl w:val="2"/>
      </w:pPr>
      <w:r>
        <w:rPr>
          <w:rFonts w:ascii="黑体" w:hAnsi="黑体" w:eastAsia="黑体"/>
          <w:sz w:val="32"/>
        </w:rPr>
        <w:t>四、财政拨款收入支出决算总体情况说明</w:t>
      </w:r>
    </w:p>
    <w:p w14:paraId="4CFC1A72">
      <w:pPr>
        <w:spacing w:line="580" w:lineRule="exact"/>
        <w:ind w:firstLine="640"/>
        <w:jc w:val="both"/>
      </w:pPr>
      <w:r>
        <w:rPr>
          <w:rFonts w:ascii="仿宋_GB2312" w:hAnsi="仿宋_GB2312" w:eastAsia="仿宋_GB2312"/>
          <w:b/>
          <w:sz w:val="32"/>
        </w:rPr>
        <w:t>2024年度财政拨款收入总计4,050.44万元，</w:t>
      </w:r>
      <w:r>
        <w:rPr>
          <w:rFonts w:ascii="仿宋_GB2312" w:hAnsi="仿宋_GB2312" w:eastAsia="仿宋_GB2312"/>
          <w:b w:val="0"/>
          <w:sz w:val="32"/>
        </w:rPr>
        <w:t>其中：年初财政拨款结转和结余0.00万元，本年财政拨款收入4,050.44万元。</w:t>
      </w:r>
      <w:r>
        <w:rPr>
          <w:rFonts w:ascii="仿宋_GB2312" w:hAnsi="仿宋_GB2312" w:eastAsia="仿宋_GB2312"/>
          <w:b/>
          <w:sz w:val="32"/>
        </w:rPr>
        <w:t>财政拨款支出总计4,050.44万元，</w:t>
      </w:r>
      <w:r>
        <w:rPr>
          <w:rFonts w:ascii="仿宋_GB2312" w:hAnsi="仿宋_GB2312" w:eastAsia="仿宋_GB2312"/>
          <w:b w:val="0"/>
          <w:sz w:val="32"/>
        </w:rPr>
        <w:t>其中：年末财政拨款结转和结余0.00万元，本年财政拨款支出4,050.44万元。</w:t>
      </w:r>
    </w:p>
    <w:p w14:paraId="7755623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1,348.44万元，增长49.91%，主要原因是：本年增加民丰县若克雅乡劳光村2024年乡村振兴示范村建设项目（基础设施）、民丰县若克雅乡劳光村2024年乡村振兴示范村建设项目（污水处理）、民丰县若克雅乡草原村数字化温室大棚建设项目、民丰县若克雅乡劳光村2024年乡村振兴示范村建设项目（产业发展）、民丰县若克雅乡草原村壮大村集体经济项目、民丰县种植业产业帮扶精准到户项目、民丰县庭院经济产业帮扶精准到户项目、民丰县畜牧业产业帮扶精准到户项目、民丰县林果业产业帮扶精准到户项目等，导致经费支出增加。</w:t>
      </w:r>
      <w:r>
        <w:rPr>
          <w:rFonts w:ascii="仿宋_GB2312" w:hAnsi="仿宋_GB2312" w:eastAsia="仿宋_GB2312"/>
          <w:b/>
          <w:sz w:val="32"/>
        </w:rPr>
        <w:t>与年初预算相比，</w:t>
      </w:r>
      <w:r>
        <w:rPr>
          <w:rFonts w:ascii="仿宋_GB2312" w:hAnsi="仿宋_GB2312" w:eastAsia="仿宋_GB2312"/>
          <w:b w:val="0"/>
          <w:sz w:val="32"/>
        </w:rPr>
        <w:t>年初预算数2,565.34万元，决算数4,050.44万元，预决算差异率57.89%，主要原因是：年中追加民丰县若克雅乡劳光村2024年乡村振兴示范村建设项目（基础设施）、民丰县若克雅乡劳光村2024年乡村振兴示范村建设项目（污水处理）、民丰县若克雅乡劳光村2024年乡村振兴示范村建设项目（产业发展）、民丰县畜牧业产业帮扶精准到户项目等，导致预决算存在差异。</w:t>
      </w:r>
    </w:p>
    <w:p w14:paraId="4CDA0E69">
      <w:pPr>
        <w:spacing w:line="640" w:lineRule="exact"/>
        <w:ind w:firstLine="640"/>
        <w:jc w:val="both"/>
        <w:outlineLvl w:val="2"/>
      </w:pPr>
      <w:r>
        <w:rPr>
          <w:rFonts w:ascii="黑体" w:hAnsi="黑体" w:eastAsia="黑体"/>
          <w:sz w:val="32"/>
        </w:rPr>
        <w:t>五、一般公共预算财政拨款支出决算情况说明</w:t>
      </w:r>
    </w:p>
    <w:p w14:paraId="1655D2BC">
      <w:pPr>
        <w:spacing w:line="640" w:lineRule="exact"/>
        <w:ind w:firstLine="640"/>
        <w:jc w:val="both"/>
        <w:outlineLvl w:val="3"/>
      </w:pPr>
      <w:r>
        <w:rPr>
          <w:rFonts w:ascii="楷体_GB2312" w:hAnsi="楷体_GB2312" w:eastAsia="楷体_GB2312"/>
          <w:b/>
          <w:sz w:val="32"/>
        </w:rPr>
        <w:t>（一）一般公共预算财政拨款支出决算总体情况</w:t>
      </w:r>
    </w:p>
    <w:p w14:paraId="5AD62386">
      <w:pPr>
        <w:spacing w:line="580" w:lineRule="exact"/>
        <w:ind w:firstLine="640"/>
        <w:jc w:val="both"/>
      </w:pPr>
      <w:r>
        <w:rPr>
          <w:rFonts w:ascii="仿宋_GB2312" w:hAnsi="仿宋_GB2312" w:eastAsia="仿宋_GB2312"/>
          <w:b/>
          <w:sz w:val="32"/>
        </w:rPr>
        <w:t>2024年度一般公共预算财政拨款支出4,050.44万元，</w:t>
      </w:r>
      <w:r>
        <w:rPr>
          <w:rFonts w:ascii="仿宋_GB2312" w:hAnsi="仿宋_GB2312" w:eastAsia="仿宋_GB2312"/>
          <w:b w:val="0"/>
          <w:sz w:val="32"/>
        </w:rPr>
        <w:t>占本年支出合计的87.75%。</w:t>
      </w:r>
      <w:r>
        <w:rPr>
          <w:rFonts w:ascii="仿宋_GB2312" w:hAnsi="仿宋_GB2312" w:eastAsia="仿宋_GB2312"/>
          <w:b/>
          <w:sz w:val="32"/>
        </w:rPr>
        <w:t>与上年相比，</w:t>
      </w:r>
      <w:r>
        <w:rPr>
          <w:rFonts w:ascii="仿宋_GB2312" w:hAnsi="仿宋_GB2312" w:eastAsia="仿宋_GB2312"/>
          <w:b w:val="0"/>
          <w:sz w:val="32"/>
        </w:rPr>
        <w:t>增加1,348.44万元，增长49.91%，主要原因是：本年增加民丰县若克雅乡劳光村2024年乡村振兴示范村建设项目（基础设施）、民丰县若克雅乡劳光村2024年乡村振兴示范村建设项目（污水处理）、民丰县若克雅乡草原村数字化温室大棚建设项目、民丰县若克雅乡劳光村2024年乡村振兴示范村建设项目（产业发展）、民丰县若克雅乡草原村壮大村集体经济项目、民丰县种植业产业帮扶精准到户项目、民丰县庭院经济产业帮扶精准到户项目、民丰县畜牧业产业帮扶精准到户项目、民丰县林果业产业帮扶精准到户项目等，导致经费支出增加。</w:t>
      </w:r>
      <w:r>
        <w:rPr>
          <w:rFonts w:ascii="仿宋_GB2312" w:hAnsi="仿宋_GB2312" w:eastAsia="仿宋_GB2312"/>
          <w:b/>
          <w:sz w:val="32"/>
        </w:rPr>
        <w:t>与年初预算相比,</w:t>
      </w:r>
      <w:r>
        <w:rPr>
          <w:rFonts w:ascii="仿宋_GB2312" w:hAnsi="仿宋_GB2312" w:eastAsia="仿宋_GB2312"/>
          <w:b w:val="0"/>
          <w:sz w:val="32"/>
        </w:rPr>
        <w:t>年初预算数2,565.34万元，决算数4,050.44万元，预决算差异率57.89%，主要原因是：年中追加民丰县若克雅乡劳光村2024年乡村振兴示范村建设项目（基础设施）、民丰县若克雅乡劳光村2024年乡村振兴示范村建设项目（污水处理）、民丰县若克雅乡劳光村2024年乡村振兴示范村建设项目（产业发展）、民丰县畜牧业产业帮扶精准到户项目等，导致预决算存在差异。</w:t>
      </w:r>
    </w:p>
    <w:p w14:paraId="107A3CB1">
      <w:pPr>
        <w:spacing w:line="640" w:lineRule="exact"/>
        <w:ind w:firstLine="640"/>
        <w:jc w:val="both"/>
        <w:outlineLvl w:val="3"/>
      </w:pPr>
      <w:r>
        <w:rPr>
          <w:rFonts w:ascii="楷体_GB2312" w:hAnsi="楷体_GB2312" w:eastAsia="楷体_GB2312"/>
          <w:b/>
          <w:sz w:val="32"/>
        </w:rPr>
        <w:t>（二）一般公共预算财政拨款支出决算结构情况</w:t>
      </w:r>
    </w:p>
    <w:p w14:paraId="38215DF4">
      <w:pPr>
        <w:spacing w:line="580" w:lineRule="exact"/>
        <w:ind w:firstLine="640"/>
        <w:jc w:val="both"/>
      </w:pPr>
      <w:r>
        <w:rPr>
          <w:rFonts w:ascii="仿宋_GB2312" w:hAnsi="仿宋_GB2312" w:eastAsia="仿宋_GB2312"/>
          <w:b w:val="0"/>
          <w:sz w:val="32"/>
        </w:rPr>
        <w:t>1.一般公共服务支出(类)1,716.02万元,占42.37%。</w:t>
      </w:r>
    </w:p>
    <w:p w14:paraId="4550FB06">
      <w:pPr>
        <w:spacing w:line="580" w:lineRule="exact"/>
        <w:ind w:firstLine="640"/>
        <w:jc w:val="both"/>
      </w:pPr>
      <w:r>
        <w:rPr>
          <w:rFonts w:ascii="仿宋_GB2312" w:hAnsi="仿宋_GB2312" w:eastAsia="仿宋_GB2312"/>
          <w:b w:val="0"/>
          <w:sz w:val="32"/>
        </w:rPr>
        <w:t>2.社会保障和就业支出(类)326.33万元,占8.06%。</w:t>
      </w:r>
    </w:p>
    <w:p w14:paraId="33E7816A">
      <w:pPr>
        <w:spacing w:line="580" w:lineRule="exact"/>
        <w:ind w:firstLine="640"/>
        <w:jc w:val="both"/>
      </w:pPr>
      <w:r>
        <w:rPr>
          <w:rFonts w:ascii="仿宋_GB2312" w:hAnsi="仿宋_GB2312" w:eastAsia="仿宋_GB2312"/>
          <w:b w:val="0"/>
          <w:sz w:val="32"/>
        </w:rPr>
        <w:t>3.卫生健康支出(类)138.96万元,占3.43%。</w:t>
      </w:r>
    </w:p>
    <w:p w14:paraId="6DFAFAB7">
      <w:pPr>
        <w:spacing w:line="580" w:lineRule="exact"/>
        <w:ind w:firstLine="640"/>
        <w:jc w:val="both"/>
      </w:pPr>
      <w:r>
        <w:rPr>
          <w:rFonts w:ascii="仿宋_GB2312" w:hAnsi="仿宋_GB2312" w:eastAsia="仿宋_GB2312"/>
          <w:b w:val="0"/>
          <w:sz w:val="32"/>
        </w:rPr>
        <w:t>4.农林水支出(类)1,702.91万元,占42.04%。</w:t>
      </w:r>
    </w:p>
    <w:p w14:paraId="2CBB1583">
      <w:pPr>
        <w:spacing w:line="580" w:lineRule="exact"/>
        <w:ind w:firstLine="640"/>
        <w:jc w:val="both"/>
      </w:pPr>
      <w:r>
        <w:rPr>
          <w:rFonts w:ascii="仿宋_GB2312" w:hAnsi="仿宋_GB2312" w:eastAsia="仿宋_GB2312"/>
          <w:b w:val="0"/>
          <w:sz w:val="32"/>
        </w:rPr>
        <w:t>5.住房保障支出(类)166.22万元,占4.10%。</w:t>
      </w:r>
    </w:p>
    <w:p w14:paraId="6663FAD6">
      <w:pPr>
        <w:spacing w:line="640" w:lineRule="exact"/>
        <w:ind w:firstLine="640"/>
        <w:jc w:val="both"/>
        <w:outlineLvl w:val="3"/>
      </w:pPr>
      <w:r>
        <w:rPr>
          <w:rFonts w:ascii="楷体_GB2312" w:hAnsi="楷体_GB2312" w:eastAsia="楷体_GB2312"/>
          <w:b/>
          <w:sz w:val="32"/>
        </w:rPr>
        <w:t>（三）一般公共预算财政拨款支出决算具体情况</w:t>
      </w:r>
    </w:p>
    <w:p w14:paraId="39584B6D">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1.一般公共服务支出(类)政府办公厅（室）及相关机构事务(款)行政运行(项):支出决算数为1,716.02万元，比上年决算减少389.11万元，下降18.48%,主要原因是：本年科目调整，职工住房公积金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公务员医疗补助、退休人员经费等上年在主科目列支，本年单独列支。</w:t>
      </w:r>
    </w:p>
    <w:p w14:paraId="560B308C">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19.76万元，比上年决算增加19.76万元，增长100.00%,主要原因是：本年功能科目调整，行政单位离退休上年度在主科目列支，本年单独列支，导致经费较上年增加。</w:t>
      </w:r>
    </w:p>
    <w:p w14:paraId="4E23A3B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218.44万元，比上年决算增加25.65万元，增长13.30%,主要原因是：本年在职人员工资基数调增，养老缴费基数上涨，相应支出增加。</w:t>
      </w:r>
    </w:p>
    <w:p w14:paraId="3FDD0F7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88.14万元，比上年决算增加81.43万元，增长1,213.56%,主要原因是：2024年10月份开始缴纳在职职工职业年金单位部分，导致经费支出增加。</w:t>
      </w:r>
    </w:p>
    <w:p w14:paraId="5928D0BE">
      <w:pPr>
        <w:spacing w:line="580" w:lineRule="exact"/>
        <w:ind w:firstLine="640"/>
        <w:jc w:val="both"/>
      </w:pPr>
      <w:r>
        <w:rPr>
          <w:rFonts w:ascii="仿宋_GB2312" w:hAnsi="仿宋_GB2312" w:eastAsia="仿宋_GB2312"/>
          <w:b w:val="0"/>
          <w:sz w:val="32"/>
        </w:rPr>
        <w:t>5.社会保障和就业支出(类)临时救助(款)临时救助支出(项):支出决算数为0.00万元，比上年决算减少2.00万元，下降100.00%,主要原因是：本年度困难群众救助资金减少。</w:t>
      </w:r>
    </w:p>
    <w:p w14:paraId="4B086D6A">
      <w:pPr>
        <w:spacing w:line="580" w:lineRule="exact"/>
        <w:ind w:firstLine="640"/>
        <w:jc w:val="both"/>
      </w:pPr>
      <w:r>
        <w:rPr>
          <w:rFonts w:ascii="仿宋_GB2312" w:hAnsi="仿宋_GB2312" w:eastAsia="仿宋_GB2312"/>
          <w:b w:val="0"/>
          <w:sz w:val="32"/>
        </w:rPr>
        <w:t>6.卫生健康支出(类)行政事业单位医疗(款)行政单位医疗(项):支出决算数为93.55万元，比上年决算增加93.55万元，增长100.00%,主要原因是：本年功能科目调整，行政单位医疗支出上年度在主科目列支，本年单独列支，导致经费较上年增加。</w:t>
      </w:r>
    </w:p>
    <w:p w14:paraId="357E2ACD">
      <w:pPr>
        <w:spacing w:line="580" w:lineRule="exact"/>
        <w:ind w:firstLine="640"/>
        <w:jc w:val="both"/>
      </w:pPr>
      <w:r>
        <w:rPr>
          <w:rFonts w:ascii="仿宋_GB2312" w:hAnsi="仿宋_GB2312" w:eastAsia="仿宋_GB2312"/>
          <w:b w:val="0"/>
          <w:sz w:val="32"/>
        </w:rPr>
        <w:t>7.卫生健康支出(类)行政事业单位医疗(款)公务员医疗补助(项):支出决算数为38.75万元，比上年决算增加38.75万元，增长100.00%,主要原因是：本年功能科目调整，公务员医疗补助上年度在主科目列支，本年单独列支，导致经费较上年增加。</w:t>
      </w:r>
    </w:p>
    <w:p w14:paraId="4F850BC1">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8.卫生健康支出(类)行政事业单位医疗(款)其他行政事业单位医疗支出(项):支出决算数为6.65万元，比上年决算增加6.65万元，增长100.00%,主要原因是：本年功能科目调整，职工大病</w:t>
      </w:r>
      <w:r>
        <w:rPr>
          <w:rFonts w:hint="eastAsia" w:ascii="仿宋_GB2312" w:hAnsi="仿宋_GB2312" w:eastAsia="仿宋_GB2312"/>
          <w:b w:val="0"/>
          <w:sz w:val="32"/>
          <w:lang w:eastAsia="zh-CN"/>
        </w:rPr>
        <w:t>、</w:t>
      </w:r>
      <w:r>
        <w:rPr>
          <w:rFonts w:ascii="仿宋_GB2312" w:hAnsi="仿宋_GB2312" w:eastAsia="仿宋_GB2312"/>
          <w:b w:val="0"/>
          <w:sz w:val="32"/>
        </w:rPr>
        <w:t>工伤</w:t>
      </w:r>
      <w:r>
        <w:rPr>
          <w:rFonts w:hint="eastAsia" w:ascii="仿宋_GB2312" w:hAnsi="仿宋_GB2312" w:eastAsia="仿宋_GB2312"/>
          <w:b w:val="0"/>
          <w:sz w:val="32"/>
          <w:lang w:eastAsia="zh-CN"/>
        </w:rPr>
        <w:t>、</w:t>
      </w:r>
      <w:r>
        <w:rPr>
          <w:rFonts w:ascii="仿宋_GB2312" w:hAnsi="仿宋_GB2312" w:eastAsia="仿宋_GB2312"/>
          <w:b w:val="0"/>
          <w:sz w:val="32"/>
        </w:rPr>
        <w:t>失业保险缴费上年度在主科目列支，本年单独列支，导致经费较上年增加。</w:t>
      </w:r>
    </w:p>
    <w:p w14:paraId="763263FC">
      <w:pPr>
        <w:spacing w:line="580" w:lineRule="exact"/>
        <w:ind w:firstLine="640"/>
        <w:jc w:val="both"/>
      </w:pPr>
      <w:r>
        <w:rPr>
          <w:rFonts w:ascii="仿宋_GB2312" w:hAnsi="仿宋_GB2312" w:eastAsia="仿宋_GB2312"/>
          <w:b w:val="0"/>
          <w:sz w:val="32"/>
        </w:rPr>
        <w:t>9.农林水支出(类)巩固脱贫攻坚成果衔接乡村振兴(款)农村基础设施建设(项):支出决算数为918.74万元，比上年决算增加523.37万元，增长132.37%,主要原因是：本年增加民丰县若克雅乡劳光村2024年乡村振兴示范村建设项目（基础设施）、民丰县若克雅乡劳光村2024年乡村振兴示范村建设项目（污水处理）等项目。</w:t>
      </w:r>
    </w:p>
    <w:p w14:paraId="70FF49DF">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784.17万元，比上年决算增加784.17万元，增长100.00%,主要原因是：本年增加民丰县若克雅乡草原村数字化温室大棚建设项目、民丰县若克雅乡劳光村2024年乡村振兴示范村建设项目（产业发展）、民丰县若克雅乡草原村壮大村集体经济项目、民丰县种植业产业帮扶精准到户项目、民丰县庭院经济产业帮扶精准到户项目、民丰县畜牧业产业帮扶精准到户项目、民丰县林果业产业帮扶精准到户项目等。</w:t>
      </w:r>
    </w:p>
    <w:p w14:paraId="624C65B6">
      <w:pPr>
        <w:spacing w:line="580" w:lineRule="exact"/>
        <w:ind w:firstLine="640"/>
        <w:jc w:val="both"/>
      </w:pPr>
      <w:r>
        <w:rPr>
          <w:rFonts w:ascii="仿宋_GB2312" w:hAnsi="仿宋_GB2312" w:eastAsia="仿宋_GB2312"/>
          <w:b w:val="0"/>
          <w:sz w:val="32"/>
        </w:rPr>
        <w:t>11.住房保障支出(类)住房改革支出(款)住房公积金(项):支出决算数为166.22万元，比上年决算增加166.22万元，增长100.00%,主要原因是：本年功能科目调整，住房公积金上年度在主科目列支，本年单独列支，导致经费较上年增加。</w:t>
      </w:r>
    </w:p>
    <w:p w14:paraId="7E98A528">
      <w:pPr>
        <w:spacing w:line="640" w:lineRule="exact"/>
        <w:ind w:firstLine="640"/>
        <w:jc w:val="both"/>
        <w:outlineLvl w:val="2"/>
      </w:pPr>
      <w:r>
        <w:rPr>
          <w:rFonts w:ascii="黑体" w:hAnsi="黑体" w:eastAsia="黑体"/>
          <w:sz w:val="32"/>
        </w:rPr>
        <w:t>六、一般公共预算财政拨款基本支出决算情况说明</w:t>
      </w:r>
    </w:p>
    <w:p w14:paraId="3D59728F">
      <w:pPr>
        <w:spacing w:line="580" w:lineRule="exact"/>
        <w:ind w:firstLine="640"/>
        <w:jc w:val="both"/>
      </w:pPr>
      <w:r>
        <w:rPr>
          <w:rFonts w:ascii="仿宋_GB2312" w:hAnsi="仿宋_GB2312" w:eastAsia="仿宋_GB2312"/>
          <w:b w:val="0"/>
          <w:sz w:val="32"/>
        </w:rPr>
        <w:t>2024年度一般公共预算财政拨款基本支出2,347.53万元，其中：</w:t>
      </w:r>
      <w:r>
        <w:rPr>
          <w:rFonts w:ascii="仿宋_GB2312" w:hAnsi="仿宋_GB2312" w:eastAsia="仿宋_GB2312"/>
          <w:b/>
          <w:sz w:val="32"/>
        </w:rPr>
        <w:t>人员经费2,276.99万元，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4B72DDFE">
      <w:pPr>
        <w:spacing w:line="580" w:lineRule="exact"/>
        <w:ind w:firstLine="640"/>
        <w:jc w:val="both"/>
      </w:pPr>
      <w:r>
        <w:rPr>
          <w:rFonts w:ascii="仿宋_GB2312" w:hAnsi="仿宋_GB2312" w:eastAsia="仿宋_GB2312"/>
          <w:b/>
          <w:sz w:val="32"/>
        </w:rPr>
        <w:t>公用经费70.54万元，</w:t>
      </w:r>
      <w:r>
        <w:rPr>
          <w:rFonts w:ascii="仿宋_GB2312" w:hAnsi="仿宋_GB2312" w:eastAsia="仿宋_GB2312"/>
          <w:b w:val="0"/>
          <w:sz w:val="32"/>
        </w:rPr>
        <w:t>包括：办公费、印刷费、水费、电费、邮电费、差旅费、劳务费。</w:t>
      </w:r>
    </w:p>
    <w:p w14:paraId="14C7DF72">
      <w:pPr>
        <w:spacing w:line="640" w:lineRule="exact"/>
        <w:ind w:firstLine="640"/>
        <w:jc w:val="both"/>
        <w:outlineLvl w:val="2"/>
      </w:pPr>
      <w:r>
        <w:rPr>
          <w:rFonts w:ascii="黑体" w:hAnsi="黑体" w:eastAsia="黑体"/>
          <w:sz w:val="32"/>
        </w:rPr>
        <w:t>七、政府性基金预算财政拨款收入支出决算情况说明</w:t>
      </w:r>
    </w:p>
    <w:p w14:paraId="181B075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F06B38">
      <w:pPr>
        <w:spacing w:line="640" w:lineRule="exact"/>
        <w:ind w:firstLine="640"/>
        <w:jc w:val="both"/>
        <w:outlineLvl w:val="2"/>
      </w:pPr>
      <w:r>
        <w:rPr>
          <w:rFonts w:ascii="黑体" w:hAnsi="黑体" w:eastAsia="黑体"/>
          <w:sz w:val="32"/>
        </w:rPr>
        <w:t>八、国有资本经营预算财政拨款收入支出决算情况说明</w:t>
      </w:r>
    </w:p>
    <w:p w14:paraId="73CB5C1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22BB2A">
      <w:pPr>
        <w:spacing w:line="640" w:lineRule="exact"/>
        <w:ind w:firstLine="640"/>
        <w:jc w:val="both"/>
        <w:outlineLvl w:val="2"/>
      </w:pPr>
      <w:r>
        <w:rPr>
          <w:rFonts w:ascii="黑体" w:hAnsi="黑体" w:eastAsia="黑体"/>
          <w:sz w:val="32"/>
        </w:rPr>
        <w:t>九、财政拨款“三公”经费支出决算情况说明</w:t>
      </w:r>
    </w:p>
    <w:p w14:paraId="6431E3B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E66A6CE">
      <w:pPr>
        <w:spacing w:line="580" w:lineRule="exact"/>
        <w:ind w:firstLine="640"/>
        <w:jc w:val="both"/>
      </w:pPr>
      <w:r>
        <w:rPr>
          <w:rFonts w:ascii="仿宋_GB2312" w:hAnsi="仿宋_GB2312" w:eastAsia="仿宋_GB2312"/>
          <w:b/>
          <w:sz w:val="32"/>
        </w:rPr>
        <w:t>具体情况如下：</w:t>
      </w:r>
    </w:p>
    <w:p w14:paraId="0184FAD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3E1B5C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为单位业务用车，预算未安排公务用车运行维护费支出。</w:t>
      </w:r>
    </w:p>
    <w:p w14:paraId="1518055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D76BB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6AA24EE">
      <w:pPr>
        <w:spacing w:line="640" w:lineRule="exact"/>
        <w:ind w:firstLine="640"/>
        <w:jc w:val="both"/>
        <w:outlineLvl w:val="2"/>
      </w:pPr>
      <w:r>
        <w:rPr>
          <w:rFonts w:ascii="黑体" w:hAnsi="黑体" w:eastAsia="黑体"/>
          <w:sz w:val="32"/>
        </w:rPr>
        <w:t>十、其他重要事项的情况说明</w:t>
      </w:r>
    </w:p>
    <w:p w14:paraId="7988FDDD">
      <w:pPr>
        <w:spacing w:line="640" w:lineRule="exact"/>
        <w:ind w:firstLine="640"/>
        <w:jc w:val="both"/>
        <w:outlineLvl w:val="3"/>
      </w:pPr>
      <w:r>
        <w:rPr>
          <w:rFonts w:ascii="楷体_GB2312" w:hAnsi="楷体_GB2312" w:eastAsia="楷体_GB2312"/>
          <w:b/>
          <w:sz w:val="32"/>
        </w:rPr>
        <w:t>（一）机关运行经费及公用经费支出情况</w:t>
      </w:r>
    </w:p>
    <w:p w14:paraId="2C92B4F7">
      <w:pPr>
        <w:spacing w:line="580" w:lineRule="exact"/>
        <w:ind w:firstLine="640"/>
        <w:jc w:val="both"/>
      </w:pPr>
      <w:r>
        <w:rPr>
          <w:rFonts w:ascii="仿宋_GB2312" w:hAnsi="仿宋_GB2312" w:eastAsia="仿宋_GB2312"/>
          <w:b w:val="0"/>
          <w:sz w:val="32"/>
        </w:rPr>
        <w:t>2024年度民丰县若克雅乡人民政府（行政单位和参照公务员法管理事业单位）机关运行经费支出70.54万元，比上年减少69.36万元，下降49.58%，主要原因是：严格控制公用经费，办公费减少，导致机关运行经费支出减少。</w:t>
      </w:r>
    </w:p>
    <w:p w14:paraId="41621C57">
      <w:pPr>
        <w:spacing w:line="640" w:lineRule="exact"/>
        <w:ind w:firstLine="640"/>
        <w:jc w:val="both"/>
        <w:outlineLvl w:val="3"/>
      </w:pPr>
      <w:r>
        <w:rPr>
          <w:rFonts w:ascii="楷体_GB2312" w:hAnsi="楷体_GB2312" w:eastAsia="楷体_GB2312"/>
          <w:b/>
          <w:sz w:val="32"/>
        </w:rPr>
        <w:t>（二）政府采购情况</w:t>
      </w:r>
    </w:p>
    <w:p w14:paraId="6C2BA2B7">
      <w:pPr>
        <w:spacing w:line="580" w:lineRule="exact"/>
        <w:ind w:firstLine="640"/>
        <w:jc w:val="both"/>
      </w:pPr>
      <w:r>
        <w:rPr>
          <w:rFonts w:ascii="仿宋_GB2312" w:hAnsi="仿宋_GB2312" w:eastAsia="仿宋_GB2312"/>
          <w:b w:val="0"/>
          <w:sz w:val="32"/>
        </w:rPr>
        <w:t>2024年度政府采购支出总额1,417.46万元，其中：政府采购货物支出203.53万元、政府采购工程支出1,035.49万元、政府采购服务支出178.44万元。</w:t>
      </w:r>
    </w:p>
    <w:p w14:paraId="4029C09D">
      <w:pPr>
        <w:spacing w:line="580" w:lineRule="exact"/>
        <w:ind w:firstLine="640"/>
        <w:jc w:val="both"/>
      </w:pPr>
      <w:r>
        <w:rPr>
          <w:rFonts w:ascii="仿宋_GB2312" w:hAnsi="仿宋_GB2312" w:eastAsia="仿宋_GB2312"/>
          <w:b w:val="0"/>
          <w:sz w:val="32"/>
        </w:rPr>
        <w:t>授予中小企业合同金额1,417.46万元，占政府采购支出总额的100.00%，其中：授予小微企业合同金额1,417.46万元，占政府采购支出总额的100.00%。</w:t>
      </w:r>
    </w:p>
    <w:p w14:paraId="108FFE78">
      <w:pPr>
        <w:spacing w:line="640" w:lineRule="exact"/>
        <w:ind w:firstLine="640"/>
        <w:jc w:val="both"/>
        <w:outlineLvl w:val="3"/>
      </w:pPr>
      <w:r>
        <w:rPr>
          <w:rFonts w:ascii="楷体_GB2312" w:hAnsi="楷体_GB2312" w:eastAsia="楷体_GB2312"/>
          <w:b/>
          <w:sz w:val="32"/>
        </w:rPr>
        <w:t>（三）国有资产占用情况说明</w:t>
      </w:r>
    </w:p>
    <w:p w14:paraId="29456A8D">
      <w:pPr>
        <w:spacing w:line="580" w:lineRule="exact"/>
        <w:ind w:firstLine="640"/>
        <w:jc w:val="both"/>
      </w:pPr>
      <w:r>
        <w:rPr>
          <w:rFonts w:ascii="仿宋_GB2312" w:hAnsi="仿宋_GB2312" w:eastAsia="仿宋_GB2312"/>
          <w:b w:val="0"/>
          <w:sz w:val="32"/>
        </w:rPr>
        <w:t>截至2024年12月31日，房屋4,563.70平方米，价值455.55万元。车辆2辆，价值45.88万元，其中：副部（省）级及以上领导用车0辆、主要负责人用车0辆、机要通信用车0辆、应急保障用车1辆、执法执勤用车0辆、特种专业技术用车0辆、离退休干部服务用车0辆、其他用车1辆，其他用车主要是：单位业务用车。单价100万元（含）以上设备（不含车辆）0台（套）。</w:t>
      </w:r>
    </w:p>
    <w:p w14:paraId="03995D61">
      <w:pPr>
        <w:spacing w:line="640" w:lineRule="exact"/>
        <w:ind w:firstLine="640"/>
        <w:jc w:val="both"/>
        <w:outlineLvl w:val="2"/>
      </w:pPr>
      <w:r>
        <w:rPr>
          <w:rFonts w:ascii="黑体" w:hAnsi="黑体" w:eastAsia="黑体"/>
          <w:sz w:val="32"/>
        </w:rPr>
        <w:t>十一、预算绩效的情况说明</w:t>
      </w:r>
    </w:p>
    <w:p w14:paraId="69C3C9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4,874.07万元，实际执行总额4,616.14万元；预算绩效评价项目6个，全年预算数165.11万元，全年执行数82.45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具体附整体支出绩效自评表，项目支出绩效自评表和评价报告。</w:t>
      </w:r>
    </w:p>
    <w:p w14:paraId="43DFCAE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2386FA">
        <w:tblPrEx>
          <w:tblCellMar>
            <w:top w:w="0" w:type="dxa"/>
            <w:left w:w="108" w:type="dxa"/>
            <w:bottom w:w="0" w:type="dxa"/>
            <w:right w:w="108" w:type="dxa"/>
          </w:tblCellMar>
        </w:tblPrEx>
        <w:tc>
          <w:tcPr>
            <w:tcW w:w="8847" w:type="dxa"/>
            <w:gridSpan w:val="9"/>
            <w:vAlign w:val="center"/>
          </w:tcPr>
          <w:p w14:paraId="0822F1A1">
            <w:pPr>
              <w:jc w:val="center"/>
            </w:pPr>
            <w:r>
              <w:rPr>
                <w:rFonts w:ascii="宋体" w:hAnsi="宋体" w:eastAsia="宋体"/>
                <w:sz w:val="24"/>
              </w:rPr>
              <w:t>单位整体支出绩效自评表</w:t>
            </w:r>
          </w:p>
        </w:tc>
      </w:tr>
      <w:tr w14:paraId="284691DE">
        <w:tblPrEx>
          <w:tblCellMar>
            <w:top w:w="0" w:type="dxa"/>
            <w:left w:w="108" w:type="dxa"/>
            <w:bottom w:w="0" w:type="dxa"/>
            <w:right w:w="108" w:type="dxa"/>
          </w:tblCellMar>
        </w:tblPrEx>
        <w:tc>
          <w:tcPr>
            <w:tcW w:w="8847" w:type="dxa"/>
            <w:gridSpan w:val="9"/>
            <w:vAlign w:val="center"/>
          </w:tcPr>
          <w:p w14:paraId="49767698">
            <w:pPr>
              <w:jc w:val="center"/>
            </w:pPr>
            <w:r>
              <w:rPr>
                <w:rFonts w:ascii="宋体" w:hAnsi="宋体" w:eastAsia="宋体"/>
                <w:sz w:val="24"/>
              </w:rPr>
              <w:t>（2024年度）</w:t>
            </w:r>
          </w:p>
        </w:tc>
      </w:tr>
      <w:tr w14:paraId="589B82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4529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530CE0">
            <w:pPr>
              <w:jc w:val="center"/>
            </w:pPr>
            <w:r>
              <w:rPr>
                <w:rFonts w:ascii="宋体" w:hAnsi="宋体" w:eastAsia="宋体"/>
                <w:sz w:val="16"/>
              </w:rPr>
              <w:t>民丰县若克雅乡人民政府</w:t>
            </w:r>
          </w:p>
        </w:tc>
      </w:tr>
      <w:tr w14:paraId="7FC474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0D59D">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3223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DEFB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2219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3EB3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1899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90D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9FD8A">
            <w:pPr>
              <w:jc w:val="center"/>
            </w:pPr>
            <w:r>
              <w:rPr>
                <w:rFonts w:ascii="宋体" w:hAnsi="宋体" w:eastAsia="宋体"/>
                <w:sz w:val="16"/>
              </w:rPr>
              <w:t>得分</w:t>
            </w:r>
          </w:p>
        </w:tc>
      </w:tr>
      <w:tr w14:paraId="5FE502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7EC9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AFF6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E2FEC">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40B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F93CB">
            <w:pPr>
              <w:jc w:val="center"/>
            </w:pPr>
            <w:r>
              <w:rPr>
                <w:rFonts w:ascii="宋体" w:hAnsi="宋体" w:eastAsia="宋体"/>
                <w:sz w:val="16"/>
              </w:rPr>
              <w:t>1,715.27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EC2F7">
            <w:pPr>
              <w:jc w:val="center"/>
            </w:pPr>
            <w:r>
              <w:rPr>
                <w:rFonts w:ascii="宋体" w:hAnsi="宋体" w:eastAsia="宋体"/>
                <w:sz w:val="16"/>
              </w:rPr>
              <w:t>1,715.27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31B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16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1D5AD">
            <w:pPr>
              <w:jc w:val="center"/>
            </w:pPr>
            <w:r>
              <w:rPr>
                <w:rFonts w:ascii="宋体" w:hAnsi="宋体" w:eastAsia="宋体"/>
                <w:sz w:val="16"/>
              </w:rPr>
              <w:t>-</w:t>
            </w:r>
          </w:p>
        </w:tc>
      </w:tr>
      <w:tr w14:paraId="6D35ED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55C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92A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8729A">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A1438">
            <w:pPr>
              <w:jc w:val="center"/>
            </w:pPr>
            <w:r>
              <w:rPr>
                <w:rFonts w:ascii="宋体" w:hAnsi="宋体" w:eastAsia="宋体"/>
                <w:sz w:val="16"/>
              </w:rPr>
              <w:t>2,565.34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F9103">
            <w:pPr>
              <w:jc w:val="center"/>
            </w:pPr>
            <w:r>
              <w:rPr>
                <w:rFonts w:ascii="宋体" w:hAnsi="宋体" w:eastAsia="宋体"/>
                <w:sz w:val="16"/>
              </w:rPr>
              <w:t>3,131.06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8CFF8">
            <w:pPr>
              <w:jc w:val="center"/>
            </w:pPr>
            <w:r>
              <w:rPr>
                <w:rFonts w:ascii="宋体" w:hAnsi="宋体" w:eastAsia="宋体"/>
                <w:sz w:val="16"/>
              </w:rPr>
              <w:t>2,900.35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B10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B8E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2B3AD">
            <w:pPr>
              <w:jc w:val="center"/>
            </w:pPr>
            <w:r>
              <w:rPr>
                <w:rFonts w:ascii="宋体" w:hAnsi="宋体" w:eastAsia="宋体"/>
                <w:sz w:val="16"/>
              </w:rPr>
              <w:t>-</w:t>
            </w:r>
          </w:p>
        </w:tc>
      </w:tr>
      <w:tr w14:paraId="261795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CEB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67F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CB59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68CE3">
            <w:pPr>
              <w:jc w:val="center"/>
            </w:pPr>
            <w:r>
              <w:rPr>
                <w:rFonts w:ascii="宋体" w:hAnsi="宋体" w:eastAsia="宋体"/>
                <w:sz w:val="16"/>
              </w:rPr>
              <w:t>27.74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030E">
            <w:pPr>
              <w:jc w:val="center"/>
            </w:pPr>
            <w:r>
              <w:rPr>
                <w:rFonts w:ascii="宋体" w:hAnsi="宋体" w:eastAsia="宋体"/>
                <w:sz w:val="16"/>
              </w:rPr>
              <w:t>27.74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6CFE">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6CF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E8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3E2DD">
            <w:pPr>
              <w:jc w:val="center"/>
            </w:pPr>
            <w:r>
              <w:rPr>
                <w:rFonts w:ascii="宋体" w:hAnsi="宋体" w:eastAsia="宋体"/>
                <w:sz w:val="16"/>
              </w:rPr>
              <w:t>-</w:t>
            </w:r>
          </w:p>
        </w:tc>
      </w:tr>
      <w:tr w14:paraId="60A6E0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723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F4328">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7B2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48CA">
            <w:pPr>
              <w:jc w:val="center"/>
            </w:pPr>
            <w:r>
              <w:rPr>
                <w:rFonts w:ascii="宋体" w:hAnsi="宋体" w:eastAsia="宋体"/>
                <w:sz w:val="16"/>
              </w:rPr>
              <w:t>2,593.08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013B5">
            <w:pPr>
              <w:jc w:val="center"/>
            </w:pPr>
            <w:r>
              <w:rPr>
                <w:rFonts w:ascii="宋体" w:hAnsi="宋体" w:eastAsia="宋体"/>
                <w:sz w:val="16"/>
              </w:rPr>
              <w:t>4,874.07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4F321">
            <w:pPr>
              <w:jc w:val="center"/>
            </w:pPr>
            <w:r>
              <w:rPr>
                <w:rFonts w:ascii="宋体" w:hAnsi="宋体" w:eastAsia="宋体"/>
                <w:sz w:val="16"/>
              </w:rPr>
              <w:t>4,616.14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ECC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B1133">
            <w:pPr>
              <w:jc w:val="center"/>
            </w:pPr>
            <w:r>
              <w:rPr>
                <w:rFonts w:ascii="宋体" w:hAnsi="宋体" w:eastAsia="宋体"/>
                <w:sz w:val="16"/>
              </w:rPr>
              <w:t>94.71%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8F957">
            <w:pPr>
              <w:jc w:val="center"/>
            </w:pPr>
            <w:r>
              <w:rPr>
                <w:rFonts w:ascii="宋体" w:hAnsi="宋体" w:eastAsia="宋体"/>
                <w:sz w:val="16"/>
              </w:rPr>
              <w:t>9.47</w:t>
            </w:r>
          </w:p>
        </w:tc>
      </w:tr>
      <w:tr w14:paraId="21815E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F457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FF00A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D647BC">
            <w:pPr>
              <w:jc w:val="center"/>
            </w:pPr>
            <w:r>
              <w:rPr>
                <w:rFonts w:ascii="宋体" w:hAnsi="宋体" w:eastAsia="宋体"/>
                <w:sz w:val="16"/>
              </w:rPr>
              <w:t>实际完成情况</w:t>
            </w:r>
          </w:p>
        </w:tc>
      </w:tr>
      <w:tr w14:paraId="63744A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3D09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A3D8DF">
            <w:pPr>
              <w:jc w:val="both"/>
            </w:pPr>
            <w:r>
              <w:rPr>
                <w:rFonts w:ascii="宋体" w:hAnsi="宋体" w:eastAsia="宋体"/>
                <w:sz w:val="16"/>
              </w:rPr>
              <w:t>目标1：乡镇公共服务运行履职保障人数为116人，有效解决乡镇公共服务运行经费保障问题，服务乡村数量不少于7个，要提升村、社区党组织服务群众能力，减轻农民负担；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社区党组织惠民政策的实施、村、社区党建服务品牌建设、村、社区公共事业的补助和实施等为民办实事项目的开展，确保为民办实事件数达到12件，为民办实事工作覆盖率达到100%，提升村、社区党组织服务群众能力；严格做好干部服务工作，切实加强服务管理平台，及时落实政策规定，按时发放干部国家及地方各项补贴，不断提升和增强干部生活上的幸福感，让退休干部安心、舒心、暖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C82F55">
            <w:pPr>
              <w:jc w:val="both"/>
            </w:pPr>
            <w:r>
              <w:rPr>
                <w:rFonts w:ascii="宋体" w:hAnsi="宋体" w:eastAsia="宋体"/>
                <w:sz w:val="16"/>
              </w:rPr>
              <w:t>截至2024年12月31日，我单位共计支出4616.14万元，预算执行率94.71%。1.完成了本级资金支出2900.34万元，预算执行率为92.63%，完成了上级资金支出1715.27万元，执行率为100%，完成了其他资金支出0.52万元，预算执行率为1.87%</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1.完成了乡镇公共服务运行履职保障人数为111人，有效解决乡镇公共服务运行经费保障问题，服务乡村数量不少于7个，要提升村、社区党组织服务群众能力，减轻农民负担；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完成了，若克雅乡通过村、社区党组织惠民政策的实施、村、社区党建服务品牌建设、村、社区公共事业的补助和实施等为民办实事项目的开展，确保为就业服务指导达到4次，为就业指导率达到100%，全力凝聚民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全力巩固基础，全乡基本养老，社会保险参保率100%。提升村、社区党组织服务群众能力；严格做好群众服务工作，切实加强服务管理平台。及时落实政策规定，按时发放干部国家及地方各项补贴，不断提升和增强干部生活上的幸福感，让退休干部安心、舒心、暖心。</w:t>
            </w:r>
          </w:p>
        </w:tc>
      </w:tr>
      <w:tr w14:paraId="3CB047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B355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3168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E31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2C60C">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26B7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44C5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68DF2">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E63C">
            <w:pPr>
              <w:jc w:val="center"/>
            </w:pPr>
            <w:r>
              <w:rPr>
                <w:rFonts w:ascii="宋体" w:hAnsi="宋体" w:eastAsia="宋体"/>
                <w:sz w:val="16"/>
              </w:rPr>
              <w:t>得分</w:t>
            </w:r>
          </w:p>
        </w:tc>
      </w:tr>
      <w:tr w14:paraId="23704C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ACD6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7BB9D">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FFAC">
            <w:pPr>
              <w:jc w:val="center"/>
            </w:pPr>
            <w:r>
              <w:rPr>
                <w:rFonts w:ascii="宋体" w:hAnsi="宋体" w:eastAsia="宋体"/>
                <w:sz w:val="16"/>
              </w:rPr>
              <w:t>单位在职职工人数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14396">
            <w:pPr>
              <w:jc w:val="center"/>
            </w:pPr>
            <w:r>
              <w:rPr>
                <w:rFonts w:ascii="宋体" w:hAnsi="宋体" w:eastAsia="宋体"/>
                <w:sz w:val="16"/>
              </w:rPr>
              <w:t>&gt;=116人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70A3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ECFD0">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59BE0">
            <w:pPr>
              <w:jc w:val="center"/>
            </w:pPr>
            <w:r>
              <w:rPr>
                <w:rFonts w:ascii="宋体" w:hAnsi="宋体" w:eastAsia="宋体"/>
                <w:sz w:val="16"/>
              </w:rPr>
              <w:t>111人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5A7A6">
            <w:pPr>
              <w:jc w:val="center"/>
            </w:pPr>
            <w:r>
              <w:rPr>
                <w:rFonts w:ascii="宋体" w:hAnsi="宋体" w:eastAsia="宋体"/>
                <w:sz w:val="16"/>
              </w:rPr>
              <w:t>22</w:t>
            </w:r>
          </w:p>
        </w:tc>
      </w:tr>
      <w:tr w14:paraId="74EC1E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0F0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897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ACEF7">
            <w:pPr>
              <w:jc w:val="center"/>
            </w:pPr>
            <w:r>
              <w:rPr>
                <w:rFonts w:ascii="宋体" w:hAnsi="宋体" w:eastAsia="宋体"/>
                <w:sz w:val="16"/>
              </w:rPr>
              <w:t>全乡基本养老，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76A83">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263E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124CC">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9C7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2323E">
            <w:pPr>
              <w:jc w:val="center"/>
            </w:pPr>
            <w:r>
              <w:rPr>
                <w:rFonts w:ascii="宋体" w:hAnsi="宋体" w:eastAsia="宋体"/>
                <w:sz w:val="16"/>
              </w:rPr>
              <w:t>23</w:t>
            </w:r>
          </w:p>
        </w:tc>
      </w:tr>
      <w:tr w14:paraId="27B6B2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A60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198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2B24">
            <w:pPr>
              <w:jc w:val="center"/>
            </w:pPr>
            <w:r>
              <w:rPr>
                <w:rFonts w:ascii="宋体" w:hAnsi="宋体" w:eastAsia="宋体"/>
                <w:sz w:val="16"/>
              </w:rPr>
              <w:t>职业介绍和就业指导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CFF0C">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7295B">
            <w:pPr>
              <w:jc w:val="center"/>
            </w:pPr>
            <w:r>
              <w:rPr>
                <w:rFonts w:ascii="宋体" w:hAnsi="宋体" w:eastAsia="宋体"/>
                <w:sz w:val="16"/>
              </w:rPr>
              <w:t>年度计划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63DC9">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2D99F">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E8681">
            <w:pPr>
              <w:jc w:val="center"/>
            </w:pPr>
            <w:r>
              <w:rPr>
                <w:rFonts w:ascii="宋体" w:hAnsi="宋体" w:eastAsia="宋体"/>
                <w:sz w:val="16"/>
              </w:rPr>
              <w:t>22</w:t>
            </w:r>
          </w:p>
        </w:tc>
      </w:tr>
      <w:tr w14:paraId="329122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98B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C16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5BCB">
            <w:pPr>
              <w:jc w:val="center"/>
            </w:pPr>
            <w:r>
              <w:rPr>
                <w:rFonts w:ascii="宋体" w:hAnsi="宋体" w:eastAsia="宋体"/>
                <w:sz w:val="16"/>
              </w:rPr>
              <w:t>服务乡镇数量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DB76D">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93F8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002E5">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8FA73">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62F8F">
            <w:pPr>
              <w:jc w:val="center"/>
            </w:pPr>
            <w:r>
              <w:rPr>
                <w:rFonts w:ascii="宋体" w:hAnsi="宋体" w:eastAsia="宋体"/>
                <w:sz w:val="16"/>
              </w:rPr>
              <w:t>22</w:t>
            </w:r>
          </w:p>
        </w:tc>
      </w:tr>
    </w:tbl>
    <w:p w14:paraId="1CB2D55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43"/>
        <w:gridCol w:w="1023"/>
        <w:gridCol w:w="983"/>
        <w:gridCol w:w="983"/>
        <w:gridCol w:w="983"/>
        <w:gridCol w:w="983"/>
        <w:gridCol w:w="983"/>
      </w:tblGrid>
      <w:tr w14:paraId="52727F86">
        <w:tblPrEx>
          <w:tblCellMar>
            <w:top w:w="0" w:type="dxa"/>
            <w:left w:w="108" w:type="dxa"/>
            <w:bottom w:w="0" w:type="dxa"/>
            <w:right w:w="108" w:type="dxa"/>
          </w:tblCellMar>
        </w:tblPrEx>
        <w:tc>
          <w:tcPr>
            <w:tcW w:w="8847" w:type="dxa"/>
            <w:gridSpan w:val="9"/>
            <w:vAlign w:val="center"/>
          </w:tcPr>
          <w:p w14:paraId="1DD5E7F4">
            <w:pPr>
              <w:jc w:val="center"/>
            </w:pPr>
            <w:r>
              <w:rPr>
                <w:rFonts w:ascii="宋体" w:hAnsi="宋体" w:eastAsia="宋体"/>
                <w:sz w:val="24"/>
              </w:rPr>
              <w:t>项目支出绩效自评表</w:t>
            </w:r>
          </w:p>
        </w:tc>
      </w:tr>
      <w:tr w14:paraId="121E8292">
        <w:tblPrEx>
          <w:tblCellMar>
            <w:top w:w="0" w:type="dxa"/>
            <w:left w:w="108" w:type="dxa"/>
            <w:bottom w:w="0" w:type="dxa"/>
            <w:right w:w="108" w:type="dxa"/>
          </w:tblCellMar>
        </w:tblPrEx>
        <w:tc>
          <w:tcPr>
            <w:tcW w:w="8847" w:type="dxa"/>
            <w:gridSpan w:val="9"/>
            <w:vAlign w:val="center"/>
          </w:tcPr>
          <w:p w14:paraId="46610A53">
            <w:pPr>
              <w:jc w:val="center"/>
            </w:pPr>
            <w:r>
              <w:rPr>
                <w:rFonts w:ascii="宋体" w:hAnsi="宋体" w:eastAsia="宋体"/>
                <w:sz w:val="24"/>
              </w:rPr>
              <w:t>(2024年度)</w:t>
            </w:r>
          </w:p>
        </w:tc>
      </w:tr>
      <w:tr w14:paraId="18CBBA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D223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5C9C8E">
            <w:pPr>
              <w:jc w:val="center"/>
            </w:pPr>
            <w:r>
              <w:rPr>
                <w:rFonts w:ascii="宋体" w:hAnsi="宋体" w:eastAsia="宋体"/>
                <w:sz w:val="16"/>
              </w:rPr>
              <w:t>2024年若克雅乡去世干部丧葬费，抚恤金</w:t>
            </w:r>
          </w:p>
        </w:tc>
      </w:tr>
      <w:tr w14:paraId="4F087B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432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A5B949">
            <w:pPr>
              <w:jc w:val="center"/>
            </w:pPr>
            <w:r>
              <w:rPr>
                <w:rFonts w:ascii="宋体" w:hAnsi="宋体" w:eastAsia="宋体"/>
                <w:sz w:val="16"/>
              </w:rPr>
              <w:t>民丰县若克雅乡人民政府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EE88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DC6E13">
            <w:pPr>
              <w:jc w:val="center"/>
            </w:pPr>
            <w:r>
              <w:rPr>
                <w:rFonts w:ascii="宋体" w:hAnsi="宋体" w:eastAsia="宋体"/>
                <w:sz w:val="16"/>
              </w:rPr>
              <w:t>民丰县若克雅乡人民政府</w:t>
            </w:r>
          </w:p>
        </w:tc>
      </w:tr>
      <w:tr w14:paraId="09E0E88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35B94">
            <w:pPr>
              <w:jc w:val="center"/>
            </w:pPr>
            <w:r>
              <w:rPr>
                <w:rFonts w:ascii="宋体" w:hAnsi="宋体" w:eastAsia="宋体"/>
                <w:sz w:val="16"/>
              </w:rPr>
              <w:t>项目资金 （万元）</w:t>
            </w:r>
          </w:p>
        </w:tc>
        <w:tc>
          <w:tcPr>
            <w:tcW w:w="19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6EBB9">
            <w:pPr>
              <w:jc w:val="center"/>
            </w:pP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1D0DC20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AB4E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F8A5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3B5C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2C91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8C0C6">
            <w:pPr>
              <w:jc w:val="center"/>
            </w:pPr>
            <w:r>
              <w:rPr>
                <w:rFonts w:ascii="宋体" w:hAnsi="宋体" w:eastAsia="宋体"/>
                <w:sz w:val="16"/>
              </w:rPr>
              <w:t>得分</w:t>
            </w:r>
          </w:p>
        </w:tc>
      </w:tr>
      <w:tr w14:paraId="588A06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50C67"/>
        </w:tc>
        <w:tc>
          <w:tcPr>
            <w:tcW w:w="19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99BD3">
            <w:pPr>
              <w:jc w:val="center"/>
            </w:pPr>
            <w:r>
              <w:rPr>
                <w:rFonts w:ascii="宋体" w:hAnsi="宋体" w:eastAsia="宋体"/>
                <w:sz w:val="16"/>
              </w:rPr>
              <w:t>年度资金总额</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56BCFAF6">
            <w:pPr>
              <w:jc w:val="center"/>
            </w:pPr>
            <w:r>
              <w:rPr>
                <w:rFonts w:ascii="宋体" w:hAnsi="宋体" w:eastAsia="宋体"/>
                <w:sz w:val="16"/>
              </w:rPr>
              <w:t>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B4776">
            <w:pPr>
              <w:jc w:val="center"/>
            </w:pPr>
            <w:r>
              <w:rPr>
                <w:rFonts w:ascii="宋体" w:hAnsi="宋体" w:eastAsia="宋体"/>
                <w:sz w:val="16"/>
              </w:rPr>
              <w:t>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F5F19">
            <w:pPr>
              <w:jc w:val="center"/>
            </w:pPr>
            <w:r>
              <w:rPr>
                <w:rFonts w:ascii="宋体" w:hAnsi="宋体" w:eastAsia="宋体"/>
                <w:sz w:val="16"/>
              </w:rPr>
              <w:t>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7C5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602C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826AC">
            <w:pPr>
              <w:jc w:val="center"/>
            </w:pPr>
            <w:r>
              <w:rPr>
                <w:rFonts w:ascii="宋体" w:hAnsi="宋体" w:eastAsia="宋体"/>
                <w:sz w:val="16"/>
              </w:rPr>
              <w:t>10.00分</w:t>
            </w:r>
          </w:p>
        </w:tc>
      </w:tr>
      <w:tr w14:paraId="7FCED1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90340"/>
        </w:tc>
        <w:tc>
          <w:tcPr>
            <w:tcW w:w="19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5134C">
            <w:pPr>
              <w:jc w:val="center"/>
            </w:pPr>
            <w:r>
              <w:rPr>
                <w:rFonts w:ascii="宋体" w:hAnsi="宋体" w:eastAsia="宋体"/>
                <w:sz w:val="16"/>
              </w:rPr>
              <w:t>其中：当年财政拨款</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56E974F2">
            <w:pPr>
              <w:jc w:val="center"/>
            </w:pPr>
            <w:r>
              <w:rPr>
                <w:rFonts w:ascii="宋体" w:hAnsi="宋体" w:eastAsia="宋体"/>
                <w:sz w:val="16"/>
              </w:rPr>
              <w:t>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9086D">
            <w:pPr>
              <w:jc w:val="center"/>
            </w:pPr>
            <w:r>
              <w:rPr>
                <w:rFonts w:ascii="宋体" w:hAnsi="宋体" w:eastAsia="宋体"/>
                <w:sz w:val="16"/>
              </w:rPr>
              <w:t>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1042A">
            <w:pPr>
              <w:jc w:val="center"/>
            </w:pPr>
            <w:r>
              <w:rPr>
                <w:rFonts w:ascii="宋体" w:hAnsi="宋体" w:eastAsia="宋体"/>
                <w:sz w:val="16"/>
              </w:rPr>
              <w:t>25.37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753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118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3EFDF">
            <w:pPr>
              <w:jc w:val="center"/>
            </w:pPr>
            <w:r>
              <w:rPr>
                <w:rFonts w:ascii="宋体" w:hAnsi="宋体" w:eastAsia="宋体"/>
                <w:sz w:val="16"/>
              </w:rPr>
              <w:t>—</w:t>
            </w:r>
          </w:p>
        </w:tc>
      </w:tr>
      <w:tr w14:paraId="28BA9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2B684"/>
        </w:tc>
        <w:tc>
          <w:tcPr>
            <w:tcW w:w="19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DAF39">
            <w:pPr>
              <w:jc w:val="center"/>
            </w:pPr>
            <w:r>
              <w:rPr>
                <w:rFonts w:ascii="宋体" w:hAnsi="宋体" w:eastAsia="宋体"/>
                <w:sz w:val="16"/>
              </w:rPr>
              <w:t xml:space="preserve">      上年结转资金</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5BAA8E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C4A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5C8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4B1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EF0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EBD7F">
            <w:pPr>
              <w:jc w:val="center"/>
            </w:pPr>
            <w:r>
              <w:rPr>
                <w:rFonts w:ascii="宋体" w:hAnsi="宋体" w:eastAsia="宋体"/>
                <w:sz w:val="16"/>
              </w:rPr>
              <w:t>—</w:t>
            </w:r>
          </w:p>
        </w:tc>
      </w:tr>
      <w:tr w14:paraId="655223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0742EC"/>
        </w:tc>
        <w:tc>
          <w:tcPr>
            <w:tcW w:w="19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9216A">
            <w:pPr>
              <w:jc w:val="center"/>
            </w:pPr>
            <w:r>
              <w:rPr>
                <w:rFonts w:ascii="宋体" w:hAnsi="宋体" w:eastAsia="宋体"/>
                <w:sz w:val="16"/>
              </w:rPr>
              <w:t xml:space="preserve">  其他资金</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03C08E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115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47F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EB9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AF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27A2F">
            <w:pPr>
              <w:jc w:val="center"/>
            </w:pPr>
            <w:r>
              <w:rPr>
                <w:rFonts w:ascii="宋体" w:hAnsi="宋体" w:eastAsia="宋体"/>
                <w:sz w:val="16"/>
              </w:rPr>
              <w:t>—</w:t>
            </w:r>
          </w:p>
        </w:tc>
      </w:tr>
      <w:tr w14:paraId="08DE46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4E14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E84B4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CD2997">
            <w:pPr>
              <w:jc w:val="center"/>
            </w:pPr>
            <w:r>
              <w:rPr>
                <w:rFonts w:ascii="宋体" w:hAnsi="宋体" w:eastAsia="宋体"/>
                <w:sz w:val="16"/>
              </w:rPr>
              <w:t>实际完成情况</w:t>
            </w:r>
          </w:p>
        </w:tc>
      </w:tr>
      <w:tr w14:paraId="1C16A3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B5734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0E8FAC">
            <w:pPr>
              <w:jc w:val="both"/>
            </w:pPr>
            <w:r>
              <w:rPr>
                <w:rFonts w:ascii="宋体" w:hAnsi="宋体" w:eastAsia="宋体"/>
                <w:sz w:val="16"/>
              </w:rPr>
              <w:t>主要发放伊德日斯·如则同志抚恤金，一次性发完。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2B52EE">
            <w:pPr>
              <w:jc w:val="both"/>
            </w:pPr>
            <w:r>
              <w:rPr>
                <w:rFonts w:ascii="宋体" w:hAnsi="宋体" w:eastAsia="宋体"/>
                <w:sz w:val="16"/>
              </w:rPr>
              <w:t>截至2024年12月底，本项目预算安排25.37万元，实际支出25.37万元，预算执行率100%。项目已经完成，通过项目的实施，进一步落实国家对死者家属抚慰，建立完善的国家机关工作人员及离退休人员的死亡抚恤保障体系；通过抚恤金的及时准确发放，达到了提高国家机关工作人员的工作积极性，确保社会的和谐稳定的效果。</w:t>
            </w:r>
          </w:p>
        </w:tc>
      </w:tr>
      <w:tr w14:paraId="44F9EC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B41ED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E0211">
            <w:pPr>
              <w:jc w:val="center"/>
            </w:pPr>
            <w:r>
              <w:rPr>
                <w:rFonts w:ascii="宋体" w:hAnsi="宋体" w:eastAsia="宋体"/>
                <w:sz w:val="16"/>
              </w:rPr>
              <w:t>一级指标</w:t>
            </w:r>
          </w:p>
        </w:tc>
        <w:tc>
          <w:tcPr>
            <w:tcW w:w="943" w:type="dxa"/>
            <w:tcBorders>
              <w:top w:val="single" w:color="auto" w:sz="10" w:space="0"/>
              <w:left w:val="single" w:color="auto" w:sz="10" w:space="0"/>
              <w:bottom w:val="single" w:color="auto" w:sz="10" w:space="0"/>
              <w:right w:val="single" w:color="auto" w:sz="10" w:space="0"/>
              <w:insideV w:val="single" w:sz="10" w:space="0"/>
            </w:tcBorders>
            <w:vAlign w:val="center"/>
          </w:tcPr>
          <w:p w14:paraId="786976A7">
            <w:pPr>
              <w:jc w:val="center"/>
            </w:pPr>
            <w:r>
              <w:rPr>
                <w:rFonts w:ascii="宋体" w:hAnsi="宋体" w:eastAsia="宋体"/>
                <w:sz w:val="16"/>
              </w:rPr>
              <w:t>二级指标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709FB28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DFA9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4AD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3B39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CD9D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26B53">
            <w:pPr>
              <w:jc w:val="center"/>
            </w:pPr>
            <w:r>
              <w:rPr>
                <w:rFonts w:ascii="宋体" w:hAnsi="宋体" w:eastAsia="宋体"/>
                <w:sz w:val="16"/>
              </w:rPr>
              <w:t>偏差原因分析及改进措施</w:t>
            </w:r>
          </w:p>
        </w:tc>
      </w:tr>
      <w:tr w14:paraId="62D162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8CFE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B5A26">
            <w:pPr>
              <w:jc w:val="center"/>
            </w:pPr>
            <w:r>
              <w:rPr>
                <w:rFonts w:ascii="宋体" w:hAnsi="宋体" w:eastAsia="宋体"/>
                <w:sz w:val="16"/>
              </w:rPr>
              <w:t>产出指标</w:t>
            </w:r>
          </w:p>
        </w:tc>
        <w:tc>
          <w:tcPr>
            <w:tcW w:w="94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0AEF6">
            <w:pPr>
              <w:jc w:val="center"/>
            </w:pPr>
            <w:r>
              <w:rPr>
                <w:rFonts w:ascii="宋体" w:hAnsi="宋体" w:eastAsia="宋体"/>
                <w:sz w:val="16"/>
              </w:rPr>
              <w:t>数量指标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46CD717E">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58B76">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6E2C8">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C30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4ED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DDFA9">
            <w:pPr>
              <w:jc w:val="center"/>
            </w:pPr>
          </w:p>
        </w:tc>
      </w:tr>
      <w:tr w14:paraId="6FE095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FC9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CC141"/>
        </w:tc>
        <w:tc>
          <w:tcPr>
            <w:tcW w:w="943" w:type="dxa"/>
            <w:vMerge w:val="continue"/>
            <w:tcBorders>
              <w:top w:val="single" w:color="auto" w:sz="10" w:space="0"/>
              <w:left w:val="single" w:color="auto" w:sz="10" w:space="0"/>
              <w:bottom w:val="single" w:color="auto" w:sz="10" w:space="0"/>
              <w:right w:val="single" w:color="auto" w:sz="10" w:space="0"/>
              <w:insideV w:val="single" w:sz="10" w:space="0"/>
            </w:tcBorders>
          </w:tcPr>
          <w:p w14:paraId="637C4E09"/>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5B1E69EB">
            <w:pPr>
              <w:jc w:val="center"/>
            </w:pPr>
            <w:r>
              <w:rPr>
                <w:rFonts w:ascii="宋体" w:hAnsi="宋体" w:eastAsia="宋体"/>
                <w:sz w:val="16"/>
              </w:rPr>
              <w:t>慰问抚恤次数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ADA1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F73C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BF0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1DE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A78AC">
            <w:pPr>
              <w:jc w:val="center"/>
            </w:pPr>
          </w:p>
        </w:tc>
      </w:tr>
      <w:tr w14:paraId="478845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BFE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AE0CC"/>
        </w:tc>
        <w:tc>
          <w:tcPr>
            <w:tcW w:w="943" w:type="dxa"/>
            <w:tcBorders>
              <w:top w:val="single" w:color="auto" w:sz="10" w:space="0"/>
              <w:left w:val="single" w:color="auto" w:sz="10" w:space="0"/>
              <w:bottom w:val="single" w:color="auto" w:sz="10" w:space="0"/>
              <w:right w:val="single" w:color="auto" w:sz="10" w:space="0"/>
              <w:insideV w:val="single" w:sz="10" w:space="0"/>
            </w:tcBorders>
            <w:vAlign w:val="center"/>
          </w:tcPr>
          <w:p w14:paraId="2B6A5DE1">
            <w:pPr>
              <w:jc w:val="center"/>
            </w:pPr>
            <w:r>
              <w:rPr>
                <w:rFonts w:ascii="宋体" w:hAnsi="宋体" w:eastAsia="宋体"/>
                <w:sz w:val="16"/>
              </w:rPr>
              <w:t>质量指标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31ACFDB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3D1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420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6E3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65F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2E9B0">
            <w:pPr>
              <w:jc w:val="center"/>
            </w:pPr>
          </w:p>
        </w:tc>
      </w:tr>
      <w:tr w14:paraId="28767E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B788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23057"/>
        </w:tc>
        <w:tc>
          <w:tcPr>
            <w:tcW w:w="943" w:type="dxa"/>
            <w:tcBorders>
              <w:top w:val="single" w:color="auto" w:sz="10" w:space="0"/>
              <w:left w:val="single" w:color="auto" w:sz="10" w:space="0"/>
              <w:bottom w:val="single" w:color="auto" w:sz="10" w:space="0"/>
              <w:right w:val="single" w:color="auto" w:sz="10" w:space="0"/>
              <w:insideV w:val="single" w:sz="10" w:space="0"/>
            </w:tcBorders>
            <w:vAlign w:val="center"/>
          </w:tcPr>
          <w:p w14:paraId="00A6893D">
            <w:pPr>
              <w:jc w:val="center"/>
            </w:pPr>
            <w:r>
              <w:rPr>
                <w:rFonts w:ascii="宋体" w:hAnsi="宋体" w:eastAsia="宋体"/>
                <w:sz w:val="16"/>
              </w:rPr>
              <w:t>时效指标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237F8164">
            <w:pPr>
              <w:jc w:val="center"/>
            </w:pPr>
            <w:r>
              <w:rPr>
                <w:rFonts w:ascii="宋体" w:hAnsi="宋体" w:eastAsia="宋体"/>
                <w:sz w:val="16"/>
              </w:rPr>
              <w:t>慰问抚恤发放及时率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93B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881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F22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A14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131B6">
            <w:pPr>
              <w:jc w:val="center"/>
            </w:pPr>
          </w:p>
        </w:tc>
      </w:tr>
      <w:tr w14:paraId="6E4660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331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DD06D">
            <w:pPr>
              <w:jc w:val="center"/>
            </w:pPr>
            <w:r>
              <w:rPr>
                <w:rFonts w:ascii="宋体" w:hAnsi="宋体" w:eastAsia="宋体"/>
                <w:sz w:val="16"/>
              </w:rPr>
              <w:t>成本指标</w:t>
            </w:r>
          </w:p>
        </w:tc>
        <w:tc>
          <w:tcPr>
            <w:tcW w:w="943" w:type="dxa"/>
            <w:tcBorders>
              <w:top w:val="single" w:color="auto" w:sz="10" w:space="0"/>
              <w:left w:val="single" w:color="auto" w:sz="10" w:space="0"/>
              <w:bottom w:val="single" w:color="auto" w:sz="10" w:space="0"/>
              <w:right w:val="single" w:color="auto" w:sz="10" w:space="0"/>
              <w:insideV w:val="single" w:sz="10" w:space="0"/>
            </w:tcBorders>
            <w:vAlign w:val="center"/>
          </w:tcPr>
          <w:p w14:paraId="6916152F">
            <w:pPr>
              <w:jc w:val="center"/>
            </w:pPr>
            <w:r>
              <w:rPr>
                <w:rFonts w:ascii="宋体" w:hAnsi="宋体" w:eastAsia="宋体"/>
                <w:sz w:val="16"/>
              </w:rPr>
              <w:t>经济成本指标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43459A3A">
            <w:pPr>
              <w:jc w:val="center"/>
            </w:pPr>
            <w:r>
              <w:rPr>
                <w:rFonts w:ascii="宋体" w:hAnsi="宋体" w:eastAsia="宋体"/>
                <w:sz w:val="16"/>
              </w:rPr>
              <w:t>发放丧葬费和抚恤金标准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14029">
            <w:pPr>
              <w:jc w:val="center"/>
            </w:pPr>
            <w:r>
              <w:rPr>
                <w:rFonts w:ascii="宋体" w:hAnsi="宋体" w:eastAsia="宋体"/>
                <w:sz w:val="16"/>
              </w:rPr>
              <w:t>&lt;=25.37万元/人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A0A2F">
            <w:pPr>
              <w:jc w:val="center"/>
            </w:pPr>
            <w:r>
              <w:rPr>
                <w:rFonts w:ascii="宋体" w:hAnsi="宋体" w:eastAsia="宋体"/>
                <w:sz w:val="16"/>
              </w:rPr>
              <w:t>&lt;=25.37万元/人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D5B5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CADD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4224">
            <w:pPr>
              <w:jc w:val="center"/>
            </w:pPr>
          </w:p>
        </w:tc>
      </w:tr>
      <w:tr w14:paraId="27510A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22E6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B6ED">
            <w:pPr>
              <w:jc w:val="center"/>
            </w:pPr>
            <w:r>
              <w:rPr>
                <w:rFonts w:ascii="宋体" w:hAnsi="宋体" w:eastAsia="宋体"/>
                <w:sz w:val="16"/>
              </w:rPr>
              <w:t>效益指标</w:t>
            </w:r>
          </w:p>
        </w:tc>
        <w:tc>
          <w:tcPr>
            <w:tcW w:w="943" w:type="dxa"/>
            <w:tcBorders>
              <w:top w:val="single" w:color="auto" w:sz="10" w:space="0"/>
              <w:left w:val="single" w:color="auto" w:sz="10" w:space="0"/>
              <w:bottom w:val="single" w:color="auto" w:sz="10" w:space="0"/>
              <w:right w:val="single" w:color="auto" w:sz="10" w:space="0"/>
              <w:insideV w:val="single" w:sz="10" w:space="0"/>
            </w:tcBorders>
            <w:vAlign w:val="center"/>
          </w:tcPr>
          <w:p w14:paraId="6A571C32">
            <w:pPr>
              <w:jc w:val="center"/>
            </w:pPr>
            <w:r>
              <w:rPr>
                <w:rFonts w:ascii="宋体" w:hAnsi="宋体" w:eastAsia="宋体"/>
                <w:sz w:val="16"/>
              </w:rPr>
              <w:t>社会效益指标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00109E55">
            <w:pPr>
              <w:jc w:val="center"/>
            </w:pPr>
            <w:r>
              <w:rPr>
                <w:rFonts w:ascii="宋体" w:hAnsi="宋体" w:eastAsia="宋体"/>
                <w:sz w:val="16"/>
              </w:rPr>
              <w:t>提高国家干部工作积极性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06877">
            <w:pPr>
              <w:jc w:val="center"/>
            </w:pPr>
            <w:r>
              <w:rPr>
                <w:rFonts w:ascii="宋体" w:hAnsi="宋体" w:eastAsia="宋体"/>
                <w:sz w:val="16"/>
              </w:rPr>
              <w:t>进一步提高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7D28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CD6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F60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80DBE">
            <w:pPr>
              <w:jc w:val="center"/>
            </w:pPr>
          </w:p>
        </w:tc>
      </w:tr>
      <w:tr w14:paraId="6B3A9D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023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4CEC6">
            <w:pPr>
              <w:jc w:val="center"/>
            </w:pPr>
            <w:r>
              <w:rPr>
                <w:rFonts w:ascii="宋体" w:hAnsi="宋体" w:eastAsia="宋体"/>
                <w:sz w:val="16"/>
              </w:rPr>
              <w:t>满意度指标</w:t>
            </w:r>
          </w:p>
        </w:tc>
        <w:tc>
          <w:tcPr>
            <w:tcW w:w="943" w:type="dxa"/>
            <w:tcBorders>
              <w:top w:val="single" w:color="auto" w:sz="10" w:space="0"/>
              <w:left w:val="single" w:color="auto" w:sz="10" w:space="0"/>
              <w:bottom w:val="single" w:color="auto" w:sz="10" w:space="0"/>
              <w:right w:val="single" w:color="auto" w:sz="10" w:space="0"/>
              <w:insideV w:val="single" w:sz="10" w:space="0"/>
            </w:tcBorders>
            <w:vAlign w:val="center"/>
          </w:tcPr>
          <w:p w14:paraId="3775B089">
            <w:pPr>
              <w:jc w:val="center"/>
            </w:pPr>
            <w:r>
              <w:rPr>
                <w:rFonts w:ascii="宋体" w:hAnsi="宋体" w:eastAsia="宋体"/>
                <w:sz w:val="16"/>
              </w:rPr>
              <w:t>满意度指标</w:t>
            </w:r>
          </w:p>
        </w:tc>
        <w:tc>
          <w:tcPr>
            <w:tcW w:w="1023" w:type="dxa"/>
            <w:tcBorders>
              <w:top w:val="single" w:color="auto" w:sz="10" w:space="0"/>
              <w:left w:val="single" w:color="auto" w:sz="10" w:space="0"/>
              <w:bottom w:val="single" w:color="auto" w:sz="10" w:space="0"/>
              <w:right w:val="single" w:color="auto" w:sz="10" w:space="0"/>
              <w:insideV w:val="single" w:sz="10" w:space="0"/>
            </w:tcBorders>
            <w:vAlign w:val="center"/>
          </w:tcPr>
          <w:p w14:paraId="27B293CC">
            <w:pPr>
              <w:jc w:val="center"/>
            </w:pPr>
            <w:r>
              <w:rPr>
                <w:rFonts w:ascii="宋体" w:hAnsi="宋体" w:eastAsia="宋体"/>
                <w:sz w:val="16"/>
              </w:rPr>
              <w:t>家属人员满意度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1BC8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766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31D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8AA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4490C">
            <w:pPr>
              <w:jc w:val="center"/>
            </w:pPr>
          </w:p>
        </w:tc>
      </w:tr>
      <w:tr w14:paraId="5B030B0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BA54E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A1E7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557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3A00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41C8811"/>
        </w:tc>
      </w:tr>
    </w:tbl>
    <w:p w14:paraId="3F64B9C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4237B9">
        <w:tblPrEx>
          <w:tblCellMar>
            <w:top w:w="0" w:type="dxa"/>
            <w:left w:w="108" w:type="dxa"/>
            <w:bottom w:w="0" w:type="dxa"/>
            <w:right w:w="108" w:type="dxa"/>
          </w:tblCellMar>
        </w:tblPrEx>
        <w:tc>
          <w:tcPr>
            <w:tcW w:w="8847" w:type="dxa"/>
            <w:gridSpan w:val="9"/>
            <w:vAlign w:val="center"/>
          </w:tcPr>
          <w:p w14:paraId="7E710FD0">
            <w:pPr>
              <w:jc w:val="center"/>
            </w:pPr>
            <w:r>
              <w:rPr>
                <w:rFonts w:ascii="宋体" w:hAnsi="宋体" w:eastAsia="宋体"/>
                <w:sz w:val="24"/>
              </w:rPr>
              <w:t>项目支出绩效自评表</w:t>
            </w:r>
          </w:p>
        </w:tc>
      </w:tr>
      <w:tr w14:paraId="628C7949">
        <w:tblPrEx>
          <w:tblCellMar>
            <w:top w:w="0" w:type="dxa"/>
            <w:left w:w="108" w:type="dxa"/>
            <w:bottom w:w="0" w:type="dxa"/>
            <w:right w:w="108" w:type="dxa"/>
          </w:tblCellMar>
        </w:tblPrEx>
        <w:tc>
          <w:tcPr>
            <w:tcW w:w="8847" w:type="dxa"/>
            <w:gridSpan w:val="9"/>
            <w:vAlign w:val="center"/>
          </w:tcPr>
          <w:p w14:paraId="46B9AC0E">
            <w:pPr>
              <w:jc w:val="center"/>
            </w:pPr>
            <w:r>
              <w:rPr>
                <w:rFonts w:ascii="宋体" w:hAnsi="宋体" w:eastAsia="宋体"/>
                <w:sz w:val="24"/>
              </w:rPr>
              <w:t>(2024年度)</w:t>
            </w:r>
          </w:p>
        </w:tc>
      </w:tr>
      <w:tr w14:paraId="431BD5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B607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B019FD9">
            <w:pPr>
              <w:jc w:val="center"/>
            </w:pPr>
            <w:r>
              <w:rPr>
                <w:rFonts w:ascii="宋体" w:hAnsi="宋体" w:eastAsia="宋体"/>
                <w:sz w:val="16"/>
              </w:rPr>
              <w:t>2024年若克雅乡村级运转经费</w:t>
            </w:r>
          </w:p>
        </w:tc>
      </w:tr>
      <w:tr w14:paraId="28B332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421C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E6B820">
            <w:pPr>
              <w:jc w:val="center"/>
            </w:pPr>
            <w:r>
              <w:rPr>
                <w:rFonts w:ascii="宋体" w:hAnsi="宋体" w:eastAsia="宋体"/>
                <w:sz w:val="16"/>
              </w:rPr>
              <w:t>民丰县若克雅乡人民政府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BE60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1EC9A1">
            <w:pPr>
              <w:jc w:val="center"/>
            </w:pPr>
            <w:r>
              <w:rPr>
                <w:rFonts w:ascii="宋体" w:hAnsi="宋体" w:eastAsia="宋体"/>
                <w:sz w:val="16"/>
              </w:rPr>
              <w:t>民丰县若克雅乡人民政府</w:t>
            </w:r>
          </w:p>
        </w:tc>
      </w:tr>
      <w:tr w14:paraId="5D1782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09C0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6EC9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2CEA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39D5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2979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E949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A009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10FDF">
            <w:pPr>
              <w:jc w:val="center"/>
            </w:pPr>
            <w:r>
              <w:rPr>
                <w:rFonts w:ascii="宋体" w:hAnsi="宋体" w:eastAsia="宋体"/>
                <w:sz w:val="16"/>
              </w:rPr>
              <w:t>得分</w:t>
            </w:r>
          </w:p>
        </w:tc>
      </w:tr>
      <w:tr w14:paraId="39D714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F51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BBCA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34AB9">
            <w:pPr>
              <w:jc w:val="center"/>
            </w:pPr>
            <w:r>
              <w:rPr>
                <w:rFonts w:ascii="宋体" w:hAnsi="宋体" w:eastAsia="宋体"/>
                <w:sz w:val="16"/>
              </w:rPr>
              <w:t>77.00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E15E6">
            <w:pPr>
              <w:jc w:val="center"/>
            </w:pPr>
            <w:r>
              <w:rPr>
                <w:rFonts w:ascii="宋体" w:hAnsi="宋体" w:eastAsia="宋体"/>
                <w:sz w:val="16"/>
              </w:rPr>
              <w:t>77.00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46C5B">
            <w:pPr>
              <w:jc w:val="center"/>
            </w:pPr>
            <w:r>
              <w:rPr>
                <w:rFonts w:ascii="宋体" w:hAnsi="宋体" w:eastAsia="宋体"/>
                <w:sz w:val="16"/>
              </w:rPr>
              <w:t>41.64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C6A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D957F">
            <w:pPr>
              <w:jc w:val="center"/>
            </w:pPr>
            <w:r>
              <w:rPr>
                <w:rFonts w:ascii="宋体" w:hAnsi="宋体" w:eastAsia="宋体"/>
                <w:sz w:val="16"/>
              </w:rPr>
              <w:t xml:space="preserve">54.08%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F5E68">
            <w:pPr>
              <w:jc w:val="center"/>
            </w:pPr>
            <w:r>
              <w:rPr>
                <w:rFonts w:ascii="宋体" w:hAnsi="宋体" w:eastAsia="宋体"/>
                <w:sz w:val="16"/>
              </w:rPr>
              <w:t>0.00分</w:t>
            </w:r>
          </w:p>
        </w:tc>
      </w:tr>
      <w:tr w14:paraId="6C60FF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1226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CD13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A5E69">
            <w:pPr>
              <w:jc w:val="center"/>
            </w:pPr>
            <w:r>
              <w:rPr>
                <w:rFonts w:ascii="宋体" w:hAnsi="宋体" w:eastAsia="宋体"/>
                <w:sz w:val="16"/>
              </w:rPr>
              <w:t>77.00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EFDB4">
            <w:pPr>
              <w:jc w:val="center"/>
            </w:pPr>
            <w:r>
              <w:rPr>
                <w:rFonts w:ascii="宋体" w:hAnsi="宋体" w:eastAsia="宋体"/>
                <w:sz w:val="16"/>
              </w:rPr>
              <w:t>77.00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0657E">
            <w:pPr>
              <w:jc w:val="center"/>
            </w:pPr>
            <w:r>
              <w:rPr>
                <w:rFonts w:ascii="宋体" w:hAnsi="宋体" w:eastAsia="宋体"/>
                <w:sz w:val="16"/>
              </w:rPr>
              <w:t>41.64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7CA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585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38969">
            <w:pPr>
              <w:jc w:val="center"/>
            </w:pPr>
            <w:r>
              <w:rPr>
                <w:rFonts w:ascii="宋体" w:hAnsi="宋体" w:eastAsia="宋体"/>
                <w:sz w:val="16"/>
              </w:rPr>
              <w:t>—</w:t>
            </w:r>
          </w:p>
        </w:tc>
      </w:tr>
      <w:tr w14:paraId="5EA5AA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F82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A366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196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948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923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E98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E47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D6C7E">
            <w:pPr>
              <w:jc w:val="center"/>
            </w:pPr>
            <w:r>
              <w:rPr>
                <w:rFonts w:ascii="宋体" w:hAnsi="宋体" w:eastAsia="宋体"/>
                <w:sz w:val="16"/>
              </w:rPr>
              <w:t>—</w:t>
            </w:r>
          </w:p>
        </w:tc>
      </w:tr>
      <w:tr w14:paraId="095C92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E0D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4F7B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A22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8AC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D60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A70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9F2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80D8F">
            <w:pPr>
              <w:jc w:val="center"/>
            </w:pPr>
            <w:r>
              <w:rPr>
                <w:rFonts w:ascii="宋体" w:hAnsi="宋体" w:eastAsia="宋体"/>
                <w:sz w:val="16"/>
              </w:rPr>
              <w:t>—</w:t>
            </w:r>
          </w:p>
        </w:tc>
      </w:tr>
      <w:tr w14:paraId="6F37B7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6896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A72DB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32BBE6">
            <w:pPr>
              <w:jc w:val="center"/>
            </w:pPr>
            <w:r>
              <w:rPr>
                <w:rFonts w:ascii="宋体" w:hAnsi="宋体" w:eastAsia="宋体"/>
                <w:sz w:val="16"/>
              </w:rPr>
              <w:t>实际完成情况</w:t>
            </w:r>
          </w:p>
        </w:tc>
      </w:tr>
      <w:tr w14:paraId="27C33D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CFC9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2EC17E">
            <w:pPr>
              <w:jc w:val="both"/>
            </w:pPr>
            <w:r>
              <w:rPr>
                <w:rFonts w:ascii="宋体" w:hAnsi="宋体" w:eastAsia="宋体"/>
                <w:sz w:val="16"/>
              </w:rPr>
              <w:t>根据新财行</w:t>
            </w:r>
            <w:r>
              <w:rPr>
                <w:rFonts w:hint="eastAsia" w:ascii="宋体" w:hAnsi="宋体"/>
                <w:sz w:val="16"/>
                <w:lang w:eastAsia="zh-CN"/>
              </w:rPr>
              <w:t>〔2017〕</w:t>
            </w:r>
            <w:r>
              <w:rPr>
                <w:rFonts w:ascii="宋体" w:hAnsi="宋体" w:eastAsia="宋体"/>
                <w:sz w:val="16"/>
              </w:rPr>
              <w:t>355号文件和项目实施方案实施本项目。项目实施内容：解决7个行政村见习大学生工资、水电费、公用经费等费用，77万村级运作经费明细：见习干部工资9.95万元；水电费22.85万元，邮电费2.92，公用经费41.28万元。通过项目实施，全面落实好新农村组织建设的要求，满足村级办公需要，不断加强组织建设，加强村级治理，为乡村振兴提供组织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9E7E94">
            <w:pPr>
              <w:jc w:val="both"/>
            </w:pPr>
            <w:r>
              <w:rPr>
                <w:rFonts w:ascii="宋体" w:hAnsi="宋体" w:eastAsia="宋体"/>
                <w:sz w:val="16"/>
              </w:rPr>
              <w:t>截至2024年12月底，本项目预算安排77万元，实际支出41.64万元，预算执行率54.08%。项目已经完成，通过项目实施，全面落实好新农村组织建设的要求，达到了满足村级办公需要，不断加强组织建设，加强村级治理，为乡村振兴提供组织保障效果。</w:t>
            </w:r>
          </w:p>
        </w:tc>
      </w:tr>
      <w:tr w14:paraId="02C038F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F0FAE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43F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886C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6A3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5732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A81D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0D6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65AB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CBEA7">
            <w:pPr>
              <w:jc w:val="center"/>
            </w:pPr>
            <w:r>
              <w:rPr>
                <w:rFonts w:ascii="宋体" w:hAnsi="宋体" w:eastAsia="宋体"/>
                <w:sz w:val="16"/>
              </w:rPr>
              <w:t>偏差原因分析及改进措施</w:t>
            </w:r>
          </w:p>
        </w:tc>
      </w:tr>
      <w:tr w14:paraId="5F768F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BC8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61546">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8325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AECFE">
            <w:pPr>
              <w:jc w:val="center"/>
            </w:pPr>
            <w:r>
              <w:rPr>
                <w:rFonts w:ascii="宋体" w:hAnsi="宋体" w:eastAsia="宋体"/>
                <w:sz w:val="16"/>
              </w:rPr>
              <w:t>保障全乡行政村数量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62B97">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5862D">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4E3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C43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64C66">
            <w:pPr>
              <w:jc w:val="center"/>
            </w:pPr>
          </w:p>
        </w:tc>
      </w:tr>
      <w:tr w14:paraId="73FDD9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570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E4FC2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A2DC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80593">
            <w:pPr>
              <w:jc w:val="center"/>
            </w:pPr>
            <w:r>
              <w:rPr>
                <w:rFonts w:ascii="宋体" w:hAnsi="宋体" w:eastAsia="宋体"/>
                <w:sz w:val="16"/>
              </w:rPr>
              <w:t>保障行政村日常运转率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188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D0A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8CA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904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B003D">
            <w:pPr>
              <w:jc w:val="center"/>
            </w:pPr>
          </w:p>
        </w:tc>
      </w:tr>
      <w:tr w14:paraId="52E88E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29E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779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4B7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4192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432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4DE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1B7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23BB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278FB">
            <w:pPr>
              <w:jc w:val="center"/>
            </w:pPr>
            <w:r>
              <w:rPr>
                <w:rFonts w:ascii="宋体" w:hAnsi="宋体" w:eastAsia="宋体"/>
                <w:sz w:val="16"/>
              </w:rPr>
              <w:t>偏差原因：政府采购进度慢，导致资金没有及时支出。改进措施：后续加快支付进度。</w:t>
            </w:r>
          </w:p>
        </w:tc>
      </w:tr>
      <w:tr w14:paraId="0CBD82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DE1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29F6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A21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6333E">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73D7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2BEE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511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1BF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84D04">
            <w:pPr>
              <w:jc w:val="center"/>
            </w:pPr>
          </w:p>
        </w:tc>
      </w:tr>
      <w:tr w14:paraId="5CC00A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1D2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5CCA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A5AE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67F7C">
            <w:pPr>
              <w:jc w:val="center"/>
            </w:pPr>
            <w:r>
              <w:rPr>
                <w:rFonts w:ascii="宋体" w:hAnsi="宋体" w:eastAsia="宋体"/>
                <w:sz w:val="16"/>
              </w:rPr>
              <w:t>保障每村日常运行成本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103D9">
            <w:pPr>
              <w:jc w:val="center"/>
            </w:pPr>
            <w:r>
              <w:rPr>
                <w:rFonts w:ascii="宋体" w:hAnsi="宋体" w:eastAsia="宋体"/>
                <w:sz w:val="16"/>
              </w:rPr>
              <w:t>&lt;=11万元/村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64A48">
            <w:pPr>
              <w:jc w:val="center"/>
            </w:pPr>
            <w:r>
              <w:rPr>
                <w:rFonts w:ascii="宋体" w:hAnsi="宋体" w:eastAsia="宋体"/>
                <w:sz w:val="16"/>
              </w:rPr>
              <w:t>≤5.95万元/村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1D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4373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41212">
            <w:pPr>
              <w:jc w:val="center"/>
            </w:pPr>
            <w:r>
              <w:rPr>
                <w:rFonts w:ascii="宋体" w:hAnsi="宋体" w:eastAsia="宋体"/>
                <w:sz w:val="16"/>
              </w:rPr>
              <w:t>偏差原因：政府采购进度慢，导致资金没有及时支出。改进措施：后续加快支付进度。</w:t>
            </w:r>
          </w:p>
        </w:tc>
      </w:tr>
      <w:tr w14:paraId="671B4F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E57E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FD1F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BB1A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7AB30">
            <w:pPr>
              <w:jc w:val="center"/>
            </w:pPr>
            <w:r>
              <w:rPr>
                <w:rFonts w:ascii="宋体" w:hAnsi="宋体" w:eastAsia="宋体"/>
                <w:sz w:val="16"/>
              </w:rPr>
              <w:t>有效加强基层社会管理和服务能力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6A3E3">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1DB1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64A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32FC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A17EC">
            <w:pPr>
              <w:jc w:val="center"/>
            </w:pPr>
          </w:p>
        </w:tc>
      </w:tr>
      <w:tr w14:paraId="6FCDBB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FF9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4A18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E60D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84A5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79D8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666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3A4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452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B1EC5">
            <w:pPr>
              <w:jc w:val="center"/>
            </w:pPr>
          </w:p>
        </w:tc>
      </w:tr>
      <w:tr w14:paraId="05A82B1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FDA7F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12B3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04D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37373">
            <w:pPr>
              <w:jc w:val="center"/>
            </w:pPr>
            <w:r>
              <w:rPr>
                <w:rFonts w:ascii="宋体" w:hAnsi="宋体" w:eastAsia="宋体"/>
                <w:sz w:val="16"/>
              </w:rPr>
              <w:t>60分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AA4C63"/>
        </w:tc>
      </w:tr>
    </w:tbl>
    <w:p w14:paraId="7A69E24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2BEDDB">
        <w:tc>
          <w:tcPr>
            <w:tcW w:w="8847" w:type="dxa"/>
            <w:gridSpan w:val="9"/>
            <w:vAlign w:val="center"/>
          </w:tcPr>
          <w:p w14:paraId="521B798E">
            <w:pPr>
              <w:jc w:val="center"/>
            </w:pPr>
            <w:r>
              <w:rPr>
                <w:rFonts w:ascii="宋体" w:hAnsi="宋体" w:eastAsia="宋体"/>
                <w:sz w:val="24"/>
              </w:rPr>
              <w:t>项目支出绩效自评表</w:t>
            </w:r>
          </w:p>
        </w:tc>
      </w:tr>
      <w:tr w14:paraId="5E0E1C89">
        <w:tblPrEx>
          <w:tblCellMar>
            <w:top w:w="0" w:type="dxa"/>
            <w:left w:w="108" w:type="dxa"/>
            <w:bottom w:w="0" w:type="dxa"/>
            <w:right w:w="108" w:type="dxa"/>
          </w:tblCellMar>
        </w:tblPrEx>
        <w:tc>
          <w:tcPr>
            <w:tcW w:w="8847" w:type="dxa"/>
            <w:gridSpan w:val="9"/>
            <w:vAlign w:val="center"/>
          </w:tcPr>
          <w:p w14:paraId="1837DAF6">
            <w:pPr>
              <w:jc w:val="center"/>
            </w:pPr>
            <w:r>
              <w:rPr>
                <w:rFonts w:ascii="宋体" w:hAnsi="宋体" w:eastAsia="宋体"/>
                <w:sz w:val="24"/>
              </w:rPr>
              <w:t>(2024年度)</w:t>
            </w:r>
          </w:p>
        </w:tc>
      </w:tr>
      <w:tr w14:paraId="5B9632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74CF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ACE20C">
            <w:pPr>
              <w:jc w:val="center"/>
            </w:pPr>
            <w:r>
              <w:rPr>
                <w:rFonts w:ascii="宋体" w:hAnsi="宋体" w:eastAsia="宋体"/>
                <w:sz w:val="16"/>
              </w:rPr>
              <w:t>民丰县若克雅乡2023年结余资金</w:t>
            </w:r>
          </w:p>
        </w:tc>
      </w:tr>
      <w:tr w14:paraId="5367C9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1C8A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F7D7A9">
            <w:pPr>
              <w:jc w:val="center"/>
            </w:pPr>
            <w:r>
              <w:rPr>
                <w:rFonts w:ascii="宋体" w:hAnsi="宋体" w:eastAsia="宋体"/>
                <w:sz w:val="16"/>
              </w:rPr>
              <w:t>民丰县若克雅乡人民政府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1B0B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F19271">
            <w:pPr>
              <w:jc w:val="center"/>
            </w:pPr>
            <w:r>
              <w:rPr>
                <w:rFonts w:ascii="宋体" w:hAnsi="宋体" w:eastAsia="宋体"/>
                <w:sz w:val="16"/>
              </w:rPr>
              <w:t>民丰县若克雅乡人民政府</w:t>
            </w:r>
          </w:p>
        </w:tc>
      </w:tr>
      <w:tr w14:paraId="45BEF7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098B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C2FF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5460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005D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9E00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DA17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1B58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1EB6D">
            <w:pPr>
              <w:jc w:val="center"/>
            </w:pPr>
            <w:r>
              <w:rPr>
                <w:rFonts w:ascii="宋体" w:hAnsi="宋体" w:eastAsia="宋体"/>
                <w:sz w:val="16"/>
              </w:rPr>
              <w:t>得分</w:t>
            </w:r>
          </w:p>
        </w:tc>
      </w:tr>
      <w:tr w14:paraId="176495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EB0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2DA4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F0F25">
            <w:pPr>
              <w:jc w:val="center"/>
            </w:pPr>
            <w:r>
              <w:rPr>
                <w:rFonts w:ascii="宋体" w:hAnsi="宋体" w:eastAsia="宋体"/>
                <w:sz w:val="16"/>
              </w:rPr>
              <w:t>27.74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F3118">
            <w:pPr>
              <w:jc w:val="center"/>
            </w:pPr>
            <w:r>
              <w:rPr>
                <w:rFonts w:ascii="宋体" w:hAnsi="宋体" w:eastAsia="宋体"/>
                <w:sz w:val="16"/>
              </w:rPr>
              <w:t>27.74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71984">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A97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783C6">
            <w:pPr>
              <w:jc w:val="center"/>
            </w:pPr>
            <w:r>
              <w:rPr>
                <w:rFonts w:ascii="宋体" w:hAnsi="宋体" w:eastAsia="宋体"/>
                <w:sz w:val="16"/>
              </w:rPr>
              <w:t xml:space="preserve">1.87%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D026B">
            <w:pPr>
              <w:jc w:val="center"/>
            </w:pPr>
            <w:r>
              <w:rPr>
                <w:rFonts w:ascii="宋体" w:hAnsi="宋体" w:eastAsia="宋体"/>
                <w:sz w:val="16"/>
              </w:rPr>
              <w:t>0.00分</w:t>
            </w:r>
          </w:p>
        </w:tc>
      </w:tr>
      <w:tr w14:paraId="66908F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8AF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21F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025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90B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B79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F82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CEF0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33660">
            <w:pPr>
              <w:jc w:val="center"/>
            </w:pPr>
            <w:r>
              <w:rPr>
                <w:rFonts w:ascii="宋体" w:hAnsi="宋体" w:eastAsia="宋体"/>
                <w:sz w:val="16"/>
              </w:rPr>
              <w:t>—</w:t>
            </w:r>
          </w:p>
        </w:tc>
      </w:tr>
      <w:tr w14:paraId="3C6967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9769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74B0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48B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EA3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762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450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427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BD432">
            <w:pPr>
              <w:jc w:val="center"/>
            </w:pPr>
            <w:r>
              <w:rPr>
                <w:rFonts w:ascii="宋体" w:hAnsi="宋体" w:eastAsia="宋体"/>
                <w:sz w:val="16"/>
              </w:rPr>
              <w:t>—</w:t>
            </w:r>
          </w:p>
        </w:tc>
      </w:tr>
      <w:tr w14:paraId="29B2AD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C1F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AFA4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E7869">
            <w:pPr>
              <w:jc w:val="center"/>
            </w:pPr>
            <w:r>
              <w:rPr>
                <w:rFonts w:ascii="宋体" w:hAnsi="宋体" w:eastAsia="宋体"/>
                <w:sz w:val="16"/>
              </w:rPr>
              <w:t>27.74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0B7B6">
            <w:pPr>
              <w:jc w:val="center"/>
            </w:pPr>
            <w:r>
              <w:rPr>
                <w:rFonts w:ascii="宋体" w:hAnsi="宋体" w:eastAsia="宋体"/>
                <w:sz w:val="16"/>
              </w:rPr>
              <w:t>27.74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ADFCB">
            <w:pPr>
              <w:jc w:val="center"/>
            </w:pPr>
            <w:r>
              <w:rPr>
                <w:rFonts w:ascii="宋体" w:hAnsi="宋体" w:eastAsia="宋体"/>
                <w:sz w:val="16"/>
              </w:rPr>
              <w:t>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2CF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B3F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FB4C1">
            <w:pPr>
              <w:jc w:val="center"/>
            </w:pPr>
            <w:r>
              <w:rPr>
                <w:rFonts w:ascii="宋体" w:hAnsi="宋体" w:eastAsia="宋体"/>
                <w:sz w:val="16"/>
              </w:rPr>
              <w:t>—</w:t>
            </w:r>
          </w:p>
        </w:tc>
      </w:tr>
      <w:tr w14:paraId="5E082A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010C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FDE0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CAFB8">
            <w:pPr>
              <w:jc w:val="center"/>
            </w:pPr>
            <w:r>
              <w:rPr>
                <w:rFonts w:ascii="宋体" w:hAnsi="宋体" w:eastAsia="宋体"/>
                <w:sz w:val="16"/>
              </w:rPr>
              <w:t>实际完成情况</w:t>
            </w:r>
          </w:p>
        </w:tc>
      </w:tr>
      <w:tr w14:paraId="38CF02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B7B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32A50C">
            <w:pPr>
              <w:jc w:val="both"/>
            </w:pPr>
            <w:r>
              <w:rPr>
                <w:rFonts w:ascii="宋体" w:hAnsi="宋体" w:eastAsia="宋体"/>
                <w:sz w:val="16"/>
              </w:rPr>
              <w:t>根据项目实施方案实施本项目。项目实施内容：2023年民丰县若克雅乡劳光村民族团结文化园帮扶项目资金250000元，县纪委拨入2022年纪检监察经费25200元，组织部拨入普通话奖励经费2200元。通过此项目的实施，有效保障单位业务正常开展，更好地为人民群众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8A1C2A">
            <w:pPr>
              <w:jc w:val="both"/>
            </w:pPr>
            <w:r>
              <w:rPr>
                <w:rFonts w:ascii="宋体" w:hAnsi="宋体" w:eastAsia="宋体"/>
                <w:sz w:val="16"/>
              </w:rPr>
              <w:t>截至2024年12月底，本项目预算安排27.74万元，实际支出0.52万元，预算执行率1.87%。2023年民丰县若克雅乡劳光村民族团结文化园帮扶项目资金25万元未完成，县纪委拨入2022年纪检监察经费2.52万元，完成了0.52万元支出，组织部拨入普通话奖励经费0.222万元，达到了更好地为人民服务的效果。</w:t>
            </w:r>
          </w:p>
        </w:tc>
      </w:tr>
      <w:tr w14:paraId="205F1A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C934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C158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8161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CAA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A6BB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661F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A5A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129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EDF84">
            <w:pPr>
              <w:jc w:val="center"/>
            </w:pPr>
            <w:r>
              <w:rPr>
                <w:rFonts w:ascii="宋体" w:hAnsi="宋体" w:eastAsia="宋体"/>
                <w:sz w:val="16"/>
              </w:rPr>
              <w:t>偏差原因分析及改进措施</w:t>
            </w:r>
          </w:p>
        </w:tc>
      </w:tr>
      <w:tr w14:paraId="4D9D7D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DB9B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C1AA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0F58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37F9C">
            <w:pPr>
              <w:jc w:val="center"/>
            </w:pPr>
            <w:r>
              <w:rPr>
                <w:rFonts w:ascii="宋体" w:hAnsi="宋体" w:eastAsia="宋体"/>
                <w:sz w:val="16"/>
              </w:rPr>
              <w:t>2023年民丰县若克雅乡劳光村民族团结文化园帮扶项目资金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1550E">
            <w:pPr>
              <w:jc w:val="center"/>
            </w:pPr>
            <w:r>
              <w:rPr>
                <w:rFonts w:ascii="宋体" w:hAnsi="宋体" w:eastAsia="宋体"/>
                <w:sz w:val="16"/>
              </w:rPr>
              <w:t>&lt;=25万元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8E6EA">
            <w:pPr>
              <w:jc w:val="center"/>
            </w:pPr>
            <w:r>
              <w:rPr>
                <w:rFonts w:ascii="宋体" w:hAnsi="宋体" w:eastAsia="宋体"/>
                <w:sz w:val="16"/>
              </w:rPr>
              <w:t>&lt;=0万元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D84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3EA9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FB6D1">
            <w:pPr>
              <w:jc w:val="center"/>
            </w:pPr>
            <w:r>
              <w:rPr>
                <w:rFonts w:ascii="宋体" w:hAnsi="宋体" w:eastAsia="宋体"/>
                <w:sz w:val="16"/>
              </w:rPr>
              <w:t>偏差原因：民丰县若克雅乡劳光村民族团结文化园帮扶项目资金25万元没有具体的实施方案和立项要求，导致资金没有及时支出。改进措施：加快实施方案和项目的立项，加快后续支付进度。</w:t>
            </w:r>
          </w:p>
        </w:tc>
      </w:tr>
      <w:tr w14:paraId="6331C4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80F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5B1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D0A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079C0">
            <w:pPr>
              <w:jc w:val="center"/>
            </w:pPr>
            <w:r>
              <w:rPr>
                <w:rFonts w:ascii="宋体" w:hAnsi="宋体" w:eastAsia="宋体"/>
                <w:sz w:val="16"/>
              </w:rPr>
              <w:t>2022年纪检监察经费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48C0">
            <w:pPr>
              <w:jc w:val="center"/>
            </w:pPr>
            <w:r>
              <w:rPr>
                <w:rFonts w:ascii="宋体" w:hAnsi="宋体" w:eastAsia="宋体"/>
                <w:sz w:val="16"/>
              </w:rPr>
              <w:t>&lt;=2.52万元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727E8">
            <w:pPr>
              <w:jc w:val="center"/>
            </w:pPr>
            <w:r>
              <w:rPr>
                <w:rFonts w:ascii="宋体" w:hAnsi="宋体" w:eastAsia="宋体"/>
                <w:sz w:val="16"/>
              </w:rPr>
              <w:t>&lt;=0.52万元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0CC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6BF65">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EC0A8">
            <w:pPr>
              <w:jc w:val="center"/>
            </w:pPr>
            <w:r>
              <w:rPr>
                <w:rFonts w:ascii="宋体" w:hAnsi="宋体" w:eastAsia="宋体"/>
                <w:sz w:val="16"/>
              </w:rPr>
              <w:t>偏差原因：纪检监察经费2.52万元剩余的2万元没有具体的台账数据，导致资金没有及时支出。改进措施：后续加快支付进度。</w:t>
            </w:r>
          </w:p>
        </w:tc>
      </w:tr>
      <w:tr w14:paraId="507104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852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142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9D4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8BDCA">
            <w:pPr>
              <w:jc w:val="center"/>
            </w:pPr>
            <w:r>
              <w:rPr>
                <w:rFonts w:ascii="宋体" w:hAnsi="宋体" w:eastAsia="宋体"/>
                <w:sz w:val="16"/>
              </w:rPr>
              <w:t>普通话奖励经费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59B65">
            <w:pPr>
              <w:jc w:val="center"/>
            </w:pPr>
            <w:r>
              <w:rPr>
                <w:rFonts w:ascii="宋体" w:hAnsi="宋体" w:eastAsia="宋体"/>
                <w:sz w:val="16"/>
              </w:rPr>
              <w:t>&lt;=0.22万元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82C4D">
            <w:pPr>
              <w:jc w:val="center"/>
            </w:pPr>
            <w:r>
              <w:rPr>
                <w:rFonts w:ascii="宋体" w:hAnsi="宋体" w:eastAsia="宋体"/>
                <w:sz w:val="16"/>
              </w:rPr>
              <w:t>&lt;=0万元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825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0AE5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9664B">
            <w:pPr>
              <w:jc w:val="center"/>
            </w:pPr>
            <w:r>
              <w:rPr>
                <w:rFonts w:ascii="宋体" w:hAnsi="宋体" w:eastAsia="宋体"/>
                <w:sz w:val="16"/>
              </w:rPr>
              <w:t>偏差原因：普通话奖励经费0.22万没有具体支出方案和要求，导致资金没有及时支出。改进措施：加快出具支出的具体方案和要求，加快资金的支出数据</w:t>
            </w:r>
          </w:p>
        </w:tc>
      </w:tr>
      <w:tr w14:paraId="34C90E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38F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A826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BFF3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33F20">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D7F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3E5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CEB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2530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8C8E3">
            <w:pPr>
              <w:jc w:val="center"/>
            </w:pPr>
            <w:r>
              <w:rPr>
                <w:rFonts w:ascii="宋体" w:hAnsi="宋体" w:eastAsia="宋体"/>
                <w:sz w:val="16"/>
              </w:rPr>
              <w:t>偏差原因：民丰县若克雅乡劳光村民族团结文化园帮扶项目资金25万元没有具体的实施方案和立项要求，纪检监察经费2.52万元剩余的2万元没有具体的台账数据，普通话奖励经费0.22万没有具体支出方案和要求，以上原因导致资金没有及时支出。改进措施：后续加快支付进度。</w:t>
            </w:r>
          </w:p>
        </w:tc>
      </w:tr>
      <w:tr w14:paraId="16EAF1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09D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2274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501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19AC">
            <w:pPr>
              <w:jc w:val="center"/>
            </w:pPr>
            <w:r>
              <w:rPr>
                <w:rFonts w:ascii="宋体" w:hAnsi="宋体" w:eastAsia="宋体"/>
                <w:sz w:val="16"/>
              </w:rPr>
              <w:t>资金发放及时性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553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A95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F38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58A6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61FFF">
            <w:pPr>
              <w:jc w:val="center"/>
            </w:pPr>
            <w:r>
              <w:rPr>
                <w:rFonts w:ascii="宋体" w:hAnsi="宋体" w:eastAsia="宋体"/>
                <w:sz w:val="16"/>
              </w:rPr>
              <w:t>偏差原因：民丰县若克雅乡劳光村民族团结文化园帮扶项目资金25万元没有具体的实施方案和立项要求，纪检监察经费2.52万元剩余的2万元没有具体的台账数据，普通话奖励经费0.22万没有具体支出方案和要求，以上原因导致资金没有及时支出。改进措施：后续加快支付进度。</w:t>
            </w:r>
          </w:p>
        </w:tc>
      </w:tr>
      <w:tr w14:paraId="7D9A5F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B44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A6A1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C628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B3AFE">
            <w:pPr>
              <w:jc w:val="center"/>
            </w:pPr>
            <w:r>
              <w:rPr>
                <w:rFonts w:ascii="宋体" w:hAnsi="宋体" w:eastAsia="宋体"/>
                <w:sz w:val="16"/>
              </w:rPr>
              <w:t>保障乡政府机关正常运行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FBEA1">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39F5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FCA2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3DB2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AAD21">
            <w:pPr>
              <w:jc w:val="center"/>
            </w:pPr>
          </w:p>
        </w:tc>
      </w:tr>
      <w:tr w14:paraId="0992AF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6FC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0636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7FE7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C5D5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55E0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5E7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49E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083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9A533">
            <w:pPr>
              <w:jc w:val="center"/>
            </w:pPr>
          </w:p>
        </w:tc>
      </w:tr>
      <w:tr w14:paraId="3E80C24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61827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A6370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CB8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69BC0">
            <w:pPr>
              <w:jc w:val="center"/>
            </w:pPr>
            <w:r>
              <w:rPr>
                <w:rFonts w:ascii="宋体" w:hAnsi="宋体" w:eastAsia="宋体"/>
                <w:sz w:val="16"/>
              </w:rPr>
              <w:t>40分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BB06C8"/>
        </w:tc>
      </w:tr>
    </w:tbl>
    <w:p w14:paraId="54BD496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BAD5ACC">
        <w:tblPrEx>
          <w:tblCellMar>
            <w:top w:w="0" w:type="dxa"/>
            <w:left w:w="108" w:type="dxa"/>
            <w:bottom w:w="0" w:type="dxa"/>
            <w:right w:w="108" w:type="dxa"/>
          </w:tblCellMar>
        </w:tblPrEx>
        <w:tc>
          <w:tcPr>
            <w:tcW w:w="8847" w:type="dxa"/>
            <w:gridSpan w:val="9"/>
            <w:vAlign w:val="center"/>
          </w:tcPr>
          <w:p w14:paraId="1335F451">
            <w:pPr>
              <w:jc w:val="center"/>
            </w:pPr>
            <w:r>
              <w:rPr>
                <w:rFonts w:ascii="宋体" w:hAnsi="宋体" w:eastAsia="宋体"/>
                <w:sz w:val="24"/>
              </w:rPr>
              <w:t>项目支出绩效自评表</w:t>
            </w:r>
          </w:p>
        </w:tc>
      </w:tr>
      <w:tr w14:paraId="0755FD2C">
        <w:tblPrEx>
          <w:tblCellMar>
            <w:top w:w="0" w:type="dxa"/>
            <w:left w:w="108" w:type="dxa"/>
            <w:bottom w:w="0" w:type="dxa"/>
            <w:right w:w="108" w:type="dxa"/>
          </w:tblCellMar>
        </w:tblPrEx>
        <w:tc>
          <w:tcPr>
            <w:tcW w:w="8847" w:type="dxa"/>
            <w:gridSpan w:val="9"/>
            <w:vAlign w:val="center"/>
          </w:tcPr>
          <w:p w14:paraId="010432FB">
            <w:pPr>
              <w:jc w:val="center"/>
            </w:pPr>
            <w:r>
              <w:rPr>
                <w:rFonts w:ascii="宋体" w:hAnsi="宋体" w:eastAsia="宋体"/>
                <w:sz w:val="24"/>
              </w:rPr>
              <w:t>(2024年度)</w:t>
            </w:r>
          </w:p>
        </w:tc>
      </w:tr>
      <w:tr w14:paraId="021877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B770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0D6952">
            <w:pPr>
              <w:jc w:val="center"/>
            </w:pPr>
            <w:r>
              <w:rPr>
                <w:rFonts w:ascii="宋体" w:hAnsi="宋体" w:eastAsia="宋体"/>
                <w:sz w:val="16"/>
              </w:rPr>
              <w:t>民丰县若克雅乡216国道路灯维修加装资金项目</w:t>
            </w:r>
          </w:p>
        </w:tc>
      </w:tr>
      <w:tr w14:paraId="59B319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FFDB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EABE0B">
            <w:pPr>
              <w:jc w:val="center"/>
            </w:pPr>
            <w:r>
              <w:rPr>
                <w:rFonts w:ascii="宋体" w:hAnsi="宋体" w:eastAsia="宋体"/>
                <w:sz w:val="16"/>
              </w:rPr>
              <w:t>民丰县若克雅乡人民政府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57E4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19B9F3">
            <w:pPr>
              <w:jc w:val="center"/>
            </w:pPr>
            <w:r>
              <w:rPr>
                <w:rFonts w:ascii="宋体" w:hAnsi="宋体" w:eastAsia="宋体"/>
                <w:sz w:val="16"/>
              </w:rPr>
              <w:t>民丰县若克雅乡人民政府</w:t>
            </w:r>
          </w:p>
        </w:tc>
      </w:tr>
      <w:tr w14:paraId="3301FE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FC24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6B4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E7AC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AFF4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7FD0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446E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E0FB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37B77">
            <w:pPr>
              <w:jc w:val="center"/>
            </w:pPr>
            <w:r>
              <w:rPr>
                <w:rFonts w:ascii="宋体" w:hAnsi="宋体" w:eastAsia="宋体"/>
                <w:sz w:val="16"/>
              </w:rPr>
              <w:t>得分</w:t>
            </w:r>
          </w:p>
        </w:tc>
      </w:tr>
      <w:tr w14:paraId="3771FA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3A2B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FB7E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BD9A">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21E2C">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0E20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524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61BC7">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7BD1B">
            <w:pPr>
              <w:jc w:val="center"/>
            </w:pPr>
            <w:r>
              <w:rPr>
                <w:rFonts w:ascii="宋体" w:hAnsi="宋体" w:eastAsia="宋体"/>
                <w:sz w:val="16"/>
              </w:rPr>
              <w:t>0.00分</w:t>
            </w:r>
          </w:p>
        </w:tc>
      </w:tr>
      <w:tr w14:paraId="524F96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184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C39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A0F2A">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080D1">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A1C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17F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256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D115">
            <w:pPr>
              <w:jc w:val="center"/>
            </w:pPr>
            <w:r>
              <w:rPr>
                <w:rFonts w:ascii="宋体" w:hAnsi="宋体" w:eastAsia="宋体"/>
                <w:sz w:val="16"/>
              </w:rPr>
              <w:t>—</w:t>
            </w:r>
          </w:p>
        </w:tc>
      </w:tr>
      <w:tr w14:paraId="527F68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64B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F87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8A7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CB2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F63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0D1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53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E770C">
            <w:pPr>
              <w:jc w:val="center"/>
            </w:pPr>
            <w:r>
              <w:rPr>
                <w:rFonts w:ascii="宋体" w:hAnsi="宋体" w:eastAsia="宋体"/>
                <w:sz w:val="16"/>
              </w:rPr>
              <w:t>—</w:t>
            </w:r>
          </w:p>
        </w:tc>
      </w:tr>
      <w:tr w14:paraId="6CD93E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4C9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4F1F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3E4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14C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1A1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BC2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4D3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90DDC">
            <w:pPr>
              <w:jc w:val="center"/>
            </w:pPr>
            <w:r>
              <w:rPr>
                <w:rFonts w:ascii="宋体" w:hAnsi="宋体" w:eastAsia="宋体"/>
                <w:sz w:val="16"/>
              </w:rPr>
              <w:t>—</w:t>
            </w:r>
          </w:p>
        </w:tc>
      </w:tr>
      <w:tr w14:paraId="6E5FB3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991D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3D707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11C467">
            <w:pPr>
              <w:jc w:val="center"/>
            </w:pPr>
            <w:r>
              <w:rPr>
                <w:rFonts w:ascii="宋体" w:hAnsi="宋体" w:eastAsia="宋体"/>
                <w:sz w:val="16"/>
              </w:rPr>
              <w:t>实际完成情况</w:t>
            </w:r>
          </w:p>
        </w:tc>
      </w:tr>
      <w:tr w14:paraId="1F7AB5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95D9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286C3D">
            <w:pPr>
              <w:jc w:val="both"/>
            </w:pPr>
            <w:r>
              <w:rPr>
                <w:rFonts w:ascii="宋体" w:hAnsi="宋体" w:eastAsia="宋体"/>
                <w:sz w:val="16"/>
              </w:rPr>
              <w:t>根据民财调</w:t>
            </w:r>
            <w:r>
              <w:rPr>
                <w:rFonts w:hint="eastAsia" w:ascii="宋体" w:hAnsi="宋体"/>
                <w:sz w:val="16"/>
                <w:lang w:eastAsia="zh-CN"/>
              </w:rPr>
              <w:t>〔2024〕144号</w:t>
            </w:r>
            <w:r>
              <w:rPr>
                <w:rFonts w:ascii="宋体" w:hAnsi="宋体" w:eastAsia="宋体"/>
                <w:sz w:val="16"/>
              </w:rPr>
              <w:t>文件，实施本项目。主要内容：该项目主要在216国道若克雅乡辖区维修加装一批路灯。通过项目的实施，通过项目的实施，提升若克雅乡辖区</w:t>
            </w:r>
            <w:r>
              <w:rPr>
                <w:rFonts w:hint="eastAsia" w:ascii="宋体" w:hAnsi="宋体"/>
                <w:sz w:val="16"/>
                <w:lang w:eastAsia="zh-CN"/>
              </w:rPr>
              <w:t>内</w:t>
            </w:r>
            <w:r>
              <w:rPr>
                <w:rFonts w:ascii="宋体" w:hAnsi="宋体" w:eastAsia="宋体"/>
                <w:sz w:val="16"/>
              </w:rPr>
              <w:t>国道的照明设施，减少交通事故，为人民群众出行营造更加安全的交通环境。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60D706">
            <w:pPr>
              <w:jc w:val="both"/>
            </w:pPr>
            <w:r>
              <w:rPr>
                <w:rFonts w:ascii="宋体" w:hAnsi="宋体" w:eastAsia="宋体"/>
                <w:sz w:val="16"/>
              </w:rPr>
              <w:t>截至2024年12月底，本项目预算安排25万元，实际支出0万元，预算执行率0%。该项目目前已全部完工，资金还未支付，通过项目的实施，提升若克雅乡辖区</w:t>
            </w:r>
            <w:r>
              <w:rPr>
                <w:rFonts w:hint="eastAsia" w:ascii="宋体" w:hAnsi="宋体"/>
                <w:sz w:val="16"/>
                <w:lang w:eastAsia="zh-CN"/>
              </w:rPr>
              <w:t>内</w:t>
            </w:r>
            <w:r>
              <w:rPr>
                <w:rFonts w:ascii="宋体" w:hAnsi="宋体" w:eastAsia="宋体"/>
                <w:sz w:val="16"/>
              </w:rPr>
              <w:t>国道的照明设施，达到了减少交通事故，为人民群众出行营造更加安全的交通环境的效果。</w:t>
            </w:r>
          </w:p>
        </w:tc>
      </w:tr>
      <w:tr w14:paraId="2E5E4A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84929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0AE6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2AB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19D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6F57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7A22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C553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BF78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8CDF1">
            <w:pPr>
              <w:jc w:val="center"/>
            </w:pPr>
            <w:r>
              <w:rPr>
                <w:rFonts w:ascii="宋体" w:hAnsi="宋体" w:eastAsia="宋体"/>
                <w:sz w:val="16"/>
              </w:rPr>
              <w:t>偏差原因分析及改进措施</w:t>
            </w:r>
          </w:p>
        </w:tc>
      </w:tr>
      <w:tr w14:paraId="0C6F1E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548B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A5C4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A11B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DFFCB">
            <w:pPr>
              <w:jc w:val="center"/>
            </w:pPr>
            <w:r>
              <w:rPr>
                <w:rFonts w:ascii="宋体" w:hAnsi="宋体" w:eastAsia="宋体"/>
                <w:sz w:val="16"/>
              </w:rPr>
              <w:t>维修加装路灯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C1D2E">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754EB">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D9E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FCD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08A77">
            <w:pPr>
              <w:jc w:val="center"/>
            </w:pPr>
          </w:p>
        </w:tc>
      </w:tr>
      <w:tr w14:paraId="3A508F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2EB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EF5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C01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702FC">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F63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36D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84C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A81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DB9F">
            <w:pPr>
              <w:jc w:val="center"/>
            </w:pPr>
            <w:r>
              <w:rPr>
                <w:rFonts w:ascii="宋体" w:hAnsi="宋体" w:eastAsia="宋体"/>
                <w:sz w:val="16"/>
              </w:rPr>
              <w:t>原因分析：该项目已全部完工，验收时间未到。改进措施：后续加快支付进度。</w:t>
            </w:r>
          </w:p>
        </w:tc>
      </w:tr>
      <w:tr w14:paraId="33BB34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BB0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E63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5358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191B5">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4AE3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434B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E23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4C5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DC589">
            <w:pPr>
              <w:jc w:val="center"/>
            </w:pPr>
          </w:p>
        </w:tc>
      </w:tr>
      <w:tr w14:paraId="2A7963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DCE8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609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97D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3FB0C">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6BE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92E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EA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10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E4273">
            <w:pPr>
              <w:jc w:val="center"/>
            </w:pPr>
          </w:p>
        </w:tc>
      </w:tr>
      <w:tr w14:paraId="7966FE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1DB7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A8E9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AE5F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B766C">
            <w:pPr>
              <w:jc w:val="center"/>
            </w:pPr>
            <w:r>
              <w:rPr>
                <w:rFonts w:ascii="宋体" w:hAnsi="宋体" w:eastAsia="宋体"/>
                <w:sz w:val="16"/>
              </w:rPr>
              <w:t>维修加装费用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70E41">
            <w:pPr>
              <w:jc w:val="center"/>
            </w:pPr>
            <w:r>
              <w:rPr>
                <w:rFonts w:ascii="宋体" w:hAnsi="宋体" w:eastAsia="宋体"/>
                <w:sz w:val="16"/>
              </w:rPr>
              <w:t>&lt;=20万元/批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38B3C">
            <w:pPr>
              <w:jc w:val="center"/>
            </w:pPr>
            <w:r>
              <w:rPr>
                <w:rFonts w:ascii="宋体" w:hAnsi="宋体" w:eastAsia="宋体"/>
                <w:sz w:val="16"/>
              </w:rPr>
              <w:t>=0万元/批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EE3D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ED45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A9E01">
            <w:pPr>
              <w:jc w:val="center"/>
            </w:pPr>
            <w:r>
              <w:rPr>
                <w:rFonts w:ascii="宋体" w:hAnsi="宋体" w:eastAsia="宋体"/>
                <w:sz w:val="16"/>
              </w:rPr>
              <w:t>原因分析：项目立项较晚，待项目立项完成已年底扎</w:t>
            </w:r>
            <w:r>
              <w:rPr>
                <w:rFonts w:hint="eastAsia" w:ascii="宋体" w:hAnsi="宋体"/>
                <w:sz w:val="16"/>
                <w:lang w:eastAsia="zh-CN"/>
              </w:rPr>
              <w:t>账</w:t>
            </w:r>
            <w:r>
              <w:rPr>
                <w:rFonts w:ascii="宋体" w:hAnsi="宋体" w:eastAsia="宋体"/>
                <w:sz w:val="16"/>
              </w:rPr>
              <w:t>，导致资金无法支付，未及时形成支出。改进措施：后续加快支付进度。</w:t>
            </w:r>
          </w:p>
        </w:tc>
      </w:tr>
      <w:tr w14:paraId="14F0E1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0FB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6E6E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0796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B16E9">
            <w:pPr>
              <w:jc w:val="center"/>
            </w:pPr>
            <w:r>
              <w:rPr>
                <w:rFonts w:ascii="宋体" w:hAnsi="宋体" w:eastAsia="宋体"/>
                <w:sz w:val="16"/>
              </w:rPr>
              <w:t>保障行车安全性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B5D3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8FC8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8F8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F31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ED4F0">
            <w:pPr>
              <w:jc w:val="center"/>
            </w:pPr>
          </w:p>
        </w:tc>
      </w:tr>
      <w:tr w14:paraId="458355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DD2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A183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1F2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91501">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B9A8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38B7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4E9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C60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4334A">
            <w:pPr>
              <w:jc w:val="center"/>
            </w:pPr>
          </w:p>
        </w:tc>
      </w:tr>
      <w:tr w14:paraId="5048523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8062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109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208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2EAF4">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FA6C96"/>
        </w:tc>
      </w:tr>
    </w:tbl>
    <w:p w14:paraId="61DC32A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A0982F5">
        <w:tc>
          <w:tcPr>
            <w:tcW w:w="8847" w:type="dxa"/>
            <w:gridSpan w:val="9"/>
            <w:vAlign w:val="center"/>
          </w:tcPr>
          <w:p w14:paraId="7A7A00B8">
            <w:pPr>
              <w:jc w:val="center"/>
            </w:pPr>
            <w:r>
              <w:rPr>
                <w:rFonts w:ascii="宋体" w:hAnsi="宋体" w:eastAsia="宋体"/>
                <w:sz w:val="24"/>
              </w:rPr>
              <w:t>项目支出绩效自评表</w:t>
            </w:r>
          </w:p>
        </w:tc>
      </w:tr>
      <w:tr w14:paraId="017CFCBD">
        <w:tblPrEx>
          <w:tblCellMar>
            <w:top w:w="0" w:type="dxa"/>
            <w:left w:w="108" w:type="dxa"/>
            <w:bottom w:w="0" w:type="dxa"/>
            <w:right w:w="108" w:type="dxa"/>
          </w:tblCellMar>
        </w:tblPrEx>
        <w:tc>
          <w:tcPr>
            <w:tcW w:w="8847" w:type="dxa"/>
            <w:gridSpan w:val="9"/>
            <w:vAlign w:val="center"/>
          </w:tcPr>
          <w:p w14:paraId="5EE0B0DE">
            <w:pPr>
              <w:jc w:val="center"/>
            </w:pPr>
            <w:r>
              <w:rPr>
                <w:rFonts w:ascii="宋体" w:hAnsi="宋体" w:eastAsia="宋体"/>
                <w:sz w:val="24"/>
              </w:rPr>
              <w:t>(2024年度)</w:t>
            </w:r>
          </w:p>
        </w:tc>
      </w:tr>
      <w:tr w14:paraId="447A8C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B08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B158C7">
            <w:pPr>
              <w:jc w:val="center"/>
            </w:pPr>
            <w:r>
              <w:rPr>
                <w:rFonts w:ascii="宋体" w:hAnsi="宋体" w:eastAsia="宋体"/>
                <w:sz w:val="16"/>
              </w:rPr>
              <w:t>民丰县若克雅乡辖区200亩沙枣清理项目</w:t>
            </w:r>
          </w:p>
        </w:tc>
      </w:tr>
      <w:tr w14:paraId="6D29EA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9393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B6B1A3">
            <w:pPr>
              <w:jc w:val="center"/>
            </w:pPr>
            <w:r>
              <w:rPr>
                <w:rFonts w:ascii="宋体" w:hAnsi="宋体" w:eastAsia="宋体"/>
                <w:sz w:val="16"/>
              </w:rPr>
              <w:t>民丰县若克雅乡人民政府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A903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200D3E">
            <w:pPr>
              <w:jc w:val="center"/>
            </w:pPr>
            <w:r>
              <w:rPr>
                <w:rFonts w:ascii="宋体" w:hAnsi="宋体" w:eastAsia="宋体"/>
                <w:sz w:val="16"/>
              </w:rPr>
              <w:t>民丰县若克雅乡人民政府</w:t>
            </w:r>
          </w:p>
        </w:tc>
      </w:tr>
      <w:tr w14:paraId="7708C1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1CCE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704A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727F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05CC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559D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48B0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329D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9C908">
            <w:pPr>
              <w:jc w:val="center"/>
            </w:pPr>
            <w:r>
              <w:rPr>
                <w:rFonts w:ascii="宋体" w:hAnsi="宋体" w:eastAsia="宋体"/>
                <w:sz w:val="16"/>
              </w:rPr>
              <w:t>得分</w:t>
            </w:r>
          </w:p>
        </w:tc>
      </w:tr>
      <w:tr w14:paraId="5295BA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8E577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B82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7E76A">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B820D">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DE202">
            <w:pPr>
              <w:jc w:val="center"/>
            </w:pPr>
            <w:r>
              <w:rPr>
                <w:rFonts w:ascii="宋体" w:hAnsi="宋体" w:eastAsia="宋体"/>
                <w:sz w:val="16"/>
              </w:rPr>
              <w:t>9.92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94D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4FD48">
            <w:pPr>
              <w:jc w:val="center"/>
            </w:pPr>
            <w:r>
              <w:rPr>
                <w:rFonts w:ascii="宋体" w:hAnsi="宋体" w:eastAsia="宋体"/>
                <w:sz w:val="16"/>
              </w:rPr>
              <w:t xml:space="preserve">99.20%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3FBB3">
            <w:pPr>
              <w:jc w:val="center"/>
            </w:pPr>
            <w:r>
              <w:rPr>
                <w:rFonts w:ascii="宋体" w:hAnsi="宋体" w:eastAsia="宋体"/>
                <w:sz w:val="16"/>
              </w:rPr>
              <w:t>10.00分</w:t>
            </w:r>
          </w:p>
        </w:tc>
      </w:tr>
      <w:tr w14:paraId="5400F4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E185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2CB5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2F0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DCE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F76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96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FFE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11D11">
            <w:pPr>
              <w:jc w:val="center"/>
            </w:pPr>
            <w:r>
              <w:rPr>
                <w:rFonts w:ascii="宋体" w:hAnsi="宋体" w:eastAsia="宋体"/>
                <w:sz w:val="16"/>
              </w:rPr>
              <w:t>—</w:t>
            </w:r>
          </w:p>
        </w:tc>
      </w:tr>
      <w:tr w14:paraId="62CF67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BC5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E600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5CB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D47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31C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68F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6E6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C5148">
            <w:pPr>
              <w:jc w:val="center"/>
            </w:pPr>
            <w:r>
              <w:rPr>
                <w:rFonts w:ascii="宋体" w:hAnsi="宋体" w:eastAsia="宋体"/>
                <w:sz w:val="16"/>
              </w:rPr>
              <w:t>—</w:t>
            </w:r>
          </w:p>
        </w:tc>
      </w:tr>
      <w:tr w14:paraId="4614C0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ED6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F4A6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9BDF6">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233FE">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6455C">
            <w:pPr>
              <w:jc w:val="center"/>
            </w:pPr>
            <w:r>
              <w:rPr>
                <w:rFonts w:ascii="宋体" w:hAnsi="宋体" w:eastAsia="宋体"/>
                <w:sz w:val="16"/>
              </w:rPr>
              <w:t>9.92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D49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812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4BEA4">
            <w:pPr>
              <w:jc w:val="center"/>
            </w:pPr>
            <w:r>
              <w:rPr>
                <w:rFonts w:ascii="宋体" w:hAnsi="宋体" w:eastAsia="宋体"/>
                <w:sz w:val="16"/>
              </w:rPr>
              <w:t>—</w:t>
            </w:r>
          </w:p>
        </w:tc>
      </w:tr>
      <w:tr w14:paraId="5D82F13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D011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50DD8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4A0FDC">
            <w:pPr>
              <w:jc w:val="center"/>
            </w:pPr>
            <w:r>
              <w:rPr>
                <w:rFonts w:ascii="宋体" w:hAnsi="宋体" w:eastAsia="宋体"/>
                <w:sz w:val="16"/>
              </w:rPr>
              <w:t>实际完成情况</w:t>
            </w:r>
          </w:p>
        </w:tc>
      </w:tr>
      <w:tr w14:paraId="3EE1F9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42FE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26FF4C">
            <w:pPr>
              <w:jc w:val="both"/>
            </w:pPr>
            <w:r>
              <w:rPr>
                <w:rFonts w:ascii="宋体" w:hAnsi="宋体" w:eastAsia="宋体"/>
                <w:sz w:val="16"/>
              </w:rPr>
              <w:t>根据若政发</w:t>
            </w:r>
            <w:r>
              <w:rPr>
                <w:rFonts w:hint="eastAsia" w:ascii="宋体" w:hAnsi="宋体"/>
                <w:sz w:val="16"/>
                <w:lang w:eastAsia="zh-CN"/>
              </w:rPr>
              <w:t>〔2024〕1号</w:t>
            </w:r>
            <w:r>
              <w:rPr>
                <w:rFonts w:ascii="宋体" w:hAnsi="宋体" w:eastAsia="宋体"/>
                <w:sz w:val="16"/>
              </w:rPr>
              <w:t>文件，实施本项目。项目实施内容：在若克雅乡辖区200亩地沙枣清理，通过此项目的实施，有效</w:t>
            </w:r>
            <w:r>
              <w:rPr>
                <w:rFonts w:hint="eastAsia" w:ascii="宋体" w:hAnsi="宋体"/>
                <w:sz w:val="16"/>
                <w:lang w:eastAsia="zh-CN"/>
              </w:rPr>
              <w:t>保障</w:t>
            </w:r>
            <w:r>
              <w:rPr>
                <w:rFonts w:ascii="宋体" w:hAnsi="宋体" w:eastAsia="宋体"/>
                <w:sz w:val="16"/>
              </w:rPr>
              <w:t>我乡农民的经济收入。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E5EF58">
            <w:pPr>
              <w:jc w:val="both"/>
            </w:pPr>
            <w:r>
              <w:rPr>
                <w:rFonts w:ascii="宋体" w:hAnsi="宋体" w:eastAsia="宋体"/>
                <w:sz w:val="16"/>
              </w:rPr>
              <w:t>截至2024年3月底，本项目预算安排10万元，实际支出9.92万元，预算执行率99.2%。项目已经完成若克雅乡辖区200亩地沙枣清理，通过此项目的实施，保障我乡农民的经济收入的效果。</w:t>
            </w:r>
          </w:p>
        </w:tc>
      </w:tr>
      <w:tr w14:paraId="1E690E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A3431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FBE0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7C59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F5D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9858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17FA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44D0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5489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7A4F">
            <w:pPr>
              <w:jc w:val="center"/>
            </w:pPr>
            <w:r>
              <w:rPr>
                <w:rFonts w:ascii="宋体" w:hAnsi="宋体" w:eastAsia="宋体"/>
                <w:sz w:val="16"/>
              </w:rPr>
              <w:t>偏差原因分析及改进措施</w:t>
            </w:r>
          </w:p>
        </w:tc>
      </w:tr>
      <w:tr w14:paraId="624382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2314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034D3">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B2D8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3513C">
            <w:pPr>
              <w:jc w:val="center"/>
            </w:pPr>
            <w:r>
              <w:rPr>
                <w:rFonts w:ascii="宋体" w:hAnsi="宋体" w:eastAsia="宋体"/>
                <w:sz w:val="16"/>
              </w:rPr>
              <w:t>清理红枣面积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66B30">
            <w:pPr>
              <w:jc w:val="center"/>
            </w:pPr>
            <w:r>
              <w:rPr>
                <w:rFonts w:ascii="宋体" w:hAnsi="宋体" w:eastAsia="宋体"/>
                <w:sz w:val="16"/>
              </w:rPr>
              <w:t>=200亩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79CC9">
            <w:pPr>
              <w:jc w:val="center"/>
            </w:pPr>
            <w:r>
              <w:rPr>
                <w:rFonts w:ascii="宋体" w:hAnsi="宋体" w:eastAsia="宋体"/>
                <w:sz w:val="16"/>
              </w:rPr>
              <w:t>=200亩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AB4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2BF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74661">
            <w:pPr>
              <w:jc w:val="center"/>
            </w:pPr>
          </w:p>
        </w:tc>
      </w:tr>
      <w:tr w14:paraId="58A2EE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039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F8B8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9E99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E5EC9">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35B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9D8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315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693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0FCCB">
            <w:pPr>
              <w:jc w:val="center"/>
            </w:pPr>
          </w:p>
        </w:tc>
      </w:tr>
      <w:tr w14:paraId="5C89C3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6A9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98F7F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5D07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09E0C">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AA8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0E1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D9D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FD3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9138F">
            <w:pPr>
              <w:jc w:val="center"/>
            </w:pPr>
          </w:p>
        </w:tc>
      </w:tr>
      <w:tr w14:paraId="254017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EAD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26E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3C5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E33E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C834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0C263">
            <w:pPr>
              <w:jc w:val="center"/>
            </w:pPr>
            <w:r>
              <w:rPr>
                <w:rFonts w:ascii="宋体" w:hAnsi="宋体" w:eastAsia="宋体"/>
                <w:sz w:val="16"/>
              </w:rPr>
              <w:t>2024年3月已完工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F56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B29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D25BF">
            <w:pPr>
              <w:jc w:val="center"/>
            </w:pPr>
          </w:p>
        </w:tc>
      </w:tr>
      <w:tr w14:paraId="516E51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2D53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FB30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C8EF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B445C">
            <w:pPr>
              <w:jc w:val="center"/>
            </w:pPr>
            <w:r>
              <w:rPr>
                <w:rFonts w:ascii="宋体" w:hAnsi="宋体" w:eastAsia="宋体"/>
                <w:sz w:val="16"/>
              </w:rPr>
              <w:t>平均每亩清理成本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4BA18">
            <w:pPr>
              <w:jc w:val="center"/>
            </w:pPr>
            <w:r>
              <w:rPr>
                <w:rFonts w:ascii="宋体" w:hAnsi="宋体" w:eastAsia="宋体"/>
                <w:sz w:val="16"/>
              </w:rPr>
              <w:t>&lt;=500元/亩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7DAF7">
            <w:pPr>
              <w:jc w:val="center"/>
            </w:pPr>
            <w:r>
              <w:rPr>
                <w:rFonts w:ascii="宋体" w:hAnsi="宋体" w:eastAsia="宋体"/>
                <w:sz w:val="16"/>
              </w:rPr>
              <w:t>≤496元/亩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938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70D9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8A89D">
            <w:pPr>
              <w:jc w:val="center"/>
            </w:pPr>
          </w:p>
        </w:tc>
      </w:tr>
      <w:tr w14:paraId="6348E1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0F57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C2AA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3F34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49B58">
            <w:pPr>
              <w:jc w:val="center"/>
            </w:pPr>
            <w:r>
              <w:rPr>
                <w:rFonts w:ascii="宋体" w:hAnsi="宋体" w:eastAsia="宋体"/>
                <w:sz w:val="16"/>
              </w:rPr>
              <w:t>保障若克雅乡农民收入增长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EA99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D15A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88C8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DD0B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33BC0">
            <w:pPr>
              <w:jc w:val="center"/>
            </w:pPr>
          </w:p>
        </w:tc>
      </w:tr>
      <w:tr w14:paraId="149B02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A92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06CB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A439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DAEE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490C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BA4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A30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F6D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6AA7A">
            <w:pPr>
              <w:jc w:val="center"/>
            </w:pPr>
          </w:p>
        </w:tc>
      </w:tr>
      <w:tr w14:paraId="1786650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75A00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9257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E61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803D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97ADFB"/>
        </w:tc>
      </w:tr>
    </w:tbl>
    <w:p w14:paraId="0FDB88A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EBF8B79">
        <w:tc>
          <w:tcPr>
            <w:tcW w:w="8847" w:type="dxa"/>
            <w:gridSpan w:val="9"/>
            <w:vAlign w:val="center"/>
          </w:tcPr>
          <w:p w14:paraId="0713AEC0">
            <w:pPr>
              <w:jc w:val="center"/>
            </w:pPr>
            <w:r>
              <w:rPr>
                <w:rFonts w:ascii="宋体" w:hAnsi="宋体" w:eastAsia="宋体"/>
                <w:sz w:val="24"/>
              </w:rPr>
              <w:t>项目支出绩效自评表</w:t>
            </w:r>
          </w:p>
        </w:tc>
      </w:tr>
      <w:tr w14:paraId="7155FFCD">
        <w:tblPrEx>
          <w:tblCellMar>
            <w:top w:w="0" w:type="dxa"/>
            <w:left w:w="108" w:type="dxa"/>
            <w:bottom w:w="0" w:type="dxa"/>
            <w:right w:w="108" w:type="dxa"/>
          </w:tblCellMar>
        </w:tblPrEx>
        <w:tc>
          <w:tcPr>
            <w:tcW w:w="8847" w:type="dxa"/>
            <w:gridSpan w:val="9"/>
            <w:vAlign w:val="center"/>
          </w:tcPr>
          <w:p w14:paraId="42192148">
            <w:pPr>
              <w:jc w:val="center"/>
            </w:pPr>
            <w:r>
              <w:rPr>
                <w:rFonts w:ascii="宋体" w:hAnsi="宋体" w:eastAsia="宋体"/>
                <w:sz w:val="24"/>
              </w:rPr>
              <w:t>(2024年度)</w:t>
            </w:r>
          </w:p>
        </w:tc>
      </w:tr>
      <w:tr w14:paraId="2ACCE6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AD0D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8CB4943">
            <w:pPr>
              <w:jc w:val="center"/>
            </w:pPr>
            <w:r>
              <w:rPr>
                <w:rFonts w:ascii="宋体" w:hAnsi="宋体" w:eastAsia="宋体"/>
                <w:sz w:val="16"/>
              </w:rPr>
              <w:t>民丰县若克雅乡辖区216国道路灯维修加装资金项目</w:t>
            </w:r>
          </w:p>
        </w:tc>
      </w:tr>
      <w:tr w14:paraId="494B98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26B0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7FF3C4">
            <w:pPr>
              <w:jc w:val="center"/>
            </w:pPr>
            <w:r>
              <w:rPr>
                <w:rFonts w:ascii="宋体" w:hAnsi="宋体" w:eastAsia="宋体"/>
                <w:sz w:val="16"/>
              </w:rPr>
              <w:t>民丰县若克雅乡人民政府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6C57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F977FB">
            <w:pPr>
              <w:jc w:val="center"/>
            </w:pPr>
            <w:r>
              <w:rPr>
                <w:rFonts w:ascii="宋体" w:hAnsi="宋体" w:eastAsia="宋体"/>
                <w:sz w:val="16"/>
              </w:rPr>
              <w:t>民丰县若克雅乡人民政府</w:t>
            </w:r>
          </w:p>
        </w:tc>
      </w:tr>
      <w:tr w14:paraId="241D8C7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0ACB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1EF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416B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AB52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4D7A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6AFD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FCAB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6888A">
            <w:pPr>
              <w:jc w:val="center"/>
            </w:pPr>
            <w:r>
              <w:rPr>
                <w:rFonts w:ascii="宋体" w:hAnsi="宋体" w:eastAsia="宋体"/>
                <w:sz w:val="16"/>
              </w:rPr>
              <w:t>得分</w:t>
            </w:r>
          </w:p>
        </w:tc>
      </w:tr>
      <w:tr w14:paraId="6042C2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1D048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F46C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E609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CBB96">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DE46">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730C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97B4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65F0B">
            <w:pPr>
              <w:jc w:val="center"/>
            </w:pPr>
            <w:r>
              <w:rPr>
                <w:rFonts w:ascii="宋体" w:hAnsi="宋体" w:eastAsia="宋体"/>
                <w:sz w:val="16"/>
              </w:rPr>
              <w:t>10.00分</w:t>
            </w:r>
          </w:p>
        </w:tc>
      </w:tr>
      <w:tr w14:paraId="39FD46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FB9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39B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EF567">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ED3B0">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54CA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795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AA0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053DE">
            <w:pPr>
              <w:jc w:val="center"/>
            </w:pPr>
            <w:r>
              <w:rPr>
                <w:rFonts w:ascii="宋体" w:hAnsi="宋体" w:eastAsia="宋体"/>
                <w:sz w:val="16"/>
              </w:rPr>
              <w:t>—</w:t>
            </w:r>
          </w:p>
        </w:tc>
      </w:tr>
      <w:tr w14:paraId="5D839E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036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492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268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0A5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A94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0D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553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9959F">
            <w:pPr>
              <w:jc w:val="center"/>
            </w:pPr>
            <w:r>
              <w:rPr>
                <w:rFonts w:ascii="宋体" w:hAnsi="宋体" w:eastAsia="宋体"/>
                <w:sz w:val="16"/>
              </w:rPr>
              <w:t>—</w:t>
            </w:r>
          </w:p>
        </w:tc>
      </w:tr>
      <w:tr w14:paraId="3E3484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A66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08F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C03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1A7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424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69D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2E8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2E32A">
            <w:pPr>
              <w:jc w:val="center"/>
            </w:pPr>
            <w:r>
              <w:rPr>
                <w:rFonts w:ascii="宋体" w:hAnsi="宋体" w:eastAsia="宋体"/>
                <w:sz w:val="16"/>
              </w:rPr>
              <w:t>—</w:t>
            </w:r>
          </w:p>
        </w:tc>
      </w:tr>
      <w:tr w14:paraId="54D9C0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9B45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7F830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3988FD">
            <w:pPr>
              <w:jc w:val="center"/>
            </w:pPr>
            <w:r>
              <w:rPr>
                <w:rFonts w:ascii="宋体" w:hAnsi="宋体" w:eastAsia="宋体"/>
                <w:sz w:val="16"/>
              </w:rPr>
              <w:t>实际完成情况</w:t>
            </w:r>
          </w:p>
        </w:tc>
      </w:tr>
      <w:tr w14:paraId="4FB31E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0EBB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9DDAA4">
            <w:pPr>
              <w:jc w:val="both"/>
            </w:pPr>
            <w:r>
              <w:rPr>
                <w:rFonts w:ascii="宋体" w:hAnsi="宋体" w:eastAsia="宋体"/>
                <w:sz w:val="16"/>
              </w:rPr>
              <w:t>根据民财调</w:t>
            </w:r>
            <w:r>
              <w:rPr>
                <w:rFonts w:hint="eastAsia" w:ascii="宋体" w:hAnsi="宋体"/>
                <w:sz w:val="16"/>
                <w:lang w:eastAsia="zh-CN"/>
              </w:rPr>
              <w:t>〔2024〕144号</w:t>
            </w:r>
            <w:r>
              <w:rPr>
                <w:rFonts w:ascii="宋体" w:hAnsi="宋体" w:eastAsia="宋体"/>
                <w:sz w:val="16"/>
              </w:rPr>
              <w:t>文件，实施本项目。主要内容：该项目主要在216国道若克雅乡辖区维修加装一批路灯。通过项目的实施，通过项目的实施，提升若克雅乡辖区</w:t>
            </w:r>
            <w:r>
              <w:rPr>
                <w:rFonts w:hint="eastAsia" w:ascii="宋体" w:hAnsi="宋体"/>
                <w:sz w:val="16"/>
                <w:lang w:eastAsia="zh-CN"/>
              </w:rPr>
              <w:t>内</w:t>
            </w:r>
            <w:r>
              <w:rPr>
                <w:rFonts w:ascii="宋体" w:hAnsi="宋体" w:eastAsia="宋体"/>
                <w:sz w:val="16"/>
              </w:rPr>
              <w:t>国道的照明设施，减少交通事故，为人民群众出行营造更加安全的交通环境。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5DAE62">
            <w:pPr>
              <w:jc w:val="both"/>
            </w:pPr>
            <w:r>
              <w:rPr>
                <w:rFonts w:ascii="宋体" w:hAnsi="宋体" w:eastAsia="宋体"/>
                <w:sz w:val="16"/>
              </w:rPr>
              <w:t>截至2024年12月底，本项目预算安排5万元，实际支出0万元，预算执行率0%。该项目目前已全部完工，资金还未支付，通过项目的实施，提升若克雅乡辖区</w:t>
            </w:r>
            <w:r>
              <w:rPr>
                <w:rFonts w:hint="eastAsia" w:ascii="宋体" w:hAnsi="宋体"/>
                <w:sz w:val="16"/>
                <w:lang w:eastAsia="zh-CN"/>
              </w:rPr>
              <w:t>内</w:t>
            </w:r>
            <w:r>
              <w:rPr>
                <w:rFonts w:ascii="宋体" w:hAnsi="宋体" w:eastAsia="宋体"/>
                <w:sz w:val="16"/>
              </w:rPr>
              <w:t>国道的照明设施，达到了减少交通事故，为人民群众出行营造更加安全的交通环境的效果。</w:t>
            </w:r>
          </w:p>
        </w:tc>
      </w:tr>
      <w:tr w14:paraId="09973A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E673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102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88D6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DD2D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13A1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816B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B9EB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816F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CDA06">
            <w:pPr>
              <w:jc w:val="center"/>
            </w:pPr>
            <w:r>
              <w:rPr>
                <w:rFonts w:ascii="宋体" w:hAnsi="宋体" w:eastAsia="宋体"/>
                <w:sz w:val="16"/>
              </w:rPr>
              <w:t>偏差原因分析及改进措施</w:t>
            </w:r>
          </w:p>
        </w:tc>
      </w:tr>
      <w:tr w14:paraId="57BC41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1D0E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5C77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D293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2E05E">
            <w:pPr>
              <w:jc w:val="center"/>
            </w:pPr>
            <w:r>
              <w:rPr>
                <w:rFonts w:ascii="宋体" w:hAnsi="宋体" w:eastAsia="宋体"/>
                <w:sz w:val="16"/>
              </w:rPr>
              <w:t>维修加装路灯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3AC3C">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8980C">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470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021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085EE">
            <w:pPr>
              <w:jc w:val="center"/>
            </w:pPr>
          </w:p>
        </w:tc>
      </w:tr>
      <w:tr w14:paraId="205D59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E48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1EA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89AE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B3872">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41E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537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253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3AE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FF10E">
            <w:pPr>
              <w:jc w:val="center"/>
            </w:pPr>
          </w:p>
        </w:tc>
      </w:tr>
      <w:tr w14:paraId="50360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D886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E50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82E0F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B8815">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52B4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6E99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A28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ED0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DD949">
            <w:pPr>
              <w:jc w:val="center"/>
            </w:pPr>
          </w:p>
        </w:tc>
      </w:tr>
      <w:tr w14:paraId="6A973A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53B5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D41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755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25BEF">
            <w:pPr>
              <w:jc w:val="center"/>
            </w:pPr>
            <w:r>
              <w:rPr>
                <w:rFonts w:ascii="宋体" w:hAnsi="宋体" w:eastAsia="宋体"/>
                <w:sz w:val="16"/>
              </w:rPr>
              <w:t>项目完工及时率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EFB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1F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61A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4AE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59410">
            <w:pPr>
              <w:jc w:val="center"/>
            </w:pPr>
          </w:p>
        </w:tc>
      </w:tr>
      <w:tr w14:paraId="3A7563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FB8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7463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D823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CEC7F">
            <w:pPr>
              <w:jc w:val="center"/>
            </w:pPr>
            <w:r>
              <w:rPr>
                <w:rFonts w:ascii="宋体" w:hAnsi="宋体" w:eastAsia="宋体"/>
                <w:sz w:val="16"/>
              </w:rPr>
              <w:t>维修加装费用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0830">
            <w:pPr>
              <w:jc w:val="center"/>
            </w:pPr>
            <w:r>
              <w:rPr>
                <w:rFonts w:ascii="宋体" w:hAnsi="宋体" w:eastAsia="宋体"/>
                <w:sz w:val="16"/>
              </w:rPr>
              <w:t>&lt;=5万元/批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C61E6">
            <w:pPr>
              <w:jc w:val="center"/>
            </w:pPr>
            <w:r>
              <w:rPr>
                <w:rFonts w:ascii="宋体" w:hAnsi="宋体" w:eastAsia="宋体"/>
                <w:sz w:val="16"/>
              </w:rPr>
              <w:t>&lt;=0万元/批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845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5A61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62127">
            <w:pPr>
              <w:jc w:val="center"/>
            </w:pPr>
            <w:r>
              <w:rPr>
                <w:rFonts w:ascii="宋体" w:hAnsi="宋体" w:eastAsia="宋体"/>
                <w:sz w:val="16"/>
              </w:rPr>
              <w:t>原因分析：项目立项较晚，待项目立项完成已年底扎</w:t>
            </w:r>
            <w:r>
              <w:rPr>
                <w:rFonts w:hint="eastAsia" w:ascii="宋体" w:hAnsi="宋体"/>
                <w:sz w:val="16"/>
                <w:lang w:eastAsia="zh-CN"/>
              </w:rPr>
              <w:t>账</w:t>
            </w:r>
            <w:r>
              <w:rPr>
                <w:rFonts w:ascii="宋体" w:hAnsi="宋体" w:eastAsia="宋体"/>
                <w:sz w:val="16"/>
              </w:rPr>
              <w:t>，导致资金无法支付，未及时形成支出。改进措施：后续加快支付进度。原因分析：该项目已全部完工。改进措施：后续加快支付进度。</w:t>
            </w:r>
          </w:p>
        </w:tc>
      </w:tr>
      <w:tr w14:paraId="4BDDB8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9C10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F348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8008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E4037">
            <w:pPr>
              <w:jc w:val="center"/>
            </w:pPr>
            <w:r>
              <w:rPr>
                <w:rFonts w:ascii="宋体" w:hAnsi="宋体" w:eastAsia="宋体"/>
                <w:sz w:val="16"/>
              </w:rPr>
              <w:t>保障行车安全性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62D7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92A4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EDCA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74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8A811">
            <w:pPr>
              <w:jc w:val="center"/>
            </w:pPr>
          </w:p>
        </w:tc>
      </w:tr>
      <w:tr w14:paraId="12118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E30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B439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D2D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3A54C">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0DC5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2ED1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09D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D68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F6260">
            <w:pPr>
              <w:jc w:val="center"/>
            </w:pPr>
          </w:p>
        </w:tc>
      </w:tr>
      <w:tr w14:paraId="2058861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34570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E3BB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7E9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7A90E">
            <w:pPr>
              <w:jc w:val="center"/>
            </w:pPr>
            <w:r>
              <w:rPr>
                <w:rFonts w:ascii="宋体" w:hAnsi="宋体" w:eastAsia="宋体"/>
                <w:sz w:val="16"/>
              </w:rPr>
              <w:t>80分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671C4F"/>
        </w:tc>
      </w:tr>
    </w:tbl>
    <w:p w14:paraId="7CD77816">
      <w:r>
        <w:br w:type="page"/>
      </w:r>
    </w:p>
    <w:p w14:paraId="04F33E17">
      <w:pPr>
        <w:spacing w:line="640" w:lineRule="exact"/>
        <w:ind w:firstLine="640"/>
        <w:jc w:val="both"/>
        <w:outlineLvl w:val="2"/>
      </w:pPr>
      <w:r>
        <w:rPr>
          <w:rFonts w:ascii="黑体" w:hAnsi="黑体" w:eastAsia="黑体"/>
          <w:sz w:val="32"/>
        </w:rPr>
        <w:t>十二、其他需说明的事项</w:t>
      </w:r>
    </w:p>
    <w:p w14:paraId="66EC8953">
      <w:pPr>
        <w:spacing w:line="580" w:lineRule="exact"/>
        <w:ind w:firstLine="640"/>
        <w:jc w:val="both"/>
      </w:pPr>
      <w:r>
        <w:rPr>
          <w:rFonts w:ascii="仿宋_GB2312" w:hAnsi="仿宋_GB2312" w:eastAsia="仿宋_GB2312"/>
          <w:b w:val="0"/>
          <w:sz w:val="32"/>
        </w:rPr>
        <w:t>本单位无其他需说明的事项。</w:t>
      </w:r>
    </w:p>
    <w:p w14:paraId="27A1E9FB">
      <w:r>
        <w:br w:type="page"/>
      </w:r>
    </w:p>
    <w:p w14:paraId="3AC4E096">
      <w:pPr>
        <w:spacing w:line="240" w:lineRule="auto"/>
        <w:jc w:val="center"/>
        <w:outlineLvl w:val="1"/>
      </w:pPr>
      <w:r>
        <w:rPr>
          <w:rFonts w:ascii="黑体" w:hAnsi="黑体" w:eastAsia="黑体"/>
          <w:sz w:val="32"/>
        </w:rPr>
        <w:t>第三部分 专业名词解释</w:t>
      </w:r>
    </w:p>
    <w:p w14:paraId="548F7D9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EF8A2E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F41BC4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879B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8C478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74ABB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7DDBD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5A40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74690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8A08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EB2569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7C19A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8956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83CDB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396656">
      <w:r>
        <w:br w:type="page"/>
      </w:r>
    </w:p>
    <w:p w14:paraId="45DC427F">
      <w:pPr>
        <w:spacing w:line="240" w:lineRule="auto"/>
        <w:jc w:val="center"/>
        <w:outlineLvl w:val="1"/>
      </w:pPr>
      <w:r>
        <w:rPr>
          <w:rFonts w:ascii="黑体" w:hAnsi="黑体" w:eastAsia="黑体"/>
          <w:sz w:val="32"/>
        </w:rPr>
        <w:t>第四部分 部门决算报表（见附表）</w:t>
      </w:r>
    </w:p>
    <w:p w14:paraId="35946BD9">
      <w:pPr>
        <w:spacing w:line="240" w:lineRule="auto"/>
        <w:ind w:firstLine="640"/>
        <w:jc w:val="both"/>
      </w:pPr>
      <w:r>
        <w:rPr>
          <w:rFonts w:ascii="仿宋_GB2312" w:hAnsi="仿宋_GB2312" w:eastAsia="仿宋_GB2312"/>
          <w:b w:val="0"/>
          <w:sz w:val="32"/>
        </w:rPr>
        <w:t>一、《收入支出决算总表》</w:t>
      </w:r>
    </w:p>
    <w:p w14:paraId="534369C1">
      <w:pPr>
        <w:spacing w:line="240" w:lineRule="auto"/>
        <w:ind w:firstLine="640"/>
        <w:jc w:val="both"/>
      </w:pPr>
      <w:r>
        <w:rPr>
          <w:rFonts w:ascii="仿宋_GB2312" w:hAnsi="仿宋_GB2312" w:eastAsia="仿宋_GB2312"/>
          <w:b w:val="0"/>
          <w:sz w:val="32"/>
        </w:rPr>
        <w:t>二、《收入决算表》</w:t>
      </w:r>
    </w:p>
    <w:p w14:paraId="49CD876A">
      <w:pPr>
        <w:spacing w:line="240" w:lineRule="auto"/>
        <w:ind w:firstLine="640"/>
        <w:jc w:val="both"/>
      </w:pPr>
      <w:r>
        <w:rPr>
          <w:rFonts w:ascii="仿宋_GB2312" w:hAnsi="仿宋_GB2312" w:eastAsia="仿宋_GB2312"/>
          <w:b w:val="0"/>
          <w:sz w:val="32"/>
        </w:rPr>
        <w:t>三、《支出决算表》</w:t>
      </w:r>
    </w:p>
    <w:p w14:paraId="572653C7">
      <w:pPr>
        <w:spacing w:line="240" w:lineRule="auto"/>
        <w:ind w:firstLine="640"/>
        <w:jc w:val="both"/>
      </w:pPr>
      <w:r>
        <w:rPr>
          <w:rFonts w:ascii="仿宋_GB2312" w:hAnsi="仿宋_GB2312" w:eastAsia="仿宋_GB2312"/>
          <w:b w:val="0"/>
          <w:sz w:val="32"/>
        </w:rPr>
        <w:t>四、《财政拨款收入支出决算总表》</w:t>
      </w:r>
    </w:p>
    <w:p w14:paraId="19BCDA1B">
      <w:pPr>
        <w:spacing w:line="240" w:lineRule="auto"/>
        <w:ind w:firstLine="640"/>
        <w:jc w:val="both"/>
      </w:pPr>
      <w:r>
        <w:rPr>
          <w:rFonts w:ascii="仿宋_GB2312" w:hAnsi="仿宋_GB2312" w:eastAsia="仿宋_GB2312"/>
          <w:b w:val="0"/>
          <w:sz w:val="32"/>
        </w:rPr>
        <w:t>五、《一般公共预算财政拨款支出决算表》</w:t>
      </w:r>
    </w:p>
    <w:p w14:paraId="2D1BD7DF">
      <w:pPr>
        <w:spacing w:line="240" w:lineRule="auto"/>
        <w:ind w:firstLine="640"/>
        <w:jc w:val="both"/>
      </w:pPr>
      <w:r>
        <w:rPr>
          <w:rFonts w:ascii="仿宋_GB2312" w:hAnsi="仿宋_GB2312" w:eastAsia="仿宋_GB2312"/>
          <w:b w:val="0"/>
          <w:sz w:val="32"/>
        </w:rPr>
        <w:t>六、《一般公共预算财政拨款基本支出决算表》</w:t>
      </w:r>
    </w:p>
    <w:p w14:paraId="3BA69DE5">
      <w:pPr>
        <w:spacing w:line="240" w:lineRule="auto"/>
        <w:ind w:firstLine="640"/>
        <w:jc w:val="both"/>
      </w:pPr>
      <w:r>
        <w:rPr>
          <w:rFonts w:ascii="仿宋_GB2312" w:hAnsi="仿宋_GB2312" w:eastAsia="仿宋_GB2312"/>
          <w:b w:val="0"/>
          <w:sz w:val="32"/>
        </w:rPr>
        <w:t>七、《政府性基金预算财政拨款收入支出决算表》</w:t>
      </w:r>
    </w:p>
    <w:p w14:paraId="345479A9">
      <w:pPr>
        <w:spacing w:line="240" w:lineRule="auto"/>
        <w:ind w:firstLine="640"/>
        <w:jc w:val="both"/>
      </w:pPr>
      <w:r>
        <w:rPr>
          <w:rFonts w:ascii="仿宋_GB2312" w:hAnsi="仿宋_GB2312" w:eastAsia="仿宋_GB2312"/>
          <w:b w:val="0"/>
          <w:sz w:val="32"/>
        </w:rPr>
        <w:t>八、《国有资本经营预算财政拨款收入支出决算表》</w:t>
      </w:r>
    </w:p>
    <w:p w14:paraId="0B0E71F9">
      <w:pPr>
        <w:spacing w:line="240" w:lineRule="auto"/>
        <w:ind w:firstLine="640"/>
        <w:jc w:val="both"/>
      </w:pPr>
      <w:r>
        <w:rPr>
          <w:rFonts w:ascii="仿宋_GB2312" w:hAnsi="仿宋_GB2312" w:eastAsia="仿宋_GB2312"/>
          <w:b w:val="0"/>
          <w:sz w:val="32"/>
        </w:rPr>
        <w:t>九、《财政拨款“三公”经费支出决算表》</w:t>
      </w:r>
    </w:p>
    <w:p w14:paraId="61BCA9B3">
      <w:pPr>
        <w:spacing w:line="240" w:lineRule="auto"/>
        <w:ind w:firstLine="640"/>
        <w:jc w:val="both"/>
      </w:pPr>
    </w:p>
    <w:p w14:paraId="2010B180">
      <w:pPr>
        <w:spacing w:line="240" w:lineRule="auto"/>
        <w:ind w:firstLine="640"/>
        <w:jc w:val="both"/>
      </w:pPr>
    </w:p>
    <w:p w14:paraId="3CE7222D">
      <w:pPr>
        <w:spacing w:line="240" w:lineRule="auto"/>
        <w:ind w:firstLine="640"/>
        <w:jc w:val="both"/>
      </w:pPr>
    </w:p>
    <w:p w14:paraId="7A1E5287">
      <w:pPr>
        <w:spacing w:line="240" w:lineRule="auto"/>
        <w:ind w:firstLine="640"/>
        <w:jc w:val="both"/>
      </w:pPr>
    </w:p>
    <w:p w14:paraId="297C5F8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B45075"/>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CD53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12291</Words>
  <Characters>14211</Characters>
  <Lines>0</Lines>
  <Paragraphs>0</Paragraphs>
  <TotalTime>9</TotalTime>
  <ScaleCrop>false</ScaleCrop>
  <LinksUpToDate>false</LinksUpToDate>
  <CharactersWithSpaces>14281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