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0486CF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民丰县若克雅乡中心幼儿园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8E901A">
      <w:r>
        <w:br w:type="page"/>
      </w:r>
    </w:p>
    <w:p w14:paraId="0860EBBA">
      <w:pPr>
        <w:spacing w:line="640" w:lineRule="exact"/>
        <w:jc w:val="center"/>
        <w:outlineLvl w:val="1"/>
      </w:pPr>
      <w:r>
        <w:rPr>
          <w:rFonts w:ascii="黑体" w:hAnsi="黑体" w:eastAsia="黑体"/>
          <w:sz w:val="32"/>
        </w:rPr>
        <w:t>第一部分 单位概况</w:t>
      </w:r>
    </w:p>
    <w:p w14:paraId="4F32515E">
      <w:pPr>
        <w:spacing w:line="640" w:lineRule="exact"/>
        <w:ind w:firstLine="640"/>
        <w:jc w:val="both"/>
        <w:outlineLvl w:val="2"/>
      </w:pPr>
      <w:r>
        <w:rPr>
          <w:rFonts w:ascii="黑体" w:hAnsi="黑体" w:eastAsia="黑体"/>
          <w:sz w:val="32"/>
        </w:rPr>
        <w:t>一、主要职能</w:t>
      </w:r>
    </w:p>
    <w:p w14:paraId="1203F479">
      <w:pPr>
        <w:spacing w:line="580" w:lineRule="exact"/>
        <w:ind w:firstLine="640"/>
        <w:jc w:val="both"/>
      </w:pPr>
      <w:r>
        <w:rPr>
          <w:rFonts w:ascii="仿宋_GB2312" w:hAnsi="仿宋_GB2312" w:eastAsia="仿宋_GB2312"/>
          <w:sz w:val="32"/>
        </w:rPr>
        <w:t>民丰县若克雅乡中心幼儿园为民丰县教育和科学技术局直接管理的一所幼儿园，主要职能是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w:t>
      </w:r>
      <w:r>
        <w:rPr>
          <w:rFonts w:hint="eastAsia" w:ascii="仿宋_GB2312" w:hAnsi="仿宋_GB2312" w:eastAsia="仿宋_GB2312"/>
          <w:sz w:val="32"/>
          <w:lang w:eastAsia="zh-CN"/>
        </w:rPr>
        <w:t>WW</w:t>
      </w:r>
      <w:r>
        <w:rPr>
          <w:rFonts w:ascii="仿宋_GB2312" w:hAnsi="仿宋_GB2312" w:eastAsia="仿宋_GB2312"/>
          <w:sz w:val="32"/>
        </w:rPr>
        <w:t>工作、党建工作、工青妇等日常工作。</w:t>
      </w:r>
    </w:p>
    <w:p w14:paraId="09D69592">
      <w:pPr>
        <w:spacing w:line="640" w:lineRule="exact"/>
        <w:ind w:firstLine="640"/>
        <w:jc w:val="both"/>
        <w:outlineLvl w:val="2"/>
      </w:pPr>
      <w:r>
        <w:rPr>
          <w:rFonts w:ascii="黑体" w:hAnsi="黑体" w:eastAsia="黑体"/>
          <w:sz w:val="32"/>
        </w:rPr>
        <w:t>二、机构设置及人员情况</w:t>
      </w:r>
    </w:p>
    <w:p w14:paraId="742D83BE">
      <w:pPr>
        <w:spacing w:line="580" w:lineRule="exact"/>
        <w:ind w:firstLine="640"/>
        <w:jc w:val="both"/>
      </w:pPr>
      <w:r>
        <w:rPr>
          <w:rFonts w:ascii="仿宋_GB2312" w:hAnsi="仿宋_GB2312" w:eastAsia="仿宋_GB2312"/>
          <w:sz w:val="32"/>
        </w:rPr>
        <w:t>民丰县若克雅乡中心幼儿园2024年度，实有人数30人，其中：在职人员30人，减少2人；离休人员0人，增加0人；退休人员0人,增加0人。</w:t>
      </w:r>
    </w:p>
    <w:p w14:paraId="710DD637">
      <w:pPr>
        <w:spacing w:line="580" w:lineRule="exact"/>
        <w:ind w:firstLine="640"/>
        <w:jc w:val="both"/>
      </w:pPr>
      <w:r>
        <w:rPr>
          <w:rFonts w:ascii="仿宋_GB2312" w:hAnsi="仿宋_GB2312" w:eastAsia="仿宋_GB2312"/>
          <w:sz w:val="32"/>
        </w:rPr>
        <w:t>民丰县若克雅乡中心幼儿园无下属预算单位，下设8个科室，分别是：综合办、园办、德育办、安全办、教务处、财务室、保健室、后勤保障室。</w:t>
      </w:r>
    </w:p>
    <w:p w14:paraId="25AB173E">
      <w:r>
        <w:br w:type="page"/>
      </w:r>
    </w:p>
    <w:p w14:paraId="36D735D6">
      <w:pPr>
        <w:spacing w:line="240" w:lineRule="auto"/>
        <w:jc w:val="center"/>
        <w:outlineLvl w:val="1"/>
      </w:pPr>
      <w:r>
        <w:rPr>
          <w:rFonts w:ascii="黑体" w:hAnsi="黑体" w:eastAsia="黑体"/>
          <w:sz w:val="32"/>
        </w:rPr>
        <w:t>第二部分 部门决算情况说明</w:t>
      </w:r>
    </w:p>
    <w:p w14:paraId="4FF4F0CA">
      <w:pPr>
        <w:spacing w:line="640" w:lineRule="exact"/>
        <w:ind w:firstLine="640"/>
        <w:jc w:val="both"/>
        <w:outlineLvl w:val="2"/>
      </w:pPr>
      <w:r>
        <w:rPr>
          <w:rFonts w:ascii="黑体" w:hAnsi="黑体" w:eastAsia="黑体"/>
          <w:sz w:val="32"/>
        </w:rPr>
        <w:t>一、收入支出决算总体情况说明</w:t>
      </w:r>
    </w:p>
    <w:p w14:paraId="2F2B8300">
      <w:pPr>
        <w:spacing w:line="580" w:lineRule="exact"/>
        <w:ind w:firstLine="640"/>
        <w:jc w:val="both"/>
      </w:pPr>
      <w:r>
        <w:rPr>
          <w:rFonts w:ascii="仿宋_GB2312" w:hAnsi="仿宋_GB2312" w:eastAsia="仿宋_GB2312"/>
          <w:b/>
          <w:sz w:val="32"/>
        </w:rPr>
        <w:t>2024年度收入总计595.60万元，</w:t>
      </w:r>
      <w:r>
        <w:rPr>
          <w:rFonts w:ascii="仿宋_GB2312" w:hAnsi="仿宋_GB2312" w:eastAsia="仿宋_GB2312"/>
          <w:b w:val="0"/>
          <w:sz w:val="32"/>
        </w:rPr>
        <w:t>其中：本年收入合计595.60万元，使用非财政拨款结余（含专用结余）0.00万元，年初结转和结余0.00万元。</w:t>
      </w:r>
    </w:p>
    <w:p w14:paraId="399C9A37">
      <w:pPr>
        <w:spacing w:line="580" w:lineRule="exact"/>
        <w:ind w:firstLine="640"/>
        <w:jc w:val="both"/>
      </w:pPr>
      <w:r>
        <w:rPr>
          <w:rFonts w:ascii="仿宋_GB2312" w:hAnsi="仿宋_GB2312" w:eastAsia="仿宋_GB2312"/>
          <w:b/>
          <w:sz w:val="32"/>
        </w:rPr>
        <w:t>2024年度支出总计595.60万元，</w:t>
      </w:r>
      <w:r>
        <w:rPr>
          <w:rFonts w:ascii="仿宋_GB2312" w:hAnsi="仿宋_GB2312" w:eastAsia="仿宋_GB2312"/>
          <w:b w:val="0"/>
          <w:sz w:val="32"/>
        </w:rPr>
        <w:t>其中：本年支出合计595.56万元，结余分配0.00万元，年末结转和结余0.04万元。</w:t>
      </w:r>
    </w:p>
    <w:p w14:paraId="49C97431">
      <w:pPr>
        <w:spacing w:line="580" w:lineRule="exact"/>
        <w:ind w:firstLine="640"/>
        <w:jc w:val="both"/>
      </w:pPr>
      <w:r>
        <w:rPr>
          <w:rFonts w:ascii="仿宋_GB2312" w:hAnsi="仿宋_GB2312" w:eastAsia="仿宋_GB2312"/>
          <w:b w:val="0"/>
          <w:sz w:val="32"/>
        </w:rPr>
        <w:t>收入支出总体与上年相比，减少68.21万元，下降10.28%，主要原因是：本年幼儿人数减少，幼儿伙食补助减少,减少保安，厨师，保育员等项目经费，导致相关经费减少。</w:t>
      </w:r>
    </w:p>
    <w:p w14:paraId="206359DE">
      <w:pPr>
        <w:spacing w:line="640" w:lineRule="exact"/>
        <w:ind w:firstLine="640"/>
        <w:jc w:val="both"/>
        <w:outlineLvl w:val="2"/>
      </w:pPr>
      <w:r>
        <w:rPr>
          <w:rFonts w:ascii="黑体" w:hAnsi="黑体" w:eastAsia="黑体"/>
          <w:sz w:val="32"/>
        </w:rPr>
        <w:t>二、收入决算情况说明</w:t>
      </w:r>
    </w:p>
    <w:p w14:paraId="3D613B0C">
      <w:pPr>
        <w:spacing w:line="580" w:lineRule="exact"/>
        <w:ind w:firstLine="640"/>
        <w:jc w:val="both"/>
      </w:pPr>
      <w:r>
        <w:rPr>
          <w:rFonts w:ascii="仿宋_GB2312" w:hAnsi="仿宋_GB2312" w:eastAsia="仿宋_GB2312"/>
          <w:b/>
          <w:sz w:val="32"/>
        </w:rPr>
        <w:t>本年收入595.60万元，</w:t>
      </w:r>
      <w:r>
        <w:rPr>
          <w:rFonts w:ascii="仿宋_GB2312" w:hAnsi="仿宋_GB2312" w:eastAsia="仿宋_GB2312"/>
          <w:b w:val="0"/>
          <w:sz w:val="32"/>
        </w:rPr>
        <w:t>其中：财政拨款收入595.56万元，占99.99%；上级补助收入0.00万元，占0.00%；事业收入0.00万元，占0.00%；经营收入0.00万元，占0.00%；附属单位上缴收入0.00万元，占0.00%；其他收入0.04万元，占0.007%。</w:t>
      </w:r>
    </w:p>
    <w:p w14:paraId="22D70C51">
      <w:pPr>
        <w:spacing w:line="640" w:lineRule="exact"/>
        <w:ind w:firstLine="640"/>
        <w:jc w:val="both"/>
        <w:outlineLvl w:val="2"/>
      </w:pPr>
      <w:r>
        <w:rPr>
          <w:rFonts w:ascii="黑体" w:hAnsi="黑体" w:eastAsia="黑体"/>
          <w:sz w:val="32"/>
        </w:rPr>
        <w:t>三、支出决算情况说明</w:t>
      </w:r>
    </w:p>
    <w:p w14:paraId="2C2ED63C">
      <w:pPr>
        <w:spacing w:line="580" w:lineRule="exact"/>
        <w:ind w:firstLine="640"/>
        <w:jc w:val="both"/>
      </w:pPr>
      <w:r>
        <w:rPr>
          <w:rFonts w:ascii="仿宋_GB2312" w:hAnsi="仿宋_GB2312" w:eastAsia="仿宋_GB2312"/>
          <w:b/>
          <w:sz w:val="32"/>
        </w:rPr>
        <w:t>本年支出595.56万元，</w:t>
      </w:r>
      <w:r>
        <w:rPr>
          <w:rFonts w:ascii="仿宋_GB2312" w:hAnsi="仿宋_GB2312" w:eastAsia="仿宋_GB2312"/>
          <w:b w:val="0"/>
          <w:sz w:val="32"/>
        </w:rPr>
        <w:t>其中：基本支出504.70万元，占84.74%；项目支出90.86万元，占15.26%；上缴上级支出0.00万元，占0.00%；经营支出0.00万元，占0.00%；对附属单位补助支出0.00万元，占0.00%。</w:t>
      </w:r>
    </w:p>
    <w:p w14:paraId="5A123214">
      <w:pPr>
        <w:spacing w:line="640" w:lineRule="exact"/>
        <w:ind w:firstLine="640"/>
        <w:jc w:val="both"/>
        <w:outlineLvl w:val="2"/>
      </w:pPr>
      <w:r>
        <w:rPr>
          <w:rFonts w:ascii="黑体" w:hAnsi="黑体" w:eastAsia="黑体"/>
          <w:sz w:val="32"/>
        </w:rPr>
        <w:t>四、财政拨款收入支出决算总体情况说明</w:t>
      </w:r>
    </w:p>
    <w:p w14:paraId="1DEEB2A8">
      <w:pPr>
        <w:spacing w:line="580" w:lineRule="exact"/>
        <w:ind w:firstLine="640"/>
        <w:jc w:val="both"/>
      </w:pPr>
      <w:r>
        <w:rPr>
          <w:rFonts w:ascii="仿宋_GB2312" w:hAnsi="仿宋_GB2312" w:eastAsia="仿宋_GB2312"/>
          <w:b/>
          <w:sz w:val="32"/>
        </w:rPr>
        <w:t>2024年度财政拨款收入总计595.56万元，</w:t>
      </w:r>
      <w:r>
        <w:rPr>
          <w:rFonts w:ascii="仿宋_GB2312" w:hAnsi="仿宋_GB2312" w:eastAsia="仿宋_GB2312"/>
          <w:b w:val="0"/>
          <w:sz w:val="32"/>
        </w:rPr>
        <w:t>其中：年初财政拨款结转和结余0.00万元，本年财政拨款收入595.56万元。</w:t>
      </w:r>
      <w:r>
        <w:rPr>
          <w:rFonts w:ascii="仿宋_GB2312" w:hAnsi="仿宋_GB2312" w:eastAsia="仿宋_GB2312"/>
          <w:b/>
          <w:sz w:val="32"/>
        </w:rPr>
        <w:t>财政拨款支出总计595.56万元，</w:t>
      </w:r>
      <w:r>
        <w:rPr>
          <w:rFonts w:ascii="仿宋_GB2312" w:hAnsi="仿宋_GB2312" w:eastAsia="仿宋_GB2312"/>
          <w:b w:val="0"/>
          <w:sz w:val="32"/>
        </w:rPr>
        <w:t>其中：年末财政拨款结转和结余0.00万元，本年财政拨款支出595.56万元。</w:t>
      </w:r>
    </w:p>
    <w:p w14:paraId="6963F78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减少68.24万元，下降10.28%，主要原因是：本年幼儿人数减少，幼儿伙食补助减少,减少保安，厨师，保育员等项目经费，导致相关经费减少。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年初预算数608.89万元，决算数595.56万元，预决算差异率-2.19%，主要原因是：幼儿人数减少，年中调减幼儿伙食补助经费，导致预决算存在差异。</w:t>
      </w:r>
    </w:p>
    <w:p w14:paraId="0AC4FA30">
      <w:pPr>
        <w:spacing w:line="640" w:lineRule="exact"/>
        <w:ind w:firstLine="640"/>
        <w:jc w:val="both"/>
        <w:outlineLvl w:val="2"/>
      </w:pPr>
      <w:r>
        <w:rPr>
          <w:rFonts w:ascii="黑体" w:hAnsi="黑体" w:eastAsia="黑体"/>
          <w:sz w:val="32"/>
        </w:rPr>
        <w:t>五、一般公共预算财政拨款支出决算情况说明</w:t>
      </w:r>
    </w:p>
    <w:p w14:paraId="699B15B1">
      <w:pPr>
        <w:spacing w:line="640" w:lineRule="exact"/>
        <w:ind w:firstLine="640"/>
        <w:jc w:val="both"/>
        <w:outlineLvl w:val="3"/>
      </w:pPr>
      <w:r>
        <w:rPr>
          <w:rFonts w:ascii="楷体_GB2312" w:hAnsi="楷体_GB2312" w:eastAsia="楷体_GB2312"/>
          <w:b/>
          <w:sz w:val="32"/>
        </w:rPr>
        <w:t>（一）一般公共预算财政拨款支出决算总体情况</w:t>
      </w:r>
    </w:p>
    <w:p w14:paraId="029DAAD9">
      <w:pPr>
        <w:spacing w:line="580" w:lineRule="exact"/>
        <w:ind w:firstLine="640"/>
        <w:jc w:val="both"/>
      </w:pPr>
      <w:r>
        <w:rPr>
          <w:rFonts w:ascii="仿宋_GB2312" w:hAnsi="仿宋_GB2312" w:eastAsia="仿宋_GB2312"/>
          <w:b/>
          <w:sz w:val="32"/>
        </w:rPr>
        <w:t>2024年度一般公共预算财政拨款支出595.56万元，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减少68.24万元，下降10.28%，主要原因是：本年幼儿人数减少，幼儿伙食补助减少,减少保安，厨师，保育员等项目经费，导致相关经费减少。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年初预算数608.89万元，决算数595.56万元，预决算差异率-2.19%，主要原因是：幼儿人数减少，年中调减幼儿伙食补助经费，导致预决算存在差异。</w:t>
      </w:r>
    </w:p>
    <w:p w14:paraId="26B79577">
      <w:pPr>
        <w:spacing w:line="640" w:lineRule="exact"/>
        <w:ind w:firstLine="640"/>
        <w:jc w:val="both"/>
        <w:outlineLvl w:val="3"/>
      </w:pPr>
      <w:r>
        <w:rPr>
          <w:rFonts w:ascii="楷体_GB2312" w:hAnsi="楷体_GB2312" w:eastAsia="楷体_GB2312"/>
          <w:b/>
          <w:sz w:val="32"/>
        </w:rPr>
        <w:t>（二）一般公共预算财政拨款支出决算结构情况</w:t>
      </w:r>
    </w:p>
    <w:p w14:paraId="7A91645B">
      <w:pPr>
        <w:spacing w:line="580" w:lineRule="exact"/>
        <w:ind w:firstLine="640"/>
        <w:jc w:val="both"/>
      </w:pPr>
      <w:r>
        <w:rPr>
          <w:rFonts w:ascii="仿宋_GB2312" w:hAnsi="仿宋_GB2312" w:eastAsia="仿宋_GB2312"/>
          <w:b w:val="0"/>
          <w:sz w:val="32"/>
        </w:rPr>
        <w:t>1.教育支出(类)595.56万元,占100.00%。</w:t>
      </w:r>
    </w:p>
    <w:p w14:paraId="5B72DB7C">
      <w:pPr>
        <w:spacing w:line="640" w:lineRule="exact"/>
        <w:ind w:firstLine="640"/>
        <w:jc w:val="both"/>
        <w:outlineLvl w:val="3"/>
      </w:pPr>
      <w:r>
        <w:rPr>
          <w:rFonts w:ascii="楷体_GB2312" w:hAnsi="楷体_GB2312" w:eastAsia="楷体_GB2312"/>
          <w:b/>
          <w:sz w:val="32"/>
        </w:rPr>
        <w:t>（三）一般公共预算财政拨款支出决算具体情况</w:t>
      </w:r>
    </w:p>
    <w:p w14:paraId="6318C8D7">
      <w:pPr>
        <w:spacing w:line="580" w:lineRule="exact"/>
        <w:ind w:firstLine="640"/>
        <w:jc w:val="both"/>
      </w:pPr>
      <w:r>
        <w:rPr>
          <w:rFonts w:ascii="仿宋_GB2312" w:hAnsi="仿宋_GB2312" w:eastAsia="仿宋_GB2312"/>
          <w:b w:val="0"/>
          <w:sz w:val="32"/>
        </w:rPr>
        <w:t>1.教育支出(类)普通教育(款)学前教育(项):支出决算数为588.71万元，比上年决算减少75.09万元，下降11.31%,主要原因是：本年幼儿人数减少，幼儿伙食补助减少,减少保安，厨师，保育员等项目经费，导致相关经费减少。</w:t>
      </w:r>
    </w:p>
    <w:p w14:paraId="284B410E">
      <w:pPr>
        <w:spacing w:line="580" w:lineRule="exact"/>
        <w:ind w:firstLine="640"/>
        <w:jc w:val="both"/>
      </w:pPr>
      <w:r>
        <w:rPr>
          <w:rFonts w:ascii="仿宋_GB2312" w:hAnsi="仿宋_GB2312" w:eastAsia="仿宋_GB2312"/>
          <w:b w:val="0"/>
          <w:sz w:val="32"/>
        </w:rPr>
        <w:t>2.教育支出(类)普通教育(款)小学教育(项):支出决算数为6.85万元，比上年决算增加6.85万元，增长100.00%,主要原因是：本年增加教师职工补发基本工资，导致相关经费增加。</w:t>
      </w:r>
    </w:p>
    <w:p w14:paraId="44692C8A">
      <w:pPr>
        <w:spacing w:line="640" w:lineRule="exact"/>
        <w:ind w:firstLine="640"/>
        <w:jc w:val="both"/>
        <w:outlineLvl w:val="2"/>
      </w:pPr>
      <w:r>
        <w:rPr>
          <w:rFonts w:ascii="黑体" w:hAnsi="黑体" w:eastAsia="黑体"/>
          <w:sz w:val="32"/>
        </w:rPr>
        <w:t>六、一般公共预算财政拨款基本支出决算情况说明</w:t>
      </w:r>
    </w:p>
    <w:p w14:paraId="57C99113">
      <w:pPr>
        <w:spacing w:line="580" w:lineRule="exact"/>
        <w:ind w:firstLine="640"/>
        <w:jc w:val="both"/>
      </w:pPr>
      <w:r>
        <w:rPr>
          <w:rFonts w:ascii="仿宋_GB2312" w:hAnsi="仿宋_GB2312" w:eastAsia="仿宋_GB2312"/>
          <w:b w:val="0"/>
          <w:sz w:val="32"/>
        </w:rPr>
        <w:t>2024年度一般公共预算财政拨款基本支出504.70万元，其中：</w:t>
      </w:r>
      <w:r>
        <w:rPr>
          <w:rFonts w:ascii="仿宋_GB2312" w:hAnsi="仿宋_GB2312" w:eastAsia="仿宋_GB2312"/>
          <w:b/>
          <w:sz w:val="32"/>
        </w:rPr>
        <w:t>人员经费504.70万元，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7FB6498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7F8EE7E">
      <w:pPr>
        <w:spacing w:line="640" w:lineRule="exact"/>
        <w:ind w:firstLine="640"/>
        <w:jc w:val="both"/>
        <w:outlineLvl w:val="2"/>
      </w:pPr>
      <w:r>
        <w:rPr>
          <w:rFonts w:ascii="黑体" w:hAnsi="黑体" w:eastAsia="黑体"/>
          <w:sz w:val="32"/>
        </w:rPr>
        <w:t>七、政府性基金预算财政拨款收入支出决算情况说明</w:t>
      </w:r>
    </w:p>
    <w:p w14:paraId="26F68A2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3334B9F">
      <w:pPr>
        <w:spacing w:line="640" w:lineRule="exact"/>
        <w:ind w:firstLine="640"/>
        <w:jc w:val="both"/>
        <w:outlineLvl w:val="2"/>
      </w:pPr>
      <w:r>
        <w:rPr>
          <w:rFonts w:ascii="黑体" w:hAnsi="黑体" w:eastAsia="黑体"/>
          <w:sz w:val="32"/>
        </w:rPr>
        <w:t>八、国有资本经营预算财政拨款收入支出决算情况说明</w:t>
      </w:r>
    </w:p>
    <w:p w14:paraId="46BDEF3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BABC9A">
      <w:pPr>
        <w:spacing w:line="640" w:lineRule="exact"/>
        <w:ind w:firstLine="640"/>
        <w:jc w:val="both"/>
        <w:outlineLvl w:val="2"/>
      </w:pPr>
      <w:r>
        <w:rPr>
          <w:rFonts w:ascii="黑体" w:hAnsi="黑体" w:eastAsia="黑体"/>
          <w:sz w:val="32"/>
        </w:rPr>
        <w:t>九、财政拨款“三公”经费支出决算情况说明</w:t>
      </w:r>
    </w:p>
    <w:p w14:paraId="33011CA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629DF8D">
      <w:pPr>
        <w:spacing w:line="580" w:lineRule="exact"/>
        <w:ind w:firstLine="640"/>
        <w:jc w:val="both"/>
      </w:pPr>
      <w:r>
        <w:rPr>
          <w:rFonts w:ascii="仿宋_GB2312" w:hAnsi="仿宋_GB2312" w:eastAsia="仿宋_GB2312"/>
          <w:b/>
          <w:sz w:val="32"/>
        </w:rPr>
        <w:t>具体情况如下：</w:t>
      </w:r>
    </w:p>
    <w:p w14:paraId="737FA1F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02179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41D9F3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E9070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67C8AD7">
      <w:pPr>
        <w:spacing w:line="640" w:lineRule="exact"/>
        <w:ind w:firstLine="640"/>
        <w:jc w:val="both"/>
        <w:outlineLvl w:val="2"/>
      </w:pPr>
      <w:r>
        <w:rPr>
          <w:rFonts w:ascii="黑体" w:hAnsi="黑体" w:eastAsia="黑体"/>
          <w:sz w:val="32"/>
        </w:rPr>
        <w:t>十、其他重要事项的情况说明</w:t>
      </w:r>
    </w:p>
    <w:p w14:paraId="3D739FF0">
      <w:pPr>
        <w:spacing w:line="640" w:lineRule="exact"/>
        <w:ind w:firstLine="640"/>
        <w:jc w:val="both"/>
        <w:outlineLvl w:val="3"/>
      </w:pPr>
      <w:r>
        <w:rPr>
          <w:rFonts w:ascii="楷体_GB2312" w:hAnsi="楷体_GB2312" w:eastAsia="楷体_GB2312"/>
          <w:b/>
          <w:sz w:val="32"/>
        </w:rPr>
        <w:t>（一）机关运行经费及公用经费支出情况</w:t>
      </w:r>
    </w:p>
    <w:p w14:paraId="1996FBA8">
      <w:pPr>
        <w:spacing w:line="580" w:lineRule="exact"/>
        <w:ind w:firstLine="640"/>
        <w:jc w:val="both"/>
      </w:pPr>
      <w:r>
        <w:rPr>
          <w:rFonts w:ascii="仿宋_GB2312" w:hAnsi="仿宋_GB2312" w:eastAsia="仿宋_GB2312"/>
          <w:b w:val="0"/>
          <w:sz w:val="32"/>
        </w:rPr>
        <w:t>2024年度民丰县若克雅乡中心幼儿园（事业单位）公用经费支出0.00万元，比上年增加0.00万元，增长0.00%，主要原因是：2023年与2024年均未安排公用经费支出。</w:t>
      </w:r>
    </w:p>
    <w:p w14:paraId="2E09A5B6">
      <w:pPr>
        <w:spacing w:line="640" w:lineRule="exact"/>
        <w:ind w:firstLine="640"/>
        <w:jc w:val="both"/>
        <w:outlineLvl w:val="3"/>
      </w:pPr>
      <w:r>
        <w:rPr>
          <w:rFonts w:ascii="楷体_GB2312" w:hAnsi="楷体_GB2312" w:eastAsia="楷体_GB2312"/>
          <w:b/>
          <w:sz w:val="32"/>
        </w:rPr>
        <w:t>（二）政府采购情况</w:t>
      </w:r>
    </w:p>
    <w:p w14:paraId="579A4311">
      <w:pPr>
        <w:spacing w:line="580" w:lineRule="exact"/>
        <w:ind w:firstLine="640"/>
        <w:jc w:val="both"/>
      </w:pPr>
      <w:r>
        <w:rPr>
          <w:rFonts w:ascii="仿宋_GB2312" w:hAnsi="仿宋_GB2312" w:eastAsia="仿宋_GB2312"/>
          <w:b w:val="0"/>
          <w:sz w:val="32"/>
        </w:rPr>
        <w:t>2024年度政府采购支出总额6.39万元，其中：政府采购货物支出4.59万元、政府采购工程支出0.00万元、政府采购服务支出1.80万元。</w:t>
      </w:r>
    </w:p>
    <w:p w14:paraId="39B3CEAB">
      <w:pPr>
        <w:spacing w:line="580" w:lineRule="exact"/>
        <w:ind w:firstLine="640"/>
        <w:jc w:val="both"/>
      </w:pPr>
      <w:r>
        <w:rPr>
          <w:rFonts w:ascii="仿宋_GB2312" w:hAnsi="仿宋_GB2312" w:eastAsia="仿宋_GB2312"/>
          <w:b w:val="0"/>
          <w:sz w:val="32"/>
        </w:rPr>
        <w:t>授予中小企业合同金额6.39万元，占政府采购支出总额的100.00%，其中：授予小微企业合同金额6.39万元，占政府采购支出总额的100.00%。</w:t>
      </w:r>
    </w:p>
    <w:p w14:paraId="19BB78AD">
      <w:pPr>
        <w:spacing w:line="640" w:lineRule="exact"/>
        <w:ind w:firstLine="640"/>
        <w:jc w:val="both"/>
        <w:outlineLvl w:val="3"/>
      </w:pPr>
      <w:r>
        <w:rPr>
          <w:rFonts w:ascii="楷体_GB2312" w:hAnsi="楷体_GB2312" w:eastAsia="楷体_GB2312"/>
          <w:b/>
          <w:sz w:val="32"/>
        </w:rPr>
        <w:t>（三）国有资产占用情况说明</w:t>
      </w:r>
    </w:p>
    <w:p w14:paraId="6629CEB6">
      <w:pPr>
        <w:spacing w:line="580" w:lineRule="exact"/>
        <w:ind w:firstLine="640"/>
        <w:jc w:val="both"/>
      </w:pPr>
      <w:r>
        <w:rPr>
          <w:rFonts w:ascii="仿宋_GB2312" w:hAnsi="仿宋_GB2312" w:eastAsia="仿宋_GB2312"/>
          <w:b w:val="0"/>
          <w:sz w:val="32"/>
        </w:rPr>
        <w:t>截至2024年12月31日，房屋1,590.98平方米，价值176.64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03DD889">
      <w:pPr>
        <w:spacing w:line="640" w:lineRule="exact"/>
        <w:ind w:firstLine="640"/>
        <w:jc w:val="both"/>
        <w:outlineLvl w:val="2"/>
      </w:pPr>
      <w:r>
        <w:rPr>
          <w:rFonts w:ascii="黑体" w:hAnsi="黑体" w:eastAsia="黑体"/>
          <w:sz w:val="32"/>
        </w:rPr>
        <w:t>十一、预算绩效的情况说明</w:t>
      </w:r>
    </w:p>
    <w:p w14:paraId="4EBE9F0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595.60万元，实际执行总额595.56万元；预算绩效评价项目2个，全年预算数13.66万元，全年执行数13.66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0A339BB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0F03F51">
        <w:tblPrEx>
          <w:tblCellMar>
            <w:top w:w="0" w:type="dxa"/>
            <w:left w:w="108" w:type="dxa"/>
            <w:bottom w:w="0" w:type="dxa"/>
            <w:right w:w="108" w:type="dxa"/>
          </w:tblCellMar>
        </w:tblPrEx>
        <w:tc>
          <w:tcPr>
            <w:tcW w:w="8847" w:type="dxa"/>
            <w:gridSpan w:val="9"/>
            <w:vAlign w:val="center"/>
          </w:tcPr>
          <w:p w14:paraId="43533BE7">
            <w:pPr>
              <w:jc w:val="center"/>
            </w:pPr>
            <w:r>
              <w:rPr>
                <w:rFonts w:ascii="宋体" w:hAnsi="宋体" w:eastAsia="宋体"/>
                <w:sz w:val="24"/>
              </w:rPr>
              <w:t>单位整体支出绩效自评表</w:t>
            </w:r>
          </w:p>
        </w:tc>
      </w:tr>
      <w:tr w14:paraId="27398CDC">
        <w:tblPrEx>
          <w:tblCellMar>
            <w:top w:w="0" w:type="dxa"/>
            <w:left w:w="108" w:type="dxa"/>
            <w:bottom w:w="0" w:type="dxa"/>
            <w:right w:w="108" w:type="dxa"/>
          </w:tblCellMar>
        </w:tblPrEx>
        <w:tc>
          <w:tcPr>
            <w:tcW w:w="8847" w:type="dxa"/>
            <w:gridSpan w:val="9"/>
            <w:vAlign w:val="center"/>
          </w:tcPr>
          <w:p w14:paraId="4E4F888F">
            <w:pPr>
              <w:jc w:val="center"/>
            </w:pPr>
            <w:r>
              <w:rPr>
                <w:rFonts w:ascii="宋体" w:hAnsi="宋体" w:eastAsia="宋体"/>
                <w:sz w:val="24"/>
              </w:rPr>
              <w:t>（2024年度）</w:t>
            </w:r>
          </w:p>
        </w:tc>
      </w:tr>
      <w:tr w14:paraId="6EA34D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088C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B153BE">
            <w:pPr>
              <w:jc w:val="center"/>
            </w:pPr>
            <w:r>
              <w:rPr>
                <w:rFonts w:ascii="宋体" w:hAnsi="宋体" w:eastAsia="宋体"/>
                <w:sz w:val="16"/>
              </w:rPr>
              <w:t>民丰县若克雅乡中心幼儿园</w:t>
            </w:r>
          </w:p>
        </w:tc>
      </w:tr>
      <w:tr w14:paraId="5E9F0F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C3AD2">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9133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201E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AC3A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4A7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A67D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5E70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B2971">
            <w:pPr>
              <w:jc w:val="center"/>
            </w:pPr>
            <w:r>
              <w:rPr>
                <w:rFonts w:ascii="宋体" w:hAnsi="宋体" w:eastAsia="宋体"/>
                <w:sz w:val="16"/>
              </w:rPr>
              <w:t>得分</w:t>
            </w:r>
          </w:p>
        </w:tc>
      </w:tr>
      <w:tr w14:paraId="6EBEA3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C8E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B2271">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7186E">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C2F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D4FBA">
            <w:pPr>
              <w:jc w:val="center"/>
            </w:pPr>
            <w:r>
              <w:rPr>
                <w:rFonts w:ascii="宋体" w:hAnsi="宋体" w:eastAsia="宋体"/>
                <w:sz w:val="16"/>
              </w:rPr>
              <w:t>90.86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177C4">
            <w:pPr>
              <w:jc w:val="center"/>
            </w:pPr>
            <w:r>
              <w:rPr>
                <w:rFonts w:ascii="宋体" w:hAnsi="宋体" w:eastAsia="宋体"/>
                <w:sz w:val="16"/>
              </w:rPr>
              <w:t>90.86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4D0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11F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B4B93">
            <w:pPr>
              <w:jc w:val="center"/>
            </w:pPr>
            <w:r>
              <w:rPr>
                <w:rFonts w:ascii="宋体" w:hAnsi="宋体" w:eastAsia="宋体"/>
                <w:sz w:val="16"/>
              </w:rPr>
              <w:t>-</w:t>
            </w:r>
          </w:p>
        </w:tc>
      </w:tr>
      <w:tr w14:paraId="3CB9AB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E0D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C28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125A8">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1AE7B">
            <w:pPr>
              <w:jc w:val="center"/>
            </w:pPr>
            <w:r>
              <w:rPr>
                <w:rFonts w:ascii="宋体" w:hAnsi="宋体" w:eastAsia="宋体"/>
                <w:sz w:val="16"/>
              </w:rPr>
              <w:t>608.89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E24C8">
            <w:pPr>
              <w:jc w:val="center"/>
            </w:pPr>
            <w:r>
              <w:rPr>
                <w:rFonts w:ascii="宋体" w:hAnsi="宋体" w:eastAsia="宋体"/>
                <w:sz w:val="16"/>
              </w:rPr>
              <w:t>504.74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3AA3D">
            <w:pPr>
              <w:jc w:val="center"/>
            </w:pPr>
            <w:r>
              <w:rPr>
                <w:rFonts w:ascii="宋体" w:hAnsi="宋体" w:eastAsia="宋体"/>
                <w:sz w:val="16"/>
              </w:rPr>
              <w:t>504.70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89E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0F1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D386F">
            <w:pPr>
              <w:jc w:val="center"/>
            </w:pPr>
            <w:r>
              <w:rPr>
                <w:rFonts w:ascii="宋体" w:hAnsi="宋体" w:eastAsia="宋体"/>
                <w:sz w:val="16"/>
              </w:rPr>
              <w:t>-</w:t>
            </w:r>
          </w:p>
        </w:tc>
      </w:tr>
      <w:tr w14:paraId="6CAFD3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D6ED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3EF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13429">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E8C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4F3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14C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DFD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C90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CE391">
            <w:pPr>
              <w:jc w:val="center"/>
            </w:pPr>
            <w:r>
              <w:rPr>
                <w:rFonts w:ascii="宋体" w:hAnsi="宋体" w:eastAsia="宋体"/>
                <w:sz w:val="16"/>
              </w:rPr>
              <w:t>-</w:t>
            </w:r>
          </w:p>
        </w:tc>
      </w:tr>
      <w:tr w14:paraId="018D9B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0C86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A2F29">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3A7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E4E03">
            <w:pPr>
              <w:jc w:val="center"/>
            </w:pPr>
            <w:r>
              <w:rPr>
                <w:rFonts w:ascii="宋体" w:hAnsi="宋体" w:eastAsia="宋体"/>
                <w:sz w:val="16"/>
              </w:rPr>
              <w:t>608.89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B5EBD">
            <w:pPr>
              <w:jc w:val="center"/>
            </w:pPr>
            <w:r>
              <w:rPr>
                <w:rFonts w:ascii="宋体" w:hAnsi="宋体" w:eastAsia="宋体"/>
                <w:sz w:val="16"/>
              </w:rPr>
              <w:t>595.60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989A5">
            <w:pPr>
              <w:jc w:val="center"/>
            </w:pPr>
            <w:r>
              <w:rPr>
                <w:rFonts w:ascii="宋体" w:hAnsi="宋体" w:eastAsia="宋体"/>
                <w:sz w:val="16"/>
              </w:rPr>
              <w:t>595.56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310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970D6">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C65A6">
            <w:pPr>
              <w:jc w:val="center"/>
            </w:pPr>
            <w:r>
              <w:rPr>
                <w:rFonts w:ascii="宋体" w:hAnsi="宋体" w:eastAsia="宋体"/>
                <w:sz w:val="16"/>
              </w:rPr>
              <w:t>10</w:t>
            </w:r>
          </w:p>
        </w:tc>
      </w:tr>
      <w:tr w14:paraId="1FB990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5743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6439B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AA0EC3">
            <w:pPr>
              <w:jc w:val="center"/>
            </w:pPr>
            <w:r>
              <w:rPr>
                <w:rFonts w:ascii="宋体" w:hAnsi="宋体" w:eastAsia="宋体"/>
                <w:sz w:val="16"/>
              </w:rPr>
              <w:t>实际完成情况</w:t>
            </w:r>
          </w:p>
        </w:tc>
      </w:tr>
      <w:tr w14:paraId="316193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A164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0795AD">
            <w:pPr>
              <w:jc w:val="both"/>
            </w:pPr>
            <w:r>
              <w:rPr>
                <w:rFonts w:ascii="宋体" w:hAnsi="宋体" w:eastAsia="宋体"/>
                <w:sz w:val="16"/>
              </w:rPr>
              <w:t xml:space="preserve">目标1：主要用于保障我县2所义务教育阶段小学的正常运转，学生人数195名，教师人数32人。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目标2：通过项目的实施，有效保障学校正常运转，同时</w:t>
            </w:r>
            <w:r>
              <w:rPr>
                <w:rFonts w:hint="eastAsia" w:ascii="宋体" w:hAnsi="宋体"/>
                <w:sz w:val="16"/>
                <w:lang w:eastAsia="zh-CN"/>
              </w:rPr>
              <w:t>提供</w:t>
            </w:r>
            <w:bookmarkStart w:id="0" w:name="_GoBack"/>
            <w:bookmarkEnd w:id="0"/>
            <w:r>
              <w:rPr>
                <w:rFonts w:ascii="宋体" w:hAnsi="宋体" w:eastAsia="宋体"/>
                <w:sz w:val="16"/>
              </w:rPr>
              <w:t>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60C903">
            <w:pPr>
              <w:jc w:val="both"/>
            </w:pPr>
            <w:r>
              <w:rPr>
                <w:rFonts w:ascii="宋体" w:hAnsi="宋体" w:eastAsia="宋体"/>
                <w:sz w:val="16"/>
              </w:rPr>
              <w:t>保障学前教育阶段幼儿园2所正常运转，享受资助补助政策学生数165人，幼儿园教师人数30人，有效保障学校正常运转，同时提供给师生</w:t>
            </w:r>
            <w:r>
              <w:rPr>
                <w:rFonts w:hint="eastAsia" w:ascii="宋体" w:hAnsi="宋体"/>
                <w:sz w:val="16"/>
                <w:lang w:eastAsia="zh-CN"/>
              </w:rPr>
              <w:t>暖和</w:t>
            </w:r>
            <w:r>
              <w:rPr>
                <w:rFonts w:ascii="宋体" w:hAnsi="宋体" w:eastAsia="宋体"/>
                <w:sz w:val="16"/>
              </w:rPr>
              <w:t>的教学和学习环境。</w:t>
            </w:r>
          </w:p>
        </w:tc>
      </w:tr>
      <w:tr w14:paraId="4889BD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F4BC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4ED08">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D435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BB45A">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FDC9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7C8A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BB493">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C029A">
            <w:pPr>
              <w:jc w:val="center"/>
            </w:pPr>
            <w:r>
              <w:rPr>
                <w:rFonts w:ascii="宋体" w:hAnsi="宋体" w:eastAsia="宋体"/>
                <w:sz w:val="16"/>
              </w:rPr>
              <w:t>得分</w:t>
            </w:r>
          </w:p>
        </w:tc>
      </w:tr>
      <w:tr w14:paraId="5062D8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9DC5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11184">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8A0CC">
            <w:pPr>
              <w:jc w:val="center"/>
            </w:pPr>
            <w:r>
              <w:rPr>
                <w:rFonts w:ascii="宋体" w:hAnsi="宋体" w:eastAsia="宋体"/>
                <w:sz w:val="16"/>
              </w:rPr>
              <w:t>学前教育阶段幼儿园数量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5F34E">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E64A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B36C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2A4F0">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65451">
            <w:pPr>
              <w:jc w:val="center"/>
            </w:pPr>
            <w:r>
              <w:rPr>
                <w:rFonts w:ascii="宋体" w:hAnsi="宋体" w:eastAsia="宋体"/>
                <w:sz w:val="16"/>
              </w:rPr>
              <w:t>20</w:t>
            </w:r>
          </w:p>
        </w:tc>
      </w:tr>
      <w:tr w14:paraId="5AEA97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E1B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3934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895D1">
            <w:pPr>
              <w:jc w:val="center"/>
            </w:pPr>
            <w:r>
              <w:rPr>
                <w:rFonts w:ascii="宋体" w:hAnsi="宋体" w:eastAsia="宋体"/>
                <w:sz w:val="16"/>
              </w:rPr>
              <w:t>享受资助补助政策学生数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76488">
            <w:pPr>
              <w:jc w:val="center"/>
            </w:pPr>
            <w:r>
              <w:rPr>
                <w:rFonts w:ascii="宋体" w:hAnsi="宋体" w:eastAsia="宋体"/>
                <w:sz w:val="16"/>
              </w:rPr>
              <w:t>&lt;=195人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450D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E040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43373">
            <w:pPr>
              <w:jc w:val="center"/>
            </w:pPr>
            <w:r>
              <w:rPr>
                <w:rFonts w:ascii="宋体" w:hAnsi="宋体" w:eastAsia="宋体"/>
                <w:sz w:val="16"/>
              </w:rPr>
              <w:t>165人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6C487">
            <w:pPr>
              <w:jc w:val="center"/>
            </w:pPr>
            <w:r>
              <w:rPr>
                <w:rFonts w:ascii="宋体" w:hAnsi="宋体" w:eastAsia="宋体"/>
                <w:sz w:val="16"/>
              </w:rPr>
              <w:t>16.9</w:t>
            </w:r>
          </w:p>
        </w:tc>
      </w:tr>
      <w:tr w14:paraId="3C71E2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FD4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5241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4CBE9">
            <w:pPr>
              <w:jc w:val="center"/>
            </w:pPr>
            <w:r>
              <w:rPr>
                <w:rFonts w:ascii="宋体" w:hAnsi="宋体" w:eastAsia="宋体"/>
                <w:sz w:val="16"/>
              </w:rPr>
              <w:t>幼儿园教师人数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DEA02">
            <w:pPr>
              <w:jc w:val="center"/>
            </w:pPr>
            <w:r>
              <w:rPr>
                <w:rFonts w:ascii="宋体" w:hAnsi="宋体" w:eastAsia="宋体"/>
                <w:sz w:val="16"/>
              </w:rPr>
              <w:t>=32人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72A7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E472D">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EE77F">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FF5ED">
            <w:pPr>
              <w:jc w:val="center"/>
            </w:pPr>
            <w:r>
              <w:rPr>
                <w:rFonts w:ascii="宋体" w:hAnsi="宋体" w:eastAsia="宋体"/>
                <w:sz w:val="16"/>
              </w:rPr>
              <w:t>23.44</w:t>
            </w:r>
          </w:p>
        </w:tc>
      </w:tr>
      <w:tr w14:paraId="18CCA9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6EDD4">
            <w:pPr>
              <w:jc w:val="center"/>
            </w:pPr>
            <w:r>
              <w:rPr>
                <w:rFonts w:ascii="宋体" w:hAnsi="宋体" w:eastAsia="宋体"/>
                <w:sz w:val="16"/>
              </w:rPr>
              <w:t>社会效益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5D5FB">
            <w:pPr>
              <w:jc w:val="center"/>
            </w:pPr>
            <w:r>
              <w:rPr>
                <w:rFonts w:ascii="宋体" w:hAnsi="宋体" w:eastAsia="宋体"/>
                <w:sz w:val="16"/>
              </w:rPr>
              <w:t>社会效益指标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69381">
            <w:pPr>
              <w:jc w:val="center"/>
            </w:pPr>
            <w:r>
              <w:rPr>
                <w:rFonts w:ascii="宋体" w:hAnsi="宋体" w:eastAsia="宋体"/>
                <w:sz w:val="16"/>
              </w:rPr>
              <w:t>保障学校正常运转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1BF05">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34F4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EFF50">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6E1A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AF992">
            <w:pPr>
              <w:jc w:val="center"/>
            </w:pPr>
            <w:r>
              <w:rPr>
                <w:rFonts w:ascii="宋体" w:hAnsi="宋体" w:eastAsia="宋体"/>
                <w:sz w:val="16"/>
              </w:rPr>
              <w:t>25</w:t>
            </w:r>
          </w:p>
        </w:tc>
      </w:tr>
    </w:tbl>
    <w:p w14:paraId="198A904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524C698">
        <w:tblPrEx>
          <w:tblCellMar>
            <w:top w:w="0" w:type="dxa"/>
            <w:left w:w="108" w:type="dxa"/>
            <w:bottom w:w="0" w:type="dxa"/>
            <w:right w:w="108" w:type="dxa"/>
          </w:tblCellMar>
        </w:tblPrEx>
        <w:tc>
          <w:tcPr>
            <w:tcW w:w="8847" w:type="dxa"/>
            <w:gridSpan w:val="9"/>
            <w:vAlign w:val="center"/>
          </w:tcPr>
          <w:p w14:paraId="70132419">
            <w:pPr>
              <w:jc w:val="center"/>
            </w:pPr>
            <w:r>
              <w:rPr>
                <w:rFonts w:ascii="宋体" w:hAnsi="宋体" w:eastAsia="宋体"/>
                <w:sz w:val="24"/>
              </w:rPr>
              <w:t>项目支出绩效自评表</w:t>
            </w:r>
          </w:p>
        </w:tc>
      </w:tr>
      <w:tr w14:paraId="5816C32E">
        <w:tblPrEx>
          <w:tblCellMar>
            <w:top w:w="0" w:type="dxa"/>
            <w:left w:w="108" w:type="dxa"/>
            <w:bottom w:w="0" w:type="dxa"/>
            <w:right w:w="108" w:type="dxa"/>
          </w:tblCellMar>
        </w:tblPrEx>
        <w:tc>
          <w:tcPr>
            <w:tcW w:w="8847" w:type="dxa"/>
            <w:gridSpan w:val="9"/>
            <w:vAlign w:val="center"/>
          </w:tcPr>
          <w:p w14:paraId="17D81D68">
            <w:pPr>
              <w:jc w:val="center"/>
            </w:pPr>
            <w:r>
              <w:rPr>
                <w:rFonts w:ascii="宋体" w:hAnsi="宋体" w:eastAsia="宋体"/>
                <w:sz w:val="24"/>
              </w:rPr>
              <w:t>(2024年度)</w:t>
            </w:r>
          </w:p>
        </w:tc>
      </w:tr>
      <w:tr w14:paraId="2F1B78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DBD9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800C93">
            <w:pPr>
              <w:jc w:val="center"/>
            </w:pPr>
            <w:r>
              <w:rPr>
                <w:rFonts w:ascii="宋体" w:hAnsi="宋体" w:eastAsia="宋体"/>
                <w:sz w:val="16"/>
              </w:rPr>
              <w:t>2023年自治区农村学前三年免费教育保障经费（伙食费）</w:t>
            </w:r>
          </w:p>
        </w:tc>
      </w:tr>
      <w:tr w14:paraId="0086CD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9F02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5635EB">
            <w:pPr>
              <w:jc w:val="center"/>
            </w:pPr>
            <w:r>
              <w:rPr>
                <w:rFonts w:ascii="宋体" w:hAnsi="宋体" w:eastAsia="宋体"/>
                <w:sz w:val="16"/>
              </w:rPr>
              <w:t>民丰县若克雅乡中心幼儿园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3FB1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798639">
            <w:pPr>
              <w:jc w:val="center"/>
            </w:pPr>
            <w:r>
              <w:rPr>
                <w:rFonts w:ascii="宋体" w:hAnsi="宋体" w:eastAsia="宋体"/>
                <w:sz w:val="16"/>
              </w:rPr>
              <w:t>民丰县若克雅乡中心幼儿园</w:t>
            </w:r>
          </w:p>
        </w:tc>
      </w:tr>
      <w:tr w14:paraId="64C25B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5FA0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56E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908B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0B16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54A7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2130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223B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EECBA">
            <w:pPr>
              <w:jc w:val="center"/>
            </w:pPr>
            <w:r>
              <w:rPr>
                <w:rFonts w:ascii="宋体" w:hAnsi="宋体" w:eastAsia="宋体"/>
                <w:sz w:val="16"/>
              </w:rPr>
              <w:t>得分</w:t>
            </w:r>
          </w:p>
        </w:tc>
      </w:tr>
      <w:tr w14:paraId="4E91F2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C42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D524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FD2ED">
            <w:pPr>
              <w:jc w:val="center"/>
            </w:pPr>
            <w:r>
              <w:rPr>
                <w:rFonts w:ascii="宋体" w:hAnsi="宋体" w:eastAsia="宋体"/>
                <w:sz w:val="16"/>
              </w:rPr>
              <w:t>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2E9D8">
            <w:pPr>
              <w:jc w:val="center"/>
            </w:pPr>
            <w:r>
              <w:rPr>
                <w:rFonts w:ascii="宋体" w:hAnsi="宋体" w:eastAsia="宋体"/>
                <w:sz w:val="16"/>
              </w:rPr>
              <w:t>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06AB7">
            <w:pPr>
              <w:jc w:val="center"/>
            </w:pPr>
            <w:r>
              <w:rPr>
                <w:rFonts w:ascii="宋体" w:hAnsi="宋体" w:eastAsia="宋体"/>
                <w:sz w:val="16"/>
              </w:rPr>
              <w:t>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DFC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7E83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5B7B0">
            <w:pPr>
              <w:jc w:val="center"/>
            </w:pPr>
            <w:r>
              <w:rPr>
                <w:rFonts w:ascii="宋体" w:hAnsi="宋体" w:eastAsia="宋体"/>
                <w:sz w:val="16"/>
              </w:rPr>
              <w:t>10.00分</w:t>
            </w:r>
          </w:p>
        </w:tc>
      </w:tr>
      <w:tr w14:paraId="234E0F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F72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99B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49920">
            <w:pPr>
              <w:jc w:val="center"/>
            </w:pPr>
            <w:r>
              <w:rPr>
                <w:rFonts w:ascii="宋体" w:hAnsi="宋体" w:eastAsia="宋体"/>
                <w:sz w:val="16"/>
              </w:rPr>
              <w:t>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CFAE7">
            <w:pPr>
              <w:jc w:val="center"/>
            </w:pPr>
            <w:r>
              <w:rPr>
                <w:rFonts w:ascii="宋体" w:hAnsi="宋体" w:eastAsia="宋体"/>
                <w:sz w:val="16"/>
              </w:rPr>
              <w:t>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18A27">
            <w:pPr>
              <w:jc w:val="center"/>
            </w:pPr>
            <w:r>
              <w:rPr>
                <w:rFonts w:ascii="宋体" w:hAnsi="宋体" w:eastAsia="宋体"/>
                <w:sz w:val="16"/>
              </w:rPr>
              <w:t>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78F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9C9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549CE">
            <w:pPr>
              <w:jc w:val="center"/>
            </w:pPr>
            <w:r>
              <w:rPr>
                <w:rFonts w:ascii="宋体" w:hAnsi="宋体" w:eastAsia="宋体"/>
                <w:sz w:val="16"/>
              </w:rPr>
              <w:t>—</w:t>
            </w:r>
          </w:p>
        </w:tc>
      </w:tr>
      <w:tr w14:paraId="47F2AD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592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D8CD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2A7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343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4F6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225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CE6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B4F68">
            <w:pPr>
              <w:jc w:val="center"/>
            </w:pPr>
            <w:r>
              <w:rPr>
                <w:rFonts w:ascii="宋体" w:hAnsi="宋体" w:eastAsia="宋体"/>
                <w:sz w:val="16"/>
              </w:rPr>
              <w:t>—</w:t>
            </w:r>
          </w:p>
        </w:tc>
      </w:tr>
      <w:tr w14:paraId="71F48C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F48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234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3A5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217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F42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D7A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CB9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0A187">
            <w:pPr>
              <w:jc w:val="center"/>
            </w:pPr>
            <w:r>
              <w:rPr>
                <w:rFonts w:ascii="宋体" w:hAnsi="宋体" w:eastAsia="宋体"/>
                <w:sz w:val="16"/>
              </w:rPr>
              <w:t>—</w:t>
            </w:r>
          </w:p>
        </w:tc>
      </w:tr>
      <w:tr w14:paraId="1419CE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6227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72202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00251">
            <w:pPr>
              <w:jc w:val="center"/>
            </w:pPr>
            <w:r>
              <w:rPr>
                <w:rFonts w:ascii="宋体" w:hAnsi="宋体" w:eastAsia="宋体"/>
                <w:sz w:val="16"/>
              </w:rPr>
              <w:t>实际完成情况</w:t>
            </w:r>
          </w:p>
        </w:tc>
      </w:tr>
      <w:tr w14:paraId="3DFB95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5923D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85E1E0">
            <w:pPr>
              <w:jc w:val="both"/>
            </w:pPr>
            <w:r>
              <w:rPr>
                <w:rFonts w:ascii="宋体" w:hAnsi="宋体" w:eastAsia="宋体"/>
                <w:sz w:val="16"/>
              </w:rPr>
              <w:t>根据和地财教</w:t>
            </w:r>
            <w:r>
              <w:rPr>
                <w:rFonts w:hint="eastAsia" w:ascii="宋体" w:hAnsi="宋体"/>
                <w:sz w:val="16"/>
                <w:lang w:eastAsia="zh-CN"/>
              </w:rPr>
              <w:t>〔2023〕42号</w:t>
            </w:r>
            <w:r>
              <w:rPr>
                <w:rFonts w:ascii="宋体" w:hAnsi="宋体" w:eastAsia="宋体"/>
                <w:sz w:val="16"/>
              </w:rPr>
              <w:t>文件要求，实施本项目。主要内容：保障我县2所幼儿园195名学生220天的伙食补助，按照每人每年1450元标准进行补助。通过项目实施，减轻学前教育困难家庭学生生活费负担，促进教育资源公平均衡配置。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6A9C9F">
            <w:pPr>
              <w:jc w:val="both"/>
            </w:pPr>
            <w:r>
              <w:rPr>
                <w:rFonts w:ascii="宋体" w:hAnsi="宋体" w:eastAsia="宋体"/>
                <w:sz w:val="16"/>
              </w:rPr>
              <w:t>保障我县2所幼儿园195名学生220天的伙食补助，按照每人184.615元进行补助。通过项目实施，减轻学前教育困难家庭学生生活费负担，促进教育资源公平均衡配置。</w:t>
            </w:r>
          </w:p>
        </w:tc>
      </w:tr>
      <w:tr w14:paraId="4B52C3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97D7B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65BA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046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B1DF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94C3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BF61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BE49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F17E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27309">
            <w:pPr>
              <w:jc w:val="center"/>
            </w:pPr>
            <w:r>
              <w:rPr>
                <w:rFonts w:ascii="宋体" w:hAnsi="宋体" w:eastAsia="宋体"/>
                <w:sz w:val="16"/>
              </w:rPr>
              <w:t>偏差原因分析及改进措施</w:t>
            </w:r>
          </w:p>
        </w:tc>
      </w:tr>
      <w:tr w14:paraId="590E9A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E205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A3AA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D2C5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1CB40">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9855">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09E97">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0CA7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C47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09CCB">
            <w:pPr>
              <w:jc w:val="center"/>
            </w:pPr>
          </w:p>
        </w:tc>
      </w:tr>
      <w:tr w14:paraId="5C820C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27B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C15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920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A3C30">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F36F0">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5319B">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88CC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285A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889AB">
            <w:pPr>
              <w:jc w:val="center"/>
            </w:pPr>
          </w:p>
        </w:tc>
      </w:tr>
      <w:tr w14:paraId="458ED8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9482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229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F02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01351">
            <w:pPr>
              <w:jc w:val="center"/>
            </w:pPr>
            <w:r>
              <w:rPr>
                <w:rFonts w:ascii="宋体" w:hAnsi="宋体" w:eastAsia="宋体"/>
                <w:sz w:val="16"/>
              </w:rPr>
              <w:t>保障在园学生人数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27133">
            <w:pPr>
              <w:jc w:val="center"/>
            </w:pPr>
            <w:r>
              <w:rPr>
                <w:rFonts w:ascii="宋体" w:hAnsi="宋体" w:eastAsia="宋体"/>
                <w:sz w:val="16"/>
              </w:rPr>
              <w:t>&gt;=195人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27D87">
            <w:pPr>
              <w:jc w:val="center"/>
            </w:pPr>
            <w:r>
              <w:rPr>
                <w:rFonts w:ascii="宋体" w:hAnsi="宋体" w:eastAsia="宋体"/>
                <w:sz w:val="16"/>
              </w:rPr>
              <w:t>=165人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D4B9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47F3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4AD22">
            <w:pPr>
              <w:jc w:val="center"/>
            </w:pPr>
          </w:p>
        </w:tc>
      </w:tr>
      <w:tr w14:paraId="4BB56A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8C7B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DFE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C91F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EB1A6">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5D3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2B8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9B31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8084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8629E">
            <w:pPr>
              <w:jc w:val="center"/>
            </w:pPr>
          </w:p>
        </w:tc>
      </w:tr>
      <w:tr w14:paraId="7799F4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122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221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18D4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0B3C7">
            <w:pPr>
              <w:jc w:val="center"/>
            </w:pPr>
            <w:r>
              <w:rPr>
                <w:rFonts w:ascii="宋体" w:hAnsi="宋体" w:eastAsia="宋体"/>
                <w:sz w:val="16"/>
              </w:rPr>
              <w:t>项目按期完成及时率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D84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27A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CAA3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C3E7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524C0">
            <w:pPr>
              <w:jc w:val="center"/>
            </w:pPr>
          </w:p>
        </w:tc>
      </w:tr>
      <w:tr w14:paraId="32600D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A82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B699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C104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9A99D">
            <w:pPr>
              <w:jc w:val="center"/>
            </w:pPr>
            <w:r>
              <w:rPr>
                <w:rFonts w:ascii="宋体" w:hAnsi="宋体" w:eastAsia="宋体"/>
                <w:sz w:val="16"/>
              </w:rPr>
              <w:t>人均伙食费用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779D2">
            <w:pPr>
              <w:jc w:val="center"/>
            </w:pPr>
            <w:r>
              <w:rPr>
                <w:rFonts w:ascii="宋体" w:hAnsi="宋体" w:eastAsia="宋体"/>
                <w:sz w:val="16"/>
              </w:rPr>
              <w:t>&lt;=184.615元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3B45D">
            <w:pPr>
              <w:jc w:val="center"/>
            </w:pPr>
            <w:r>
              <w:rPr>
                <w:rFonts w:ascii="宋体" w:hAnsi="宋体" w:eastAsia="宋体"/>
                <w:sz w:val="16"/>
              </w:rPr>
              <w:t>=184.615元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393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F07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25584">
            <w:pPr>
              <w:jc w:val="center"/>
            </w:pPr>
          </w:p>
        </w:tc>
      </w:tr>
      <w:tr w14:paraId="1811A7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0BF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3C85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E6CE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60F12">
            <w:pPr>
              <w:jc w:val="center"/>
            </w:pPr>
            <w:r>
              <w:rPr>
                <w:rFonts w:ascii="宋体" w:hAnsi="宋体" w:eastAsia="宋体"/>
                <w:sz w:val="16"/>
              </w:rPr>
              <w:t>减轻学前教育困难家庭学生生活费负担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A2B0F">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EF91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8F2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1D0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FEA55">
            <w:pPr>
              <w:jc w:val="center"/>
            </w:pPr>
          </w:p>
        </w:tc>
      </w:tr>
      <w:tr w14:paraId="1733B8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2D2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D5B5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6CF3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68778">
            <w:pPr>
              <w:jc w:val="center"/>
            </w:pPr>
            <w:r>
              <w:rPr>
                <w:rFonts w:ascii="宋体" w:hAnsi="宋体" w:eastAsia="宋体"/>
                <w:sz w:val="16"/>
              </w:rPr>
              <w:t>受益幼儿园学生满意度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340A8">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ABD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AC9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E58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B847F">
            <w:pPr>
              <w:jc w:val="center"/>
            </w:pPr>
          </w:p>
        </w:tc>
      </w:tr>
      <w:tr w14:paraId="45606FA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9722F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0032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171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A0E96">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8AD13A"/>
        </w:tc>
      </w:tr>
    </w:tbl>
    <w:p w14:paraId="73E37E2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A4894C1">
        <w:tblPrEx>
          <w:tblCellMar>
            <w:top w:w="0" w:type="dxa"/>
            <w:left w:w="108" w:type="dxa"/>
            <w:bottom w:w="0" w:type="dxa"/>
            <w:right w:w="108" w:type="dxa"/>
          </w:tblCellMar>
        </w:tblPrEx>
        <w:tc>
          <w:tcPr>
            <w:tcW w:w="8847" w:type="dxa"/>
            <w:gridSpan w:val="9"/>
            <w:vAlign w:val="center"/>
          </w:tcPr>
          <w:p w14:paraId="0007210E">
            <w:pPr>
              <w:jc w:val="center"/>
            </w:pPr>
            <w:r>
              <w:rPr>
                <w:rFonts w:ascii="宋体" w:hAnsi="宋体" w:eastAsia="宋体"/>
                <w:sz w:val="24"/>
              </w:rPr>
              <w:t>项目支出绩效自评表</w:t>
            </w:r>
          </w:p>
        </w:tc>
      </w:tr>
      <w:tr w14:paraId="6E407870">
        <w:tblPrEx>
          <w:tblCellMar>
            <w:top w:w="0" w:type="dxa"/>
            <w:left w:w="108" w:type="dxa"/>
            <w:bottom w:w="0" w:type="dxa"/>
            <w:right w:w="108" w:type="dxa"/>
          </w:tblCellMar>
        </w:tblPrEx>
        <w:tc>
          <w:tcPr>
            <w:tcW w:w="8847" w:type="dxa"/>
            <w:gridSpan w:val="9"/>
            <w:vAlign w:val="center"/>
          </w:tcPr>
          <w:p w14:paraId="028E4DD0">
            <w:pPr>
              <w:jc w:val="center"/>
            </w:pPr>
            <w:r>
              <w:rPr>
                <w:rFonts w:ascii="宋体" w:hAnsi="宋体" w:eastAsia="宋体"/>
                <w:sz w:val="24"/>
              </w:rPr>
              <w:t>(2024年度)</w:t>
            </w:r>
          </w:p>
        </w:tc>
      </w:tr>
      <w:tr w14:paraId="5A5554B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909C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D6526E">
            <w:pPr>
              <w:jc w:val="center"/>
            </w:pPr>
            <w:r>
              <w:rPr>
                <w:rFonts w:ascii="宋体" w:hAnsi="宋体" w:eastAsia="宋体"/>
                <w:sz w:val="16"/>
              </w:rPr>
              <w:t>县配套学前教育经费(伙食费）</w:t>
            </w:r>
          </w:p>
        </w:tc>
      </w:tr>
      <w:tr w14:paraId="64B00E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932F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72ACF9">
            <w:pPr>
              <w:jc w:val="center"/>
            </w:pPr>
            <w:r>
              <w:rPr>
                <w:rFonts w:ascii="宋体" w:hAnsi="宋体" w:eastAsia="宋体"/>
                <w:sz w:val="16"/>
              </w:rPr>
              <w:t>民丰县若克雅乡中心幼儿园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F8CA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0C9455">
            <w:pPr>
              <w:jc w:val="center"/>
            </w:pPr>
            <w:r>
              <w:rPr>
                <w:rFonts w:ascii="宋体" w:hAnsi="宋体" w:eastAsia="宋体"/>
                <w:sz w:val="16"/>
              </w:rPr>
              <w:t>民丰县若克雅乡中心幼儿园</w:t>
            </w:r>
          </w:p>
        </w:tc>
      </w:tr>
      <w:tr w14:paraId="1E7BEC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257F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5DE1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AF6A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4BAA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32E0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1DBF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C876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FC51A">
            <w:pPr>
              <w:jc w:val="center"/>
            </w:pPr>
            <w:r>
              <w:rPr>
                <w:rFonts w:ascii="宋体" w:hAnsi="宋体" w:eastAsia="宋体"/>
                <w:sz w:val="16"/>
              </w:rPr>
              <w:t>得分</w:t>
            </w:r>
          </w:p>
        </w:tc>
      </w:tr>
      <w:tr w14:paraId="2B8323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3691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1B6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94E9F">
            <w:pPr>
              <w:jc w:val="center"/>
            </w:pPr>
            <w:r>
              <w:rPr>
                <w:rFonts w:ascii="宋体" w:hAnsi="宋体" w:eastAsia="宋体"/>
                <w:sz w:val="16"/>
              </w:rPr>
              <w:t>10.06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6C901">
            <w:pPr>
              <w:jc w:val="center"/>
            </w:pPr>
            <w:r>
              <w:rPr>
                <w:rFonts w:ascii="宋体" w:hAnsi="宋体" w:eastAsia="宋体"/>
                <w:sz w:val="16"/>
              </w:rPr>
              <w:t>10.06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36114">
            <w:pPr>
              <w:jc w:val="center"/>
            </w:pPr>
            <w:r>
              <w:rPr>
                <w:rFonts w:ascii="宋体" w:hAnsi="宋体" w:eastAsia="宋体"/>
                <w:sz w:val="16"/>
              </w:rPr>
              <w:t>10.06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8BB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EB25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471EA">
            <w:pPr>
              <w:jc w:val="center"/>
            </w:pPr>
            <w:r>
              <w:rPr>
                <w:rFonts w:ascii="宋体" w:hAnsi="宋体" w:eastAsia="宋体"/>
                <w:sz w:val="16"/>
              </w:rPr>
              <w:t>10.00分</w:t>
            </w:r>
          </w:p>
        </w:tc>
      </w:tr>
      <w:tr w14:paraId="455E5A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80BE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D8FC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BDB57">
            <w:pPr>
              <w:jc w:val="center"/>
            </w:pPr>
            <w:r>
              <w:rPr>
                <w:rFonts w:ascii="宋体" w:hAnsi="宋体" w:eastAsia="宋体"/>
                <w:sz w:val="16"/>
              </w:rPr>
              <w:t>10.06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7CD32">
            <w:pPr>
              <w:jc w:val="center"/>
            </w:pPr>
            <w:r>
              <w:rPr>
                <w:rFonts w:ascii="宋体" w:hAnsi="宋体" w:eastAsia="宋体"/>
                <w:sz w:val="16"/>
              </w:rPr>
              <w:t>10.06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629A1">
            <w:pPr>
              <w:jc w:val="center"/>
            </w:pPr>
            <w:r>
              <w:rPr>
                <w:rFonts w:ascii="宋体" w:hAnsi="宋体" w:eastAsia="宋体"/>
                <w:sz w:val="16"/>
              </w:rPr>
              <w:t>10.06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1DB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9C2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C86F9">
            <w:pPr>
              <w:jc w:val="center"/>
            </w:pPr>
            <w:r>
              <w:rPr>
                <w:rFonts w:ascii="宋体" w:hAnsi="宋体" w:eastAsia="宋体"/>
                <w:sz w:val="16"/>
              </w:rPr>
              <w:t>—</w:t>
            </w:r>
          </w:p>
        </w:tc>
      </w:tr>
      <w:tr w14:paraId="47BBFA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FAA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3102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8AE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AA3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52B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0A6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CA3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D0B36">
            <w:pPr>
              <w:jc w:val="center"/>
            </w:pPr>
            <w:r>
              <w:rPr>
                <w:rFonts w:ascii="宋体" w:hAnsi="宋体" w:eastAsia="宋体"/>
                <w:sz w:val="16"/>
              </w:rPr>
              <w:t>—</w:t>
            </w:r>
          </w:p>
        </w:tc>
      </w:tr>
      <w:tr w14:paraId="2A20AA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404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EDDD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049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822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06A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BD4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789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E3D09">
            <w:pPr>
              <w:jc w:val="center"/>
            </w:pPr>
            <w:r>
              <w:rPr>
                <w:rFonts w:ascii="宋体" w:hAnsi="宋体" w:eastAsia="宋体"/>
                <w:sz w:val="16"/>
              </w:rPr>
              <w:t>—</w:t>
            </w:r>
          </w:p>
        </w:tc>
      </w:tr>
      <w:tr w14:paraId="3DC140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CCD2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C938D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7B6ED5">
            <w:pPr>
              <w:jc w:val="center"/>
            </w:pPr>
            <w:r>
              <w:rPr>
                <w:rFonts w:ascii="宋体" w:hAnsi="宋体" w:eastAsia="宋体"/>
                <w:sz w:val="16"/>
              </w:rPr>
              <w:t>实际完成情况</w:t>
            </w:r>
          </w:p>
        </w:tc>
      </w:tr>
      <w:tr w14:paraId="25E04B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AF208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446FAB">
            <w:pPr>
              <w:jc w:val="both"/>
            </w:pPr>
            <w:r>
              <w:rPr>
                <w:rFonts w:ascii="宋体" w:hAnsi="宋体" w:eastAsia="宋体"/>
                <w:sz w:val="16"/>
              </w:rPr>
              <w:t>根据项目实施方案，实施本项目。主要内容：保障我县2所幼儿园195名学生220天的伙食补助。通过项目实施，减轻学前教育困难家庭学生生活费负担，促进教育资源公平均衡配置。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75BD26">
            <w:pPr>
              <w:jc w:val="both"/>
            </w:pPr>
            <w:r>
              <w:rPr>
                <w:rFonts w:ascii="宋体" w:hAnsi="宋体" w:eastAsia="宋体"/>
                <w:sz w:val="16"/>
              </w:rPr>
              <w:t>保障我县2所幼儿园195名学生220天的伙食补助。通过项目实施，减轻学前教育困难家庭学生生活费负担，促进教育资源公平均衡配置。</w:t>
            </w:r>
          </w:p>
        </w:tc>
      </w:tr>
      <w:tr w14:paraId="66F95A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479B5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9B43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EB47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919C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994E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0604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4923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8B6A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1CB41">
            <w:pPr>
              <w:jc w:val="center"/>
            </w:pPr>
            <w:r>
              <w:rPr>
                <w:rFonts w:ascii="宋体" w:hAnsi="宋体" w:eastAsia="宋体"/>
                <w:sz w:val="16"/>
              </w:rPr>
              <w:t>偏差原因分析及改进措施</w:t>
            </w:r>
          </w:p>
        </w:tc>
      </w:tr>
      <w:tr w14:paraId="2F23F1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1CF2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4266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751B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77D6D">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96AC3">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331A6">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CFC1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8810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E908F">
            <w:pPr>
              <w:jc w:val="center"/>
            </w:pPr>
          </w:p>
        </w:tc>
      </w:tr>
      <w:tr w14:paraId="485E9F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42B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921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96E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A0583">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1EABE">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3ED8D">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F07B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A89D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FF8EC">
            <w:pPr>
              <w:jc w:val="center"/>
            </w:pPr>
          </w:p>
        </w:tc>
      </w:tr>
      <w:tr w14:paraId="18EC11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6DC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C14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0721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EDF22">
            <w:pPr>
              <w:jc w:val="center"/>
            </w:pPr>
            <w:r>
              <w:rPr>
                <w:rFonts w:ascii="宋体" w:hAnsi="宋体" w:eastAsia="宋体"/>
                <w:sz w:val="16"/>
              </w:rPr>
              <w:t>保障在园学生人数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22A40">
            <w:pPr>
              <w:jc w:val="center"/>
            </w:pPr>
            <w:r>
              <w:rPr>
                <w:rFonts w:ascii="宋体" w:hAnsi="宋体" w:eastAsia="宋体"/>
                <w:sz w:val="16"/>
              </w:rPr>
              <w:t>&gt;=195人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8D8F4">
            <w:pPr>
              <w:jc w:val="center"/>
            </w:pPr>
            <w:r>
              <w:rPr>
                <w:rFonts w:ascii="宋体" w:hAnsi="宋体" w:eastAsia="宋体"/>
                <w:sz w:val="16"/>
              </w:rPr>
              <w:t>=165人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7123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2307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13EF2">
            <w:pPr>
              <w:jc w:val="center"/>
            </w:pPr>
          </w:p>
        </w:tc>
      </w:tr>
      <w:tr w14:paraId="7F698B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623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2EA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C455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EF51C">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790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7AF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4F8D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E127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0E406">
            <w:pPr>
              <w:jc w:val="center"/>
            </w:pPr>
          </w:p>
        </w:tc>
      </w:tr>
      <w:tr w14:paraId="418980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2FA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8213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292A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A6BF3">
            <w:pPr>
              <w:jc w:val="center"/>
            </w:pPr>
            <w:r>
              <w:rPr>
                <w:rFonts w:ascii="宋体" w:hAnsi="宋体" w:eastAsia="宋体"/>
                <w:sz w:val="16"/>
              </w:rPr>
              <w:t>资金发放（补助）及时率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40E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667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62DB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308D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3EBD3">
            <w:pPr>
              <w:jc w:val="center"/>
            </w:pPr>
          </w:p>
        </w:tc>
      </w:tr>
      <w:tr w14:paraId="771345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DB8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6C9F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6011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4482E">
            <w:pPr>
              <w:jc w:val="center"/>
            </w:pPr>
            <w:r>
              <w:rPr>
                <w:rFonts w:ascii="宋体" w:hAnsi="宋体" w:eastAsia="宋体"/>
                <w:sz w:val="16"/>
              </w:rPr>
              <w:t>人均补助成本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0F4FA">
            <w:pPr>
              <w:jc w:val="center"/>
            </w:pPr>
            <w:r>
              <w:rPr>
                <w:rFonts w:ascii="宋体" w:hAnsi="宋体" w:eastAsia="宋体"/>
                <w:sz w:val="16"/>
              </w:rPr>
              <w:t>&lt;=516元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0FC9E">
            <w:pPr>
              <w:jc w:val="center"/>
            </w:pPr>
            <w:r>
              <w:rPr>
                <w:rFonts w:ascii="宋体" w:hAnsi="宋体" w:eastAsia="宋体"/>
                <w:sz w:val="16"/>
              </w:rPr>
              <w:t>=516元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3A5E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B775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7D08A">
            <w:pPr>
              <w:jc w:val="center"/>
            </w:pPr>
          </w:p>
        </w:tc>
      </w:tr>
      <w:tr w14:paraId="19FD2B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FE6C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EB6C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89DF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BE84F">
            <w:pPr>
              <w:jc w:val="center"/>
            </w:pPr>
            <w:r>
              <w:rPr>
                <w:rFonts w:ascii="宋体" w:hAnsi="宋体" w:eastAsia="宋体"/>
                <w:sz w:val="16"/>
              </w:rPr>
              <w:t>减轻学前教育困难家庭学生生活费负担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25ED8">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C43C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480E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B324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039CF">
            <w:pPr>
              <w:jc w:val="center"/>
            </w:pPr>
          </w:p>
        </w:tc>
      </w:tr>
      <w:tr w14:paraId="373476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60F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7B11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9031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AD027">
            <w:pPr>
              <w:jc w:val="center"/>
            </w:pPr>
            <w:r>
              <w:rPr>
                <w:rFonts w:ascii="宋体" w:hAnsi="宋体" w:eastAsia="宋体"/>
                <w:sz w:val="16"/>
              </w:rPr>
              <w:t>受益幼儿园学生满意度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C786D">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244F8">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9D1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062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21110">
            <w:pPr>
              <w:jc w:val="center"/>
            </w:pPr>
          </w:p>
        </w:tc>
      </w:tr>
      <w:tr w14:paraId="6A61F81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51AE8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1F7B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E38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FE08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D2C078C"/>
        </w:tc>
      </w:tr>
    </w:tbl>
    <w:p w14:paraId="3D995024">
      <w:r>
        <w:br w:type="page"/>
      </w:r>
    </w:p>
    <w:p w14:paraId="270C5FEF">
      <w:pPr>
        <w:spacing w:line="640" w:lineRule="exact"/>
        <w:ind w:firstLine="640"/>
        <w:jc w:val="both"/>
        <w:outlineLvl w:val="2"/>
      </w:pPr>
      <w:r>
        <w:rPr>
          <w:rFonts w:ascii="黑体" w:hAnsi="黑体" w:eastAsia="黑体"/>
          <w:sz w:val="32"/>
        </w:rPr>
        <w:t>十二、其他需说明的事项</w:t>
      </w:r>
    </w:p>
    <w:p w14:paraId="4B2CE445">
      <w:pPr>
        <w:spacing w:line="580" w:lineRule="exact"/>
        <w:ind w:firstLine="640"/>
        <w:jc w:val="both"/>
      </w:pPr>
      <w:r>
        <w:rPr>
          <w:rFonts w:ascii="仿宋_GB2312" w:hAnsi="仿宋_GB2312" w:eastAsia="仿宋_GB2312"/>
          <w:b w:val="0"/>
          <w:sz w:val="32"/>
        </w:rPr>
        <w:t>本单位无其他需说明的事项。</w:t>
      </w:r>
    </w:p>
    <w:p w14:paraId="103527DD">
      <w:r>
        <w:br w:type="page"/>
      </w:r>
    </w:p>
    <w:p w14:paraId="2C23D909">
      <w:pPr>
        <w:spacing w:line="240" w:lineRule="auto"/>
        <w:jc w:val="center"/>
        <w:outlineLvl w:val="1"/>
      </w:pPr>
      <w:r>
        <w:rPr>
          <w:rFonts w:ascii="黑体" w:hAnsi="黑体" w:eastAsia="黑体"/>
          <w:sz w:val="32"/>
        </w:rPr>
        <w:t>第三部分 专业名词解释</w:t>
      </w:r>
    </w:p>
    <w:p w14:paraId="4312A18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CB33A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004D8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34853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F30E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83BBE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85399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B9A0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07830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FEB8D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D9BE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552DE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ACFDA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DE227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0BE5804">
      <w:r>
        <w:br w:type="page"/>
      </w:r>
    </w:p>
    <w:p w14:paraId="65CE2B33">
      <w:pPr>
        <w:spacing w:line="240" w:lineRule="auto"/>
        <w:jc w:val="center"/>
        <w:outlineLvl w:val="1"/>
      </w:pPr>
      <w:r>
        <w:rPr>
          <w:rFonts w:ascii="黑体" w:hAnsi="黑体" w:eastAsia="黑体"/>
          <w:sz w:val="32"/>
        </w:rPr>
        <w:t>第四部分 部门决算报表（见附表）</w:t>
      </w:r>
    </w:p>
    <w:p w14:paraId="1B271CE6">
      <w:pPr>
        <w:spacing w:line="240" w:lineRule="auto"/>
        <w:ind w:firstLine="640"/>
        <w:jc w:val="both"/>
      </w:pPr>
      <w:r>
        <w:rPr>
          <w:rFonts w:ascii="仿宋_GB2312" w:hAnsi="仿宋_GB2312" w:eastAsia="仿宋_GB2312"/>
          <w:b w:val="0"/>
          <w:sz w:val="32"/>
        </w:rPr>
        <w:t>一、《收入支出决算总表》</w:t>
      </w:r>
    </w:p>
    <w:p w14:paraId="14019F24">
      <w:pPr>
        <w:spacing w:line="240" w:lineRule="auto"/>
        <w:ind w:firstLine="640"/>
        <w:jc w:val="both"/>
      </w:pPr>
      <w:r>
        <w:rPr>
          <w:rFonts w:ascii="仿宋_GB2312" w:hAnsi="仿宋_GB2312" w:eastAsia="仿宋_GB2312"/>
          <w:b w:val="0"/>
          <w:sz w:val="32"/>
        </w:rPr>
        <w:t>二、《收入决算表》</w:t>
      </w:r>
    </w:p>
    <w:p w14:paraId="6759054B">
      <w:pPr>
        <w:spacing w:line="240" w:lineRule="auto"/>
        <w:ind w:firstLine="640"/>
        <w:jc w:val="both"/>
      </w:pPr>
      <w:r>
        <w:rPr>
          <w:rFonts w:ascii="仿宋_GB2312" w:hAnsi="仿宋_GB2312" w:eastAsia="仿宋_GB2312"/>
          <w:b w:val="0"/>
          <w:sz w:val="32"/>
        </w:rPr>
        <w:t>三、《支出决算表》</w:t>
      </w:r>
    </w:p>
    <w:p w14:paraId="7735E789">
      <w:pPr>
        <w:spacing w:line="240" w:lineRule="auto"/>
        <w:ind w:firstLine="640"/>
        <w:jc w:val="both"/>
      </w:pPr>
      <w:r>
        <w:rPr>
          <w:rFonts w:ascii="仿宋_GB2312" w:hAnsi="仿宋_GB2312" w:eastAsia="仿宋_GB2312"/>
          <w:b w:val="0"/>
          <w:sz w:val="32"/>
        </w:rPr>
        <w:t>四、《财政拨款收入支出决算总表》</w:t>
      </w:r>
    </w:p>
    <w:p w14:paraId="0AC0583C">
      <w:pPr>
        <w:spacing w:line="240" w:lineRule="auto"/>
        <w:ind w:firstLine="640"/>
        <w:jc w:val="both"/>
      </w:pPr>
      <w:r>
        <w:rPr>
          <w:rFonts w:ascii="仿宋_GB2312" w:hAnsi="仿宋_GB2312" w:eastAsia="仿宋_GB2312"/>
          <w:b w:val="0"/>
          <w:sz w:val="32"/>
        </w:rPr>
        <w:t>五、《一般公共预算财政拨款支出决算表》</w:t>
      </w:r>
    </w:p>
    <w:p w14:paraId="580704D0">
      <w:pPr>
        <w:spacing w:line="240" w:lineRule="auto"/>
        <w:ind w:firstLine="640"/>
        <w:jc w:val="both"/>
      </w:pPr>
      <w:r>
        <w:rPr>
          <w:rFonts w:ascii="仿宋_GB2312" w:hAnsi="仿宋_GB2312" w:eastAsia="仿宋_GB2312"/>
          <w:b w:val="0"/>
          <w:sz w:val="32"/>
        </w:rPr>
        <w:t>六、《一般公共预算财政拨款基本支出决算表》</w:t>
      </w:r>
    </w:p>
    <w:p w14:paraId="0F6F07CD">
      <w:pPr>
        <w:spacing w:line="240" w:lineRule="auto"/>
        <w:ind w:firstLine="640"/>
        <w:jc w:val="both"/>
      </w:pPr>
      <w:r>
        <w:rPr>
          <w:rFonts w:ascii="仿宋_GB2312" w:hAnsi="仿宋_GB2312" w:eastAsia="仿宋_GB2312"/>
          <w:b w:val="0"/>
          <w:sz w:val="32"/>
        </w:rPr>
        <w:t>七、《政府性基金预算财政拨款收入支出决算表》</w:t>
      </w:r>
    </w:p>
    <w:p w14:paraId="75D8165E">
      <w:pPr>
        <w:spacing w:line="240" w:lineRule="auto"/>
        <w:ind w:firstLine="640"/>
        <w:jc w:val="both"/>
      </w:pPr>
      <w:r>
        <w:rPr>
          <w:rFonts w:ascii="仿宋_GB2312" w:hAnsi="仿宋_GB2312" w:eastAsia="仿宋_GB2312"/>
          <w:b w:val="0"/>
          <w:sz w:val="32"/>
        </w:rPr>
        <w:t>八、《国有资本经营预算财政拨款收入支出决算表》</w:t>
      </w:r>
    </w:p>
    <w:p w14:paraId="1A122506">
      <w:pPr>
        <w:spacing w:line="240" w:lineRule="auto"/>
        <w:ind w:firstLine="640"/>
        <w:jc w:val="both"/>
      </w:pPr>
      <w:r>
        <w:rPr>
          <w:rFonts w:ascii="仿宋_GB2312" w:hAnsi="仿宋_GB2312" w:eastAsia="仿宋_GB2312"/>
          <w:b w:val="0"/>
          <w:sz w:val="32"/>
        </w:rPr>
        <w:t>九、《财政拨款“三公”经费支出决算表》</w:t>
      </w:r>
    </w:p>
    <w:p w14:paraId="58009A2B">
      <w:pPr>
        <w:spacing w:line="240" w:lineRule="auto"/>
        <w:ind w:firstLine="640"/>
        <w:jc w:val="both"/>
      </w:pPr>
    </w:p>
    <w:p w14:paraId="3BB6F22A">
      <w:pPr>
        <w:spacing w:line="240" w:lineRule="auto"/>
        <w:ind w:firstLine="640"/>
        <w:jc w:val="both"/>
      </w:pPr>
    </w:p>
    <w:p w14:paraId="7B8E8CBB">
      <w:pPr>
        <w:spacing w:line="240" w:lineRule="auto"/>
        <w:ind w:firstLine="640"/>
        <w:jc w:val="both"/>
      </w:pPr>
    </w:p>
    <w:p w14:paraId="7F4B8DDD">
      <w:pPr>
        <w:spacing w:line="240" w:lineRule="auto"/>
        <w:ind w:firstLine="640"/>
        <w:jc w:val="both"/>
      </w:pPr>
    </w:p>
    <w:p w14:paraId="1628A81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DD5E7F-D19C-4449-BD77-22490CAD59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53D341C-8EC9-4A4E-ADD7-2A56B0804F2B}"/>
  </w:font>
  <w:font w:name="仿宋_GB2312">
    <w:panose1 w:val="02010609030101010101"/>
    <w:charset w:val="86"/>
    <w:family w:val="modern"/>
    <w:pitch w:val="default"/>
    <w:sig w:usb0="00000001" w:usb1="080E0000" w:usb2="00000000" w:usb3="00000000" w:csb0="00040000" w:csb1="00000000"/>
    <w:embedRegular r:id="rId3" w:fontKey="{438079DC-75A9-4A5A-8061-2997FEEA9862}"/>
  </w:font>
  <w:font w:name="楷体_GB2312">
    <w:panose1 w:val="02010609030101010101"/>
    <w:charset w:val="86"/>
    <w:family w:val="auto"/>
    <w:pitch w:val="default"/>
    <w:sig w:usb0="00000001" w:usb1="080E0000" w:usb2="00000000" w:usb3="00000000" w:csb0="00040000" w:csb1="00000000"/>
    <w:embedRegular r:id="rId4" w:fontKey="{BEDE6261-351B-4A90-B650-009AD4AC3BA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F527E3"/>
    <w:rsid w:val="464B7E04"/>
    <w:rsid w:val="464F7E64"/>
    <w:rsid w:val="46901EEE"/>
    <w:rsid w:val="469C74D2"/>
    <w:rsid w:val="47445515"/>
    <w:rsid w:val="4B4C0111"/>
    <w:rsid w:val="4BB23021"/>
    <w:rsid w:val="4D7C220F"/>
    <w:rsid w:val="4F3F074E"/>
    <w:rsid w:val="50DB5F45"/>
    <w:rsid w:val="52F92565"/>
    <w:rsid w:val="543D17CB"/>
    <w:rsid w:val="55DA564E"/>
    <w:rsid w:val="560F52A7"/>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4283</Words>
  <Characters>4829</Characters>
  <Lines>0</Lines>
  <Paragraphs>0</Paragraphs>
  <TotalTime>2</TotalTime>
  <ScaleCrop>false</ScaleCrop>
  <LinksUpToDate>false</LinksUpToDate>
  <CharactersWithSpaces>4837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2025-09-25T03:20:07Z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