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民丰县职业技术学校2024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9F44559">
      <w:r>
        <w:br w:type="page"/>
      </w:r>
    </w:p>
    <w:p w14:paraId="17C05FA4">
      <w:pPr>
        <w:spacing w:line="640" w:lineRule="exact"/>
        <w:jc w:val="center"/>
        <w:outlineLvl w:val="1"/>
      </w:pPr>
      <w:r>
        <w:rPr>
          <w:rFonts w:ascii="黑体" w:hAnsi="黑体" w:eastAsia="黑体"/>
          <w:sz w:val="32"/>
        </w:rPr>
        <w:t>第一部分 单位概况</w:t>
      </w:r>
    </w:p>
    <w:p w14:paraId="08DEEB79">
      <w:pPr>
        <w:spacing w:line="640" w:lineRule="exact"/>
        <w:ind w:firstLine="640"/>
        <w:jc w:val="both"/>
        <w:outlineLvl w:val="2"/>
      </w:pPr>
      <w:r>
        <w:rPr>
          <w:rFonts w:ascii="黑体" w:hAnsi="黑体" w:eastAsia="黑体"/>
          <w:sz w:val="32"/>
        </w:rPr>
        <w:t>一、主要职能</w:t>
      </w:r>
    </w:p>
    <w:p w14:paraId="1CCC0B41">
      <w:pPr>
        <w:spacing w:line="580" w:lineRule="exact"/>
        <w:ind w:firstLine="640"/>
        <w:jc w:val="both"/>
      </w:pPr>
      <w:r>
        <w:rPr>
          <w:rFonts w:ascii="仿宋_GB2312" w:hAnsi="仿宋_GB2312" w:eastAsia="仿宋_GB2312"/>
          <w:sz w:val="32"/>
        </w:rPr>
        <w:t>民丰县职业技术学校为中等职业教育阶段学校，主要是根据党的教育方针落实教育教学工作任务，业务范围是职业高中教育、教师继续教育培训、上报职称评定、上报教师资格认定、进行职业教育教学、安排计算机培训、招聘教师、学校思想政治工作、</w:t>
      </w:r>
      <w:r>
        <w:rPr>
          <w:rFonts w:hint="eastAsia" w:ascii="仿宋_GB2312" w:hAnsi="仿宋_GB2312" w:eastAsia="仿宋_GB2312"/>
          <w:sz w:val="32"/>
          <w:lang w:eastAsia="zh-CN"/>
        </w:rPr>
        <w:t>WW</w:t>
      </w:r>
      <w:r>
        <w:rPr>
          <w:rFonts w:ascii="仿宋_GB2312" w:hAnsi="仿宋_GB2312" w:eastAsia="仿宋_GB2312"/>
          <w:sz w:val="32"/>
        </w:rPr>
        <w:t>工作、党建工作等日常工作。</w:t>
      </w:r>
    </w:p>
    <w:p w14:paraId="00DEF1A2">
      <w:pPr>
        <w:spacing w:line="640" w:lineRule="exact"/>
        <w:ind w:firstLine="640"/>
        <w:jc w:val="both"/>
        <w:outlineLvl w:val="2"/>
      </w:pPr>
      <w:r>
        <w:rPr>
          <w:rFonts w:ascii="黑体" w:hAnsi="黑体" w:eastAsia="黑体"/>
          <w:sz w:val="32"/>
        </w:rPr>
        <w:t>二、机构设置及人员情况</w:t>
      </w:r>
    </w:p>
    <w:p w14:paraId="40B63D7B">
      <w:pPr>
        <w:spacing w:line="580" w:lineRule="exact"/>
        <w:ind w:firstLine="640"/>
        <w:jc w:val="both"/>
      </w:pPr>
      <w:r>
        <w:rPr>
          <w:rFonts w:ascii="仿宋_GB2312" w:hAnsi="仿宋_GB2312" w:eastAsia="仿宋_GB2312"/>
          <w:sz w:val="32"/>
        </w:rPr>
        <w:t>民丰县职业技术学校2024年度，实有人数40人，其中：在职人员28人，减少1人；离休人员0人，增加0人；退休人员12人,增加0人。</w:t>
      </w:r>
    </w:p>
    <w:p w14:paraId="1283B482">
      <w:pPr>
        <w:spacing w:line="580" w:lineRule="exact"/>
        <w:ind w:firstLine="640"/>
        <w:jc w:val="both"/>
      </w:pPr>
      <w:r>
        <w:rPr>
          <w:rFonts w:ascii="仿宋_GB2312" w:hAnsi="仿宋_GB2312" w:eastAsia="仿宋_GB2312"/>
          <w:sz w:val="32"/>
        </w:rPr>
        <w:t>民丰县职业技术学校无下属预算单位，下设6个科室，分别是：党建办、校长办公室、教务室、德育办、校安办、财务室。</w:t>
      </w:r>
    </w:p>
    <w:p w14:paraId="4FD2221A">
      <w:r>
        <w:br w:type="page"/>
      </w:r>
    </w:p>
    <w:p w14:paraId="3A42AC68">
      <w:pPr>
        <w:spacing w:line="240" w:lineRule="auto"/>
        <w:jc w:val="center"/>
        <w:outlineLvl w:val="1"/>
      </w:pPr>
      <w:r>
        <w:rPr>
          <w:rFonts w:ascii="黑体" w:hAnsi="黑体" w:eastAsia="黑体"/>
          <w:sz w:val="32"/>
        </w:rPr>
        <w:t>第二部分 部门决算情况说明</w:t>
      </w:r>
    </w:p>
    <w:p w14:paraId="7B8214D5">
      <w:pPr>
        <w:spacing w:line="640" w:lineRule="exact"/>
        <w:ind w:firstLine="640"/>
        <w:jc w:val="both"/>
        <w:outlineLvl w:val="2"/>
      </w:pPr>
      <w:r>
        <w:rPr>
          <w:rFonts w:ascii="黑体" w:hAnsi="黑体" w:eastAsia="黑体"/>
          <w:sz w:val="32"/>
        </w:rPr>
        <w:t>一、收入支出决算总体情况说明</w:t>
      </w:r>
    </w:p>
    <w:p w14:paraId="24996A85">
      <w:pPr>
        <w:spacing w:line="580" w:lineRule="exact"/>
        <w:ind w:firstLine="640"/>
        <w:jc w:val="both"/>
      </w:pPr>
      <w:r>
        <w:rPr>
          <w:rFonts w:ascii="仿宋_GB2312" w:hAnsi="仿宋_GB2312" w:eastAsia="仿宋_GB2312"/>
          <w:b/>
          <w:sz w:val="32"/>
        </w:rPr>
        <w:t>2024年度收入总计1,061.42万元，</w:t>
      </w:r>
      <w:r>
        <w:rPr>
          <w:rFonts w:ascii="仿宋_GB2312" w:hAnsi="仿宋_GB2312" w:eastAsia="仿宋_GB2312"/>
          <w:b w:val="0"/>
          <w:sz w:val="32"/>
        </w:rPr>
        <w:t>其中：本年收入合计1,061.42万元，使用非财政拨款结余（含专用结余）0.00万元，年初结转和结余0.00万元。</w:t>
      </w:r>
    </w:p>
    <w:p w14:paraId="1BD45C57">
      <w:pPr>
        <w:spacing w:line="580" w:lineRule="exact"/>
        <w:ind w:firstLine="640"/>
        <w:jc w:val="both"/>
      </w:pPr>
      <w:r>
        <w:rPr>
          <w:rFonts w:ascii="仿宋_GB2312" w:hAnsi="仿宋_GB2312" w:eastAsia="仿宋_GB2312"/>
          <w:b/>
          <w:sz w:val="32"/>
        </w:rPr>
        <w:t>2024年度支出总计1,061.42万元，</w:t>
      </w:r>
      <w:r>
        <w:rPr>
          <w:rFonts w:ascii="仿宋_GB2312" w:hAnsi="仿宋_GB2312" w:eastAsia="仿宋_GB2312"/>
          <w:b w:val="0"/>
          <w:sz w:val="32"/>
        </w:rPr>
        <w:t>其中：本年支出合计1,061.34万元，结余分配0.00万元，年末结转和结余0.08万元。</w:t>
      </w:r>
    </w:p>
    <w:p w14:paraId="310EA1FF">
      <w:pPr>
        <w:spacing w:line="580" w:lineRule="exact"/>
        <w:ind w:firstLine="640"/>
        <w:jc w:val="both"/>
      </w:pPr>
      <w:r>
        <w:rPr>
          <w:rFonts w:ascii="仿宋_GB2312" w:hAnsi="仿宋_GB2312" w:eastAsia="仿宋_GB2312"/>
          <w:b w:val="0"/>
          <w:sz w:val="32"/>
        </w:rPr>
        <w:t>收入支出总体与上年相比，增加94.02万元，增长9.72%，主要原因是：本年职业教育质量提升资金项目和地方教育附加项目较上年增加。</w:t>
      </w:r>
      <w:r>
        <w:rPr>
          <w:rFonts w:hint="eastAsia" w:ascii="仿宋_GB2312" w:hAnsi="仿宋_GB2312" w:eastAsia="仿宋_GB2312"/>
          <w:b w:val="0"/>
          <w:sz w:val="32"/>
          <w:lang w:val="en-US" w:eastAsia="zh-CN"/>
        </w:rPr>
        <w:t>增加</w:t>
      </w:r>
      <w:r>
        <w:rPr>
          <w:rFonts w:hint="eastAsia" w:ascii="仿宋_GB2312" w:hAnsi="仿宋_GB2312" w:eastAsia="仿宋_GB2312"/>
          <w:b w:val="0"/>
          <w:sz w:val="32"/>
        </w:rPr>
        <w:t>财政局拨付存量资金用于支付公用经费</w:t>
      </w:r>
    </w:p>
    <w:p w14:paraId="43E0E23E">
      <w:pPr>
        <w:spacing w:line="640" w:lineRule="exact"/>
        <w:ind w:firstLine="640"/>
        <w:jc w:val="both"/>
        <w:outlineLvl w:val="2"/>
      </w:pPr>
      <w:r>
        <w:rPr>
          <w:rFonts w:ascii="黑体" w:hAnsi="黑体" w:eastAsia="黑体"/>
          <w:sz w:val="32"/>
        </w:rPr>
        <w:t>二、收入决算情况说明</w:t>
      </w:r>
    </w:p>
    <w:p w14:paraId="54400447">
      <w:pPr>
        <w:spacing w:line="580" w:lineRule="exact"/>
        <w:ind w:firstLine="640"/>
        <w:jc w:val="both"/>
      </w:pPr>
      <w:r>
        <w:rPr>
          <w:rFonts w:ascii="仿宋_GB2312" w:hAnsi="仿宋_GB2312" w:eastAsia="仿宋_GB2312"/>
          <w:b/>
          <w:sz w:val="32"/>
        </w:rPr>
        <w:t>本年收入1,061.42万元，</w:t>
      </w:r>
      <w:r>
        <w:rPr>
          <w:rFonts w:ascii="仿宋_GB2312" w:hAnsi="仿宋_GB2312" w:eastAsia="仿宋_GB2312"/>
          <w:b w:val="0"/>
          <w:sz w:val="32"/>
        </w:rPr>
        <w:t>其中：财政拨款收入1,025.98万元，占96.66%；上级补助收入0.00万元，占0.00%；事业收入0.00万元，占0.00%；经营收入0.00万元，占0.00%；附属单位上缴收入0.00万元，占0.00%；其他收入35.44万元，占3.34%。</w:t>
      </w:r>
    </w:p>
    <w:p w14:paraId="2D82E6C0">
      <w:pPr>
        <w:spacing w:line="640" w:lineRule="exact"/>
        <w:ind w:firstLine="640"/>
        <w:jc w:val="both"/>
        <w:outlineLvl w:val="2"/>
      </w:pPr>
      <w:r>
        <w:rPr>
          <w:rFonts w:ascii="黑体" w:hAnsi="黑体" w:eastAsia="黑体"/>
          <w:sz w:val="32"/>
        </w:rPr>
        <w:t>三、支出决算情况说明</w:t>
      </w:r>
    </w:p>
    <w:p w14:paraId="38E09C2F">
      <w:pPr>
        <w:spacing w:line="580" w:lineRule="exact"/>
        <w:ind w:firstLine="640"/>
        <w:jc w:val="both"/>
      </w:pPr>
      <w:r>
        <w:rPr>
          <w:rFonts w:ascii="仿宋_GB2312" w:hAnsi="仿宋_GB2312" w:eastAsia="仿宋_GB2312"/>
          <w:b/>
          <w:sz w:val="32"/>
        </w:rPr>
        <w:t>本年支出1,061.34万元，</w:t>
      </w:r>
      <w:r>
        <w:rPr>
          <w:rFonts w:ascii="仿宋_GB2312" w:hAnsi="仿宋_GB2312" w:eastAsia="仿宋_GB2312"/>
          <w:b w:val="0"/>
          <w:sz w:val="32"/>
        </w:rPr>
        <w:t>其中：基本支出571.25万元，占53.82%；项目支出490.09万元，占46.18%；上缴上级支出0.00万元，占0.00%；经营支出0.00万元，占0.00%；对附属单位补助支出0.00万元，占0.00%。</w:t>
      </w:r>
    </w:p>
    <w:p w14:paraId="68F39DD9">
      <w:pPr>
        <w:spacing w:line="640" w:lineRule="exact"/>
        <w:ind w:firstLine="640"/>
        <w:jc w:val="both"/>
        <w:outlineLvl w:val="2"/>
      </w:pPr>
      <w:r>
        <w:rPr>
          <w:rFonts w:ascii="黑体" w:hAnsi="黑体" w:eastAsia="黑体"/>
          <w:sz w:val="32"/>
        </w:rPr>
        <w:t>四、财政拨款收入支出决算总体情况说明</w:t>
      </w:r>
    </w:p>
    <w:p w14:paraId="2A4AB079">
      <w:pPr>
        <w:spacing w:line="580" w:lineRule="exact"/>
        <w:ind w:firstLine="640"/>
        <w:jc w:val="both"/>
      </w:pPr>
      <w:r>
        <w:rPr>
          <w:rFonts w:ascii="仿宋_GB2312" w:hAnsi="仿宋_GB2312" w:eastAsia="仿宋_GB2312"/>
          <w:b/>
          <w:sz w:val="32"/>
        </w:rPr>
        <w:t>2024年度财政拨款收入总计1,025.98万元，</w:t>
      </w:r>
      <w:r>
        <w:rPr>
          <w:rFonts w:ascii="仿宋_GB2312" w:hAnsi="仿宋_GB2312" w:eastAsia="仿宋_GB2312"/>
          <w:b w:val="0"/>
          <w:sz w:val="32"/>
        </w:rPr>
        <w:t>其中：年初财政拨款结转和结余0.00万元，本年财政拨款收入1,025.98万元。</w:t>
      </w:r>
      <w:r>
        <w:rPr>
          <w:rFonts w:ascii="仿宋_GB2312" w:hAnsi="仿宋_GB2312" w:eastAsia="仿宋_GB2312"/>
          <w:b/>
          <w:sz w:val="32"/>
        </w:rPr>
        <w:t>财政拨款支出总计1,025.98万元，</w:t>
      </w:r>
      <w:r>
        <w:rPr>
          <w:rFonts w:ascii="仿宋_GB2312" w:hAnsi="仿宋_GB2312" w:eastAsia="仿宋_GB2312"/>
          <w:b w:val="0"/>
          <w:sz w:val="32"/>
        </w:rPr>
        <w:t>其中：年末财政拨款结转和结余0.00万元，本年财政拨款支出1,025.98万元。</w:t>
      </w:r>
    </w:p>
    <w:p w14:paraId="7F8F7EE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增加58.67万元，增长6.07%，主要原因是：本年职业教育质量提升资金项目和地方教育附加项目较上年增加。</w:t>
      </w:r>
      <w:r>
        <w:rPr>
          <w:rFonts w:ascii="仿宋_GB2312" w:hAnsi="仿宋_GB2312" w:eastAsia="仿宋_GB2312"/>
          <w:b/>
          <w:sz w:val="32"/>
        </w:rPr>
        <w:t>与年初预算相比，</w:t>
      </w:r>
      <w:r>
        <w:rPr>
          <w:rFonts w:ascii="仿宋_GB2312" w:hAnsi="仿宋_GB2312" w:eastAsia="仿宋_GB2312"/>
          <w:b w:val="0"/>
          <w:sz w:val="32"/>
        </w:rPr>
        <w:t>年初预算数741.38万元，决算数1,025.98万元，预决算差异率38.39%，主要原因是：年中追加职业教育质量提升资金项目和地方教育附加项目，导致预决算存在差异。</w:t>
      </w:r>
    </w:p>
    <w:p w14:paraId="70CB8015">
      <w:pPr>
        <w:spacing w:line="640" w:lineRule="exact"/>
        <w:ind w:firstLine="640"/>
        <w:jc w:val="both"/>
        <w:outlineLvl w:val="2"/>
      </w:pPr>
      <w:r>
        <w:rPr>
          <w:rFonts w:ascii="黑体" w:hAnsi="黑体" w:eastAsia="黑体"/>
          <w:sz w:val="32"/>
        </w:rPr>
        <w:t>五、一般公共预算财政拨款支出决算情况说明</w:t>
      </w:r>
    </w:p>
    <w:p w14:paraId="062F1942">
      <w:pPr>
        <w:spacing w:line="640" w:lineRule="exact"/>
        <w:ind w:firstLine="640"/>
        <w:jc w:val="both"/>
        <w:outlineLvl w:val="3"/>
      </w:pPr>
      <w:r>
        <w:rPr>
          <w:rFonts w:ascii="楷体_GB2312" w:hAnsi="楷体_GB2312" w:eastAsia="楷体_GB2312"/>
          <w:b/>
          <w:sz w:val="32"/>
        </w:rPr>
        <w:t>（一）一般公共预算财政拨款支出决算总体情况</w:t>
      </w:r>
    </w:p>
    <w:p w14:paraId="33B6188A">
      <w:pPr>
        <w:spacing w:line="580" w:lineRule="exact"/>
        <w:ind w:firstLine="640"/>
        <w:jc w:val="both"/>
      </w:pPr>
      <w:r>
        <w:rPr>
          <w:rFonts w:ascii="仿宋_GB2312" w:hAnsi="仿宋_GB2312" w:eastAsia="仿宋_GB2312"/>
          <w:b/>
          <w:sz w:val="32"/>
        </w:rPr>
        <w:t>2024年度一般公共预算财政拨款支出1,025.98万元，</w:t>
      </w:r>
      <w:r>
        <w:rPr>
          <w:rFonts w:ascii="仿宋_GB2312" w:hAnsi="仿宋_GB2312" w:eastAsia="仿宋_GB2312"/>
          <w:b w:val="0"/>
          <w:sz w:val="32"/>
        </w:rPr>
        <w:t>占本年支出合计的96.67%。</w:t>
      </w:r>
      <w:r>
        <w:rPr>
          <w:rFonts w:ascii="仿宋_GB2312" w:hAnsi="仿宋_GB2312" w:eastAsia="仿宋_GB2312"/>
          <w:b/>
          <w:sz w:val="32"/>
        </w:rPr>
        <w:t>与上年相比，</w:t>
      </w:r>
      <w:r>
        <w:rPr>
          <w:rFonts w:ascii="仿宋_GB2312" w:hAnsi="仿宋_GB2312" w:eastAsia="仿宋_GB2312"/>
          <w:b w:val="0"/>
          <w:sz w:val="32"/>
        </w:rPr>
        <w:t>增加58.67万元，增长6.07%，主要原因是：本年职业教育质量提升资金项目和地方教育附加项目较上年增加。</w:t>
      </w:r>
      <w:r>
        <w:rPr>
          <w:rFonts w:ascii="仿宋_GB2312" w:hAnsi="仿宋_GB2312" w:eastAsia="仿宋_GB2312"/>
          <w:b/>
          <w:sz w:val="32"/>
        </w:rPr>
        <w:t>与年初预算相比,</w:t>
      </w:r>
      <w:r>
        <w:rPr>
          <w:rFonts w:ascii="仿宋_GB2312" w:hAnsi="仿宋_GB2312" w:eastAsia="仿宋_GB2312"/>
          <w:b w:val="0"/>
          <w:sz w:val="32"/>
        </w:rPr>
        <w:t>年初预算数741.38万元，决算数1,025.98万元，预决算差异率38.39%，主要原因是：年中追加职业教育质量提升资金项目和地方教育附加项目，导致预决算存在差异。</w:t>
      </w:r>
    </w:p>
    <w:p w14:paraId="5108E1B0">
      <w:pPr>
        <w:spacing w:line="640" w:lineRule="exact"/>
        <w:ind w:firstLine="640"/>
        <w:jc w:val="both"/>
        <w:outlineLvl w:val="3"/>
      </w:pPr>
      <w:r>
        <w:rPr>
          <w:rFonts w:ascii="楷体_GB2312" w:hAnsi="楷体_GB2312" w:eastAsia="楷体_GB2312"/>
          <w:b/>
          <w:sz w:val="32"/>
        </w:rPr>
        <w:t>（二）一般公共预算财政拨款支出决算结构情况</w:t>
      </w:r>
    </w:p>
    <w:p w14:paraId="6B0621A2">
      <w:pPr>
        <w:spacing w:line="580" w:lineRule="exact"/>
        <w:ind w:firstLine="640"/>
        <w:jc w:val="both"/>
      </w:pPr>
      <w:r>
        <w:rPr>
          <w:rFonts w:ascii="仿宋_GB2312" w:hAnsi="仿宋_GB2312" w:eastAsia="仿宋_GB2312"/>
          <w:b w:val="0"/>
          <w:sz w:val="32"/>
        </w:rPr>
        <w:t>1.教育支出(类)1,025.98万元,占100.00%。</w:t>
      </w:r>
    </w:p>
    <w:p w14:paraId="0D48FFC6">
      <w:pPr>
        <w:spacing w:line="640" w:lineRule="exact"/>
        <w:ind w:firstLine="640"/>
        <w:jc w:val="both"/>
        <w:outlineLvl w:val="3"/>
      </w:pPr>
      <w:r>
        <w:rPr>
          <w:rFonts w:ascii="楷体_GB2312" w:hAnsi="楷体_GB2312" w:eastAsia="楷体_GB2312"/>
          <w:b/>
          <w:sz w:val="32"/>
        </w:rPr>
        <w:t>（三）一般公共预算财政拨款支出决算具体情况</w:t>
      </w:r>
    </w:p>
    <w:p w14:paraId="747A9D9E">
      <w:pPr>
        <w:spacing w:line="580" w:lineRule="exact"/>
        <w:ind w:firstLine="640"/>
        <w:jc w:val="both"/>
      </w:pPr>
      <w:r>
        <w:rPr>
          <w:rFonts w:ascii="仿宋_GB2312" w:hAnsi="仿宋_GB2312" w:eastAsia="仿宋_GB2312"/>
          <w:b w:val="0"/>
          <w:sz w:val="32"/>
        </w:rPr>
        <w:t>1.教育支出(类)职业教育(款)中等职业教育(项):支出决算数为1,025.98万元，比上年决算增加98.85万元，增长10.66%,主要原因是：本年职业教育质量提升资金项目和地方教育附加项目较上年增加。</w:t>
      </w:r>
    </w:p>
    <w:p w14:paraId="450602E7">
      <w:pPr>
        <w:spacing w:line="580" w:lineRule="exact"/>
        <w:ind w:firstLine="640"/>
        <w:jc w:val="both"/>
      </w:pPr>
      <w:r>
        <w:rPr>
          <w:rFonts w:ascii="仿宋_GB2312" w:hAnsi="仿宋_GB2312" w:eastAsia="仿宋_GB2312"/>
          <w:b w:val="0"/>
          <w:sz w:val="32"/>
        </w:rPr>
        <w:t>2.教育支出(类)教育费附加安排的支出(款)中等职业学校教学设施(项):支出决算数为0.00万元，比上年决算减少40.18万元，下降100.00%,主要原因是：本年</w:t>
      </w:r>
      <w:r>
        <w:rPr>
          <w:rFonts w:hint="eastAsia" w:ascii="仿宋_GB2312" w:hAnsi="仿宋_GB2312" w:eastAsia="仿宋_GB2312"/>
          <w:b w:val="0"/>
          <w:sz w:val="32"/>
        </w:rPr>
        <w:t>民丰县职业技术学校地方教育附加</w:t>
      </w:r>
      <w:r>
        <w:rPr>
          <w:rFonts w:hint="eastAsia" w:ascii="仿宋_GB2312" w:hAnsi="仿宋_GB2312" w:eastAsia="仿宋_GB2312"/>
          <w:b w:val="0"/>
          <w:sz w:val="32"/>
          <w:lang w:val="en-US" w:eastAsia="zh-CN"/>
        </w:rPr>
        <w:t>费调整至中等职业教育科目列支</w:t>
      </w:r>
      <w:r>
        <w:rPr>
          <w:rFonts w:ascii="仿宋_GB2312" w:hAnsi="仿宋_GB2312" w:eastAsia="仿宋_GB2312"/>
          <w:b w:val="0"/>
          <w:sz w:val="32"/>
        </w:rPr>
        <w:t>。</w:t>
      </w:r>
    </w:p>
    <w:p w14:paraId="1A352115">
      <w:pPr>
        <w:spacing w:line="640" w:lineRule="exact"/>
        <w:ind w:firstLine="640"/>
        <w:jc w:val="both"/>
        <w:outlineLvl w:val="2"/>
      </w:pPr>
      <w:r>
        <w:rPr>
          <w:rFonts w:ascii="黑体" w:hAnsi="黑体" w:eastAsia="黑体"/>
          <w:sz w:val="32"/>
        </w:rPr>
        <w:t>六、一般公共预算财政拨款基本支出决算情况说明</w:t>
      </w:r>
    </w:p>
    <w:p w14:paraId="34B840F3">
      <w:pPr>
        <w:spacing w:line="580" w:lineRule="exact"/>
        <w:ind w:firstLine="640"/>
        <w:jc w:val="both"/>
      </w:pPr>
      <w:r>
        <w:rPr>
          <w:rFonts w:ascii="仿宋_GB2312" w:hAnsi="仿宋_GB2312" w:eastAsia="仿宋_GB2312"/>
          <w:b w:val="0"/>
          <w:sz w:val="32"/>
        </w:rPr>
        <w:t>2024年度一般公共预算财政拨款基本支出571.17万元，其中：</w:t>
      </w:r>
      <w:r>
        <w:rPr>
          <w:rFonts w:ascii="仿宋_GB2312" w:hAnsi="仿宋_GB2312" w:eastAsia="仿宋_GB2312"/>
          <w:b/>
          <w:sz w:val="32"/>
        </w:rPr>
        <w:t>人员经费571.17万元，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6DC7535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6748770">
      <w:pPr>
        <w:spacing w:line="640" w:lineRule="exact"/>
        <w:ind w:firstLine="640"/>
        <w:jc w:val="both"/>
        <w:outlineLvl w:val="2"/>
      </w:pPr>
      <w:r>
        <w:rPr>
          <w:rFonts w:ascii="黑体" w:hAnsi="黑体" w:eastAsia="黑体"/>
          <w:sz w:val="32"/>
        </w:rPr>
        <w:t>七、政府性基金预算财政拨款收入支出决算情况说明</w:t>
      </w:r>
    </w:p>
    <w:p w14:paraId="350BAAF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68E222">
      <w:pPr>
        <w:spacing w:line="640" w:lineRule="exact"/>
        <w:ind w:firstLine="640"/>
        <w:jc w:val="both"/>
        <w:outlineLvl w:val="2"/>
      </w:pPr>
      <w:r>
        <w:rPr>
          <w:rFonts w:ascii="黑体" w:hAnsi="黑体" w:eastAsia="黑体"/>
          <w:sz w:val="32"/>
        </w:rPr>
        <w:t>八、国有资本经营预算财政拨款收入支出决算情况说明</w:t>
      </w:r>
    </w:p>
    <w:p w14:paraId="13ACB40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83A28A">
      <w:pPr>
        <w:spacing w:line="640" w:lineRule="exact"/>
        <w:ind w:firstLine="640"/>
        <w:jc w:val="both"/>
        <w:outlineLvl w:val="2"/>
      </w:pPr>
      <w:r>
        <w:rPr>
          <w:rFonts w:ascii="黑体" w:hAnsi="黑体" w:eastAsia="黑体"/>
          <w:sz w:val="32"/>
        </w:rPr>
        <w:t>九、财政拨款“三公”经费支出决算情况说明</w:t>
      </w:r>
    </w:p>
    <w:p w14:paraId="54F02C3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FA350BA">
      <w:pPr>
        <w:spacing w:line="580" w:lineRule="exact"/>
        <w:ind w:firstLine="640"/>
        <w:jc w:val="both"/>
      </w:pPr>
      <w:r>
        <w:rPr>
          <w:rFonts w:ascii="仿宋_GB2312" w:hAnsi="仿宋_GB2312" w:eastAsia="仿宋_GB2312"/>
          <w:b/>
          <w:sz w:val="32"/>
        </w:rPr>
        <w:t>具体情况如下：</w:t>
      </w:r>
    </w:p>
    <w:p w14:paraId="347EDDC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95D02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1BDB9A0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9D29C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6C53186">
      <w:pPr>
        <w:spacing w:line="640" w:lineRule="exact"/>
        <w:ind w:firstLine="640"/>
        <w:jc w:val="both"/>
        <w:outlineLvl w:val="2"/>
      </w:pPr>
      <w:r>
        <w:rPr>
          <w:rFonts w:ascii="黑体" w:hAnsi="黑体" w:eastAsia="黑体"/>
          <w:sz w:val="32"/>
        </w:rPr>
        <w:t>十、其他重要事项的情况说明</w:t>
      </w:r>
    </w:p>
    <w:p w14:paraId="1D0916B2">
      <w:pPr>
        <w:spacing w:line="640" w:lineRule="exact"/>
        <w:ind w:firstLine="640"/>
        <w:jc w:val="both"/>
        <w:outlineLvl w:val="3"/>
      </w:pPr>
      <w:r>
        <w:rPr>
          <w:rFonts w:ascii="楷体_GB2312" w:hAnsi="楷体_GB2312" w:eastAsia="楷体_GB2312"/>
          <w:b/>
          <w:sz w:val="32"/>
        </w:rPr>
        <w:t>（一）机关运行经费及公用经费支出情况</w:t>
      </w:r>
    </w:p>
    <w:p w14:paraId="4B8BCE07">
      <w:pPr>
        <w:spacing w:line="580" w:lineRule="exact"/>
        <w:ind w:firstLine="640"/>
        <w:jc w:val="both"/>
      </w:pPr>
      <w:r>
        <w:rPr>
          <w:rFonts w:ascii="仿宋_GB2312" w:hAnsi="仿宋_GB2312" w:eastAsia="仿宋_GB2312"/>
          <w:b w:val="0"/>
          <w:sz w:val="32"/>
        </w:rPr>
        <w:t>2024年度民丰县职业技术学校（事业单位）公用经费支出0.00万元，比上年增加0.00万元，增长0.00%，主要原因是：2023年与2024年均未安排公用经费支出。</w:t>
      </w:r>
    </w:p>
    <w:p w14:paraId="185AB6E9">
      <w:pPr>
        <w:spacing w:line="640" w:lineRule="exact"/>
        <w:ind w:firstLine="640"/>
        <w:jc w:val="both"/>
        <w:outlineLvl w:val="3"/>
      </w:pPr>
      <w:r>
        <w:rPr>
          <w:rFonts w:ascii="楷体_GB2312" w:hAnsi="楷体_GB2312" w:eastAsia="楷体_GB2312"/>
          <w:b/>
          <w:sz w:val="32"/>
        </w:rPr>
        <w:t>（二）政府采购情况</w:t>
      </w:r>
    </w:p>
    <w:p w14:paraId="47D06395">
      <w:pPr>
        <w:spacing w:line="580" w:lineRule="exact"/>
        <w:ind w:firstLine="640"/>
        <w:jc w:val="both"/>
      </w:pPr>
      <w:r>
        <w:rPr>
          <w:rFonts w:ascii="仿宋_GB2312" w:hAnsi="仿宋_GB2312" w:eastAsia="仿宋_GB2312"/>
          <w:b w:val="0"/>
          <w:sz w:val="32"/>
        </w:rPr>
        <w:t>2024年度政府采购支出总额239.31万元，其中：政府采购货物支出221.61万元、政府采购工程支出0.00万元、政府采购服务支出17.70万元。</w:t>
      </w:r>
    </w:p>
    <w:p w14:paraId="0DD28FBF">
      <w:pPr>
        <w:spacing w:line="580" w:lineRule="exact"/>
        <w:ind w:firstLine="640"/>
        <w:jc w:val="both"/>
      </w:pPr>
      <w:r>
        <w:rPr>
          <w:rFonts w:ascii="仿宋_GB2312" w:hAnsi="仿宋_GB2312" w:eastAsia="仿宋_GB2312"/>
          <w:b w:val="0"/>
          <w:sz w:val="32"/>
        </w:rPr>
        <w:t>授予中小企业合同金额239.31万元，占政府采购支出总额的100.00%，其中：授予小微企业合同金额239.31万元，占政府采购支出总额的100.00%。</w:t>
      </w:r>
    </w:p>
    <w:p w14:paraId="314CF8E8">
      <w:pPr>
        <w:spacing w:line="640" w:lineRule="exact"/>
        <w:ind w:firstLine="640"/>
        <w:jc w:val="both"/>
        <w:outlineLvl w:val="3"/>
      </w:pPr>
      <w:r>
        <w:rPr>
          <w:rFonts w:ascii="楷体_GB2312" w:hAnsi="楷体_GB2312" w:eastAsia="楷体_GB2312"/>
          <w:b/>
          <w:sz w:val="32"/>
        </w:rPr>
        <w:t>（三）国有资产占用情况说明</w:t>
      </w:r>
    </w:p>
    <w:p w14:paraId="0BA6D048">
      <w:pPr>
        <w:spacing w:line="580" w:lineRule="exact"/>
        <w:ind w:firstLine="640"/>
        <w:jc w:val="both"/>
      </w:pPr>
      <w:r>
        <w:rPr>
          <w:rFonts w:ascii="仿宋_GB2312" w:hAnsi="仿宋_GB2312" w:eastAsia="仿宋_GB2312"/>
          <w:b w:val="0"/>
          <w:sz w:val="32"/>
        </w:rPr>
        <w:t>截至2024年12月31日，房屋14,125.66平方米，价值2,471.87万元。车辆1辆，价值13.41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57F0F08">
      <w:pPr>
        <w:spacing w:line="640" w:lineRule="exact"/>
        <w:ind w:firstLine="640"/>
        <w:jc w:val="both"/>
        <w:outlineLvl w:val="2"/>
      </w:pPr>
      <w:r>
        <w:rPr>
          <w:rFonts w:ascii="黑体" w:hAnsi="黑体" w:eastAsia="黑体"/>
          <w:sz w:val="32"/>
        </w:rPr>
        <w:t>十一、预算绩效的情况说明</w:t>
      </w:r>
    </w:p>
    <w:p w14:paraId="1459712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1,061.42万元，实际执行总额1,061.34万元；预算绩效评价项目3个，全年预算数56.88万元，全年执行数54.59万元。预算绩效管理取得的成效：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效果；严格按照工作职责和相关文件依据，确保专款专用。发现的问题及原因：对个别项目资金使用方面预算不够细致，出现实际支出数超出了预算申报数和出现项目资金</w:t>
      </w:r>
      <w:r>
        <w:rPr>
          <w:rFonts w:hint="eastAsia" w:ascii="仿宋_GB2312" w:hAnsi="仿宋_GB2312" w:eastAsia="仿宋_GB2312"/>
          <w:b w:val="0"/>
          <w:sz w:val="32"/>
          <w:lang w:eastAsia="zh-CN"/>
        </w:rPr>
        <w:t>结余</w:t>
      </w:r>
      <w:r>
        <w:rPr>
          <w:rFonts w:ascii="仿宋_GB2312" w:hAnsi="仿宋_GB2312" w:eastAsia="仿宋_GB2312"/>
          <w:b w:val="0"/>
          <w:sz w:val="32"/>
        </w:rPr>
        <w:t>数额多的情况。下一步改进措施：（一）加强新行政单位会计制度和新预算法学习培训，规范账务处理，</w:t>
      </w:r>
      <w:r>
        <w:rPr>
          <w:rFonts w:hint="eastAsia" w:ascii="仿宋_GB2312" w:hAnsi="仿宋_GB2312" w:eastAsia="仿宋_GB2312"/>
          <w:b w:val="0"/>
          <w:sz w:val="32"/>
          <w:lang w:eastAsia="zh-CN"/>
        </w:rPr>
        <w:t>加强</w:t>
      </w:r>
      <w:r>
        <w:rPr>
          <w:rFonts w:ascii="仿宋_GB2312" w:hAnsi="仿宋_GB2312" w:eastAsia="仿宋_GB2312"/>
          <w:b w:val="0"/>
          <w:sz w:val="32"/>
        </w:rPr>
        <w:t>《中华人民共和国预算法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单位预算收支核算。制定和完善基本支出、项目支出等各项支出标准,严格按项目和进度执行预算,增强预算的约束力和严肃性；落实预算执行分析,及时了解预算执行差异,合理调整、纠正预算执行偏差，切实提高单位预算收支管理水平。尽可能地做到决算与预算相衔接。（二）完善管理制度,进一步加强资产管理。严格按照《固定资产管理办法》的规定加强固定资产管理,及时登记、更新台账，加强资产卡片管理,对各类实物资产进行全面盘点,确保账账、账实相符。具体附整体支出绩效自评表，项目支出绩效自评表和评价报告。</w:t>
      </w:r>
    </w:p>
    <w:p w14:paraId="345FBAE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08A7CD1">
        <w:tblPrEx>
          <w:tblCellMar>
            <w:top w:w="0" w:type="dxa"/>
            <w:left w:w="108" w:type="dxa"/>
            <w:bottom w:w="0" w:type="dxa"/>
            <w:right w:w="108" w:type="dxa"/>
          </w:tblCellMar>
        </w:tblPrEx>
        <w:tc>
          <w:tcPr>
            <w:tcW w:w="8847" w:type="dxa"/>
            <w:gridSpan w:val="9"/>
            <w:vAlign w:val="center"/>
          </w:tcPr>
          <w:p w14:paraId="5EA3AE0C">
            <w:pPr>
              <w:jc w:val="center"/>
            </w:pPr>
            <w:r>
              <w:rPr>
                <w:rFonts w:ascii="宋体" w:hAnsi="宋体" w:eastAsia="宋体"/>
                <w:sz w:val="24"/>
              </w:rPr>
              <w:t>单位整体支出绩效自评表</w:t>
            </w:r>
          </w:p>
        </w:tc>
      </w:tr>
      <w:tr w14:paraId="20B9E795">
        <w:tblPrEx>
          <w:tblCellMar>
            <w:top w:w="0" w:type="dxa"/>
            <w:left w:w="108" w:type="dxa"/>
            <w:bottom w:w="0" w:type="dxa"/>
            <w:right w:w="108" w:type="dxa"/>
          </w:tblCellMar>
        </w:tblPrEx>
        <w:tc>
          <w:tcPr>
            <w:tcW w:w="8847" w:type="dxa"/>
            <w:gridSpan w:val="9"/>
            <w:vAlign w:val="center"/>
          </w:tcPr>
          <w:p w14:paraId="234D580D">
            <w:pPr>
              <w:jc w:val="center"/>
            </w:pPr>
            <w:r>
              <w:rPr>
                <w:rFonts w:ascii="宋体" w:hAnsi="宋体" w:eastAsia="宋体"/>
                <w:sz w:val="24"/>
              </w:rPr>
              <w:t>（2024年度）</w:t>
            </w:r>
          </w:p>
        </w:tc>
      </w:tr>
      <w:tr w14:paraId="03DBEE8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C200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7DE3466">
            <w:pPr>
              <w:jc w:val="center"/>
            </w:pPr>
            <w:r>
              <w:rPr>
                <w:rFonts w:ascii="宋体" w:hAnsi="宋体" w:eastAsia="宋体"/>
                <w:sz w:val="16"/>
              </w:rPr>
              <w:t>民丰县职业技术学校</w:t>
            </w:r>
          </w:p>
        </w:tc>
      </w:tr>
      <w:tr w14:paraId="6BBB97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7DBCF">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A1D1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EA3F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7F21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D348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9A2C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B5C3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B3CBD">
            <w:pPr>
              <w:jc w:val="center"/>
            </w:pPr>
            <w:r>
              <w:rPr>
                <w:rFonts w:ascii="宋体" w:hAnsi="宋体" w:eastAsia="宋体"/>
                <w:sz w:val="16"/>
              </w:rPr>
              <w:t>得分</w:t>
            </w:r>
          </w:p>
        </w:tc>
      </w:tr>
      <w:tr w14:paraId="6DFFB2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2AE3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88445">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F5328">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41A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69769">
            <w:pPr>
              <w:jc w:val="center"/>
            </w:pPr>
            <w:r>
              <w:rPr>
                <w:rFonts w:ascii="宋体" w:hAnsi="宋体" w:eastAsia="宋体"/>
                <w:sz w:val="16"/>
              </w:rPr>
              <w:t>454.81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DE2EE">
            <w:pPr>
              <w:jc w:val="center"/>
            </w:pPr>
            <w:r>
              <w:rPr>
                <w:rFonts w:ascii="宋体" w:hAnsi="宋体" w:eastAsia="宋体"/>
                <w:sz w:val="16"/>
              </w:rPr>
              <w:t>454.81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A00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A59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1F91D">
            <w:pPr>
              <w:jc w:val="center"/>
            </w:pPr>
            <w:r>
              <w:rPr>
                <w:rFonts w:ascii="宋体" w:hAnsi="宋体" w:eastAsia="宋体"/>
                <w:sz w:val="16"/>
              </w:rPr>
              <w:t>-</w:t>
            </w:r>
          </w:p>
        </w:tc>
      </w:tr>
      <w:tr w14:paraId="6A3003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8B17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04E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AEB5E">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15BC2">
            <w:pPr>
              <w:jc w:val="center"/>
            </w:pPr>
            <w:r>
              <w:rPr>
                <w:rFonts w:ascii="宋体" w:hAnsi="宋体" w:eastAsia="宋体"/>
                <w:sz w:val="16"/>
              </w:rPr>
              <w:t>741.38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A8825">
            <w:pPr>
              <w:jc w:val="center"/>
            </w:pPr>
            <w:r>
              <w:rPr>
                <w:rFonts w:ascii="宋体" w:hAnsi="宋体" w:eastAsia="宋体"/>
                <w:sz w:val="16"/>
              </w:rPr>
              <w:t>571.33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ACA3C">
            <w:pPr>
              <w:jc w:val="center"/>
            </w:pPr>
            <w:r>
              <w:rPr>
                <w:rFonts w:ascii="宋体" w:hAnsi="宋体" w:eastAsia="宋体"/>
                <w:sz w:val="16"/>
              </w:rPr>
              <w:t>571.25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BDC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EC8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CB100">
            <w:pPr>
              <w:jc w:val="center"/>
            </w:pPr>
            <w:r>
              <w:rPr>
                <w:rFonts w:ascii="宋体" w:hAnsi="宋体" w:eastAsia="宋体"/>
                <w:sz w:val="16"/>
              </w:rPr>
              <w:t>-</w:t>
            </w:r>
          </w:p>
        </w:tc>
      </w:tr>
      <w:tr w14:paraId="1FCBCE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22A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2DE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0DE06">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215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AA4C1">
            <w:pPr>
              <w:jc w:val="center"/>
            </w:pPr>
            <w:r>
              <w:rPr>
                <w:rFonts w:ascii="宋体" w:hAnsi="宋体" w:eastAsia="宋体"/>
                <w:sz w:val="16"/>
              </w:rPr>
              <w:t>35.28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61724">
            <w:pPr>
              <w:jc w:val="center"/>
            </w:pPr>
            <w:r>
              <w:rPr>
                <w:rFonts w:ascii="宋体" w:hAnsi="宋体" w:eastAsia="宋体"/>
                <w:sz w:val="16"/>
              </w:rPr>
              <w:t>35.28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E82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B8F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61987">
            <w:pPr>
              <w:jc w:val="center"/>
            </w:pPr>
            <w:r>
              <w:rPr>
                <w:rFonts w:ascii="宋体" w:hAnsi="宋体" w:eastAsia="宋体"/>
                <w:sz w:val="16"/>
              </w:rPr>
              <w:t>-</w:t>
            </w:r>
          </w:p>
        </w:tc>
      </w:tr>
      <w:tr w14:paraId="11CAAF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CFA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BF71E">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4A8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C9F3F">
            <w:pPr>
              <w:jc w:val="center"/>
            </w:pPr>
            <w:r>
              <w:rPr>
                <w:rFonts w:ascii="宋体" w:hAnsi="宋体" w:eastAsia="宋体"/>
                <w:sz w:val="16"/>
              </w:rPr>
              <w:t>741.38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F2793">
            <w:pPr>
              <w:jc w:val="center"/>
            </w:pPr>
            <w:r>
              <w:rPr>
                <w:rFonts w:ascii="宋体" w:hAnsi="宋体" w:eastAsia="宋体"/>
                <w:sz w:val="16"/>
              </w:rPr>
              <w:t>1,061.42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5F2BC">
            <w:pPr>
              <w:jc w:val="center"/>
            </w:pPr>
            <w:r>
              <w:rPr>
                <w:rFonts w:ascii="宋体" w:hAnsi="宋体" w:eastAsia="宋体"/>
                <w:sz w:val="16"/>
              </w:rPr>
              <w:t>1,061.34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A3A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9BCEC">
            <w:pPr>
              <w:jc w:val="center"/>
            </w:pPr>
            <w:r>
              <w:rPr>
                <w:rFonts w:ascii="宋体" w:hAnsi="宋体" w:eastAsia="宋体"/>
                <w:sz w:val="16"/>
              </w:rPr>
              <w:t>99.99%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7774C">
            <w:pPr>
              <w:jc w:val="center"/>
            </w:pPr>
            <w:r>
              <w:rPr>
                <w:rFonts w:ascii="宋体" w:hAnsi="宋体" w:eastAsia="宋体"/>
                <w:sz w:val="16"/>
              </w:rPr>
              <w:t>10</w:t>
            </w:r>
          </w:p>
        </w:tc>
      </w:tr>
      <w:tr w14:paraId="4D8D13B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0259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AF199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89C81F">
            <w:pPr>
              <w:jc w:val="center"/>
            </w:pPr>
            <w:r>
              <w:rPr>
                <w:rFonts w:ascii="宋体" w:hAnsi="宋体" w:eastAsia="宋体"/>
                <w:sz w:val="16"/>
              </w:rPr>
              <w:t>实际完成情况</w:t>
            </w:r>
          </w:p>
        </w:tc>
      </w:tr>
      <w:tr w14:paraId="56DD20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34EA4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4BF89F">
            <w:pPr>
              <w:jc w:val="both"/>
            </w:pPr>
            <w:r>
              <w:rPr>
                <w:rFonts w:ascii="宋体" w:hAnsi="宋体" w:eastAsia="宋体"/>
                <w:sz w:val="16"/>
              </w:rPr>
              <w:t xml:space="preserve">目标1：主要用于保障我县1所职业教育阶段学校的正常运转，学生人数458名，教师人数35人。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目标2：通过项目的实施，有效保障学校正常运转，同时</w:t>
            </w:r>
            <w:bookmarkStart w:id="0" w:name="_GoBack"/>
            <w:r>
              <w:rPr>
                <w:rFonts w:ascii="宋体" w:hAnsi="宋体" w:eastAsia="宋体"/>
                <w:sz w:val="16"/>
              </w:rPr>
              <w:t>提供给</w:t>
            </w:r>
            <w:bookmarkEnd w:id="0"/>
            <w:r>
              <w:rPr>
                <w:rFonts w:ascii="宋体" w:hAnsi="宋体" w:eastAsia="宋体"/>
                <w:sz w:val="16"/>
              </w:rPr>
              <w:t>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24FA47">
            <w:pPr>
              <w:jc w:val="both"/>
            </w:pPr>
            <w:r>
              <w:rPr>
                <w:rFonts w:ascii="宋体" w:hAnsi="宋体" w:eastAsia="宋体"/>
                <w:sz w:val="16"/>
              </w:rPr>
              <w:t>截至目前，截至2024年12月31日，我单位共计支出1061.34万元，预算执行率99.99%。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1181D23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CC25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00A0D">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EB55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B0B92">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267D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58E4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EE93C">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7A3E4">
            <w:pPr>
              <w:jc w:val="center"/>
            </w:pPr>
            <w:r>
              <w:rPr>
                <w:rFonts w:ascii="宋体" w:hAnsi="宋体" w:eastAsia="宋体"/>
                <w:sz w:val="16"/>
              </w:rPr>
              <w:t>得分</w:t>
            </w:r>
          </w:p>
        </w:tc>
      </w:tr>
      <w:tr w14:paraId="6D3308B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FD58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9DAA3">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26DB6">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6DA8C">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7E2B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2E13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06DBF">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1D693">
            <w:pPr>
              <w:jc w:val="center"/>
            </w:pPr>
            <w:r>
              <w:rPr>
                <w:rFonts w:ascii="宋体" w:hAnsi="宋体" w:eastAsia="宋体"/>
                <w:sz w:val="16"/>
              </w:rPr>
              <w:t>30</w:t>
            </w:r>
          </w:p>
        </w:tc>
      </w:tr>
      <w:tr w14:paraId="1A9C5C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9B4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4C3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2FA26">
            <w:pPr>
              <w:jc w:val="center"/>
            </w:pPr>
            <w:r>
              <w:rPr>
                <w:rFonts w:ascii="宋体" w:hAnsi="宋体" w:eastAsia="宋体"/>
                <w:sz w:val="16"/>
              </w:rPr>
              <w:t>学生教师人数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C939D">
            <w:pPr>
              <w:jc w:val="center"/>
            </w:pPr>
            <w:r>
              <w:rPr>
                <w:rFonts w:ascii="宋体" w:hAnsi="宋体" w:eastAsia="宋体"/>
                <w:sz w:val="16"/>
              </w:rPr>
              <w:t>&gt;=35人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0608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8D2A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A0740">
            <w:pPr>
              <w:jc w:val="center"/>
            </w:pPr>
            <w:r>
              <w:rPr>
                <w:rFonts w:ascii="宋体" w:hAnsi="宋体" w:eastAsia="宋体"/>
                <w:sz w:val="16"/>
              </w:rPr>
              <w:t>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706A6">
            <w:pPr>
              <w:jc w:val="center"/>
            </w:pPr>
            <w:r>
              <w:rPr>
                <w:rFonts w:ascii="宋体" w:hAnsi="宋体" w:eastAsia="宋体"/>
                <w:sz w:val="16"/>
              </w:rPr>
              <w:t>30</w:t>
            </w:r>
          </w:p>
        </w:tc>
      </w:tr>
      <w:tr w14:paraId="52B0EB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474C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C123C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86613">
            <w:pPr>
              <w:jc w:val="center"/>
            </w:pPr>
            <w:r>
              <w:rPr>
                <w:rFonts w:ascii="宋体" w:hAnsi="宋体" w:eastAsia="宋体"/>
                <w:sz w:val="16"/>
              </w:rPr>
              <w:t>学校学生人数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D82D5">
            <w:pPr>
              <w:jc w:val="center"/>
            </w:pPr>
            <w:r>
              <w:rPr>
                <w:rFonts w:ascii="宋体" w:hAnsi="宋体" w:eastAsia="宋体"/>
                <w:sz w:val="16"/>
              </w:rPr>
              <w:t>&gt;=458人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7A29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2CA6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8C838">
            <w:pPr>
              <w:jc w:val="center"/>
            </w:pPr>
            <w:r>
              <w:rPr>
                <w:rFonts w:ascii="宋体" w:hAnsi="宋体" w:eastAsia="宋体"/>
                <w:sz w:val="16"/>
              </w:rPr>
              <w:t>402人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170D3">
            <w:pPr>
              <w:jc w:val="center"/>
            </w:pPr>
            <w:r>
              <w:rPr>
                <w:rFonts w:ascii="宋体" w:hAnsi="宋体" w:eastAsia="宋体"/>
                <w:sz w:val="16"/>
              </w:rPr>
              <w:t>26</w:t>
            </w:r>
          </w:p>
        </w:tc>
      </w:tr>
    </w:tbl>
    <w:p w14:paraId="2BABE8E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18D825">
        <w:tblPrEx>
          <w:tblCellMar>
            <w:top w:w="0" w:type="dxa"/>
            <w:left w:w="108" w:type="dxa"/>
            <w:bottom w:w="0" w:type="dxa"/>
            <w:right w:w="108" w:type="dxa"/>
          </w:tblCellMar>
        </w:tblPrEx>
        <w:tc>
          <w:tcPr>
            <w:tcW w:w="8847" w:type="dxa"/>
            <w:gridSpan w:val="9"/>
            <w:vAlign w:val="center"/>
          </w:tcPr>
          <w:p w14:paraId="2878B8D2">
            <w:pPr>
              <w:jc w:val="center"/>
            </w:pPr>
            <w:r>
              <w:rPr>
                <w:rFonts w:ascii="宋体" w:hAnsi="宋体" w:eastAsia="宋体"/>
                <w:sz w:val="24"/>
              </w:rPr>
              <w:t>项目支出绩效自评表</w:t>
            </w:r>
          </w:p>
        </w:tc>
      </w:tr>
      <w:tr w14:paraId="5DCA1DE5">
        <w:tblPrEx>
          <w:tblCellMar>
            <w:top w:w="0" w:type="dxa"/>
            <w:left w:w="108" w:type="dxa"/>
            <w:bottom w:w="0" w:type="dxa"/>
            <w:right w:w="108" w:type="dxa"/>
          </w:tblCellMar>
        </w:tblPrEx>
        <w:tc>
          <w:tcPr>
            <w:tcW w:w="8847" w:type="dxa"/>
            <w:gridSpan w:val="9"/>
            <w:vAlign w:val="center"/>
          </w:tcPr>
          <w:p w14:paraId="24024584">
            <w:pPr>
              <w:jc w:val="center"/>
            </w:pPr>
            <w:r>
              <w:rPr>
                <w:rFonts w:ascii="宋体" w:hAnsi="宋体" w:eastAsia="宋体"/>
                <w:sz w:val="24"/>
              </w:rPr>
              <w:t>(2024年度)</w:t>
            </w:r>
          </w:p>
        </w:tc>
      </w:tr>
      <w:tr w14:paraId="75C26B5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2C37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CDF9CA">
            <w:pPr>
              <w:jc w:val="center"/>
            </w:pPr>
            <w:r>
              <w:rPr>
                <w:rFonts w:ascii="宋体" w:hAnsi="宋体" w:eastAsia="宋体"/>
                <w:sz w:val="16"/>
              </w:rPr>
              <w:t>2023年自治区教育项目（不含直达）资金（职业高中住宿费教材费）（结转）</w:t>
            </w:r>
          </w:p>
        </w:tc>
      </w:tr>
      <w:tr w14:paraId="4ED47EC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E89E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9BBC57">
            <w:pPr>
              <w:jc w:val="center"/>
            </w:pPr>
            <w:r>
              <w:rPr>
                <w:rFonts w:ascii="宋体" w:hAnsi="宋体" w:eastAsia="宋体"/>
                <w:sz w:val="16"/>
              </w:rPr>
              <w:t>民丰县职业技术学校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4072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48A929">
            <w:pPr>
              <w:jc w:val="center"/>
            </w:pPr>
            <w:r>
              <w:rPr>
                <w:rFonts w:ascii="宋体" w:hAnsi="宋体" w:eastAsia="宋体"/>
                <w:sz w:val="16"/>
              </w:rPr>
              <w:t>民丰县职业技术学校</w:t>
            </w:r>
          </w:p>
        </w:tc>
      </w:tr>
      <w:tr w14:paraId="104847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1CD6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CB9D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D587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F1B2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DFA3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2364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5F4C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37DAE">
            <w:pPr>
              <w:jc w:val="center"/>
            </w:pPr>
            <w:r>
              <w:rPr>
                <w:rFonts w:ascii="宋体" w:hAnsi="宋体" w:eastAsia="宋体"/>
                <w:sz w:val="16"/>
              </w:rPr>
              <w:t>得分</w:t>
            </w:r>
          </w:p>
        </w:tc>
      </w:tr>
      <w:tr w14:paraId="0A6F8E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DBCC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C7FA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E26EE">
            <w:pPr>
              <w:jc w:val="center"/>
            </w:pPr>
            <w:r>
              <w:rPr>
                <w:rFonts w:ascii="宋体" w:hAnsi="宋体" w:eastAsia="宋体"/>
                <w:sz w:val="16"/>
              </w:rPr>
              <w:t>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A625C">
            <w:pPr>
              <w:jc w:val="center"/>
            </w:pPr>
            <w:r>
              <w:rPr>
                <w:rFonts w:ascii="宋体" w:hAnsi="宋体" w:eastAsia="宋体"/>
                <w:sz w:val="16"/>
              </w:rPr>
              <w:t>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7DC75">
            <w:pPr>
              <w:jc w:val="center"/>
            </w:pPr>
            <w:r>
              <w:rPr>
                <w:rFonts w:ascii="宋体" w:hAnsi="宋体" w:eastAsia="宋体"/>
                <w:sz w:val="16"/>
              </w:rPr>
              <w:t>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04D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2411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10C02">
            <w:pPr>
              <w:jc w:val="center"/>
            </w:pPr>
            <w:r>
              <w:rPr>
                <w:rFonts w:ascii="宋体" w:hAnsi="宋体" w:eastAsia="宋体"/>
                <w:sz w:val="16"/>
              </w:rPr>
              <w:t>10.00分</w:t>
            </w:r>
          </w:p>
        </w:tc>
      </w:tr>
      <w:tr w14:paraId="16445C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F2E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5146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F6B7B">
            <w:pPr>
              <w:jc w:val="center"/>
            </w:pPr>
            <w:r>
              <w:rPr>
                <w:rFonts w:ascii="宋体" w:hAnsi="宋体" w:eastAsia="宋体"/>
                <w:sz w:val="16"/>
              </w:rPr>
              <w:t>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12D17">
            <w:pPr>
              <w:jc w:val="center"/>
            </w:pPr>
            <w:r>
              <w:rPr>
                <w:rFonts w:ascii="宋体" w:hAnsi="宋体" w:eastAsia="宋体"/>
                <w:sz w:val="16"/>
              </w:rPr>
              <w:t>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C9C79">
            <w:pPr>
              <w:jc w:val="center"/>
            </w:pPr>
            <w:r>
              <w:rPr>
                <w:rFonts w:ascii="宋体" w:hAnsi="宋体" w:eastAsia="宋体"/>
                <w:sz w:val="16"/>
              </w:rPr>
              <w:t>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EC6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698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D0178">
            <w:pPr>
              <w:jc w:val="center"/>
            </w:pPr>
            <w:r>
              <w:rPr>
                <w:rFonts w:ascii="宋体" w:hAnsi="宋体" w:eastAsia="宋体"/>
                <w:sz w:val="16"/>
              </w:rPr>
              <w:t>—</w:t>
            </w:r>
          </w:p>
        </w:tc>
      </w:tr>
      <w:tr w14:paraId="03AF47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CBB2C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DA95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D8E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B66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02A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B97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336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AB5F2">
            <w:pPr>
              <w:jc w:val="center"/>
            </w:pPr>
            <w:r>
              <w:rPr>
                <w:rFonts w:ascii="宋体" w:hAnsi="宋体" w:eastAsia="宋体"/>
                <w:sz w:val="16"/>
              </w:rPr>
              <w:t>—</w:t>
            </w:r>
          </w:p>
        </w:tc>
      </w:tr>
      <w:tr w14:paraId="1705CE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B04A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1616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757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D1A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276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808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729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8AC2F">
            <w:pPr>
              <w:jc w:val="center"/>
            </w:pPr>
            <w:r>
              <w:rPr>
                <w:rFonts w:ascii="宋体" w:hAnsi="宋体" w:eastAsia="宋体"/>
                <w:sz w:val="16"/>
              </w:rPr>
              <w:t>—</w:t>
            </w:r>
          </w:p>
        </w:tc>
      </w:tr>
      <w:tr w14:paraId="3169AB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B02C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BE2FA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9CCECF">
            <w:pPr>
              <w:jc w:val="center"/>
            </w:pPr>
            <w:r>
              <w:rPr>
                <w:rFonts w:ascii="宋体" w:hAnsi="宋体" w:eastAsia="宋体"/>
                <w:sz w:val="16"/>
              </w:rPr>
              <w:t>实际完成情况</w:t>
            </w:r>
          </w:p>
        </w:tc>
      </w:tr>
      <w:tr w14:paraId="3ADFF4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21CD7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EE51F4">
            <w:pPr>
              <w:jc w:val="both"/>
            </w:pPr>
            <w:r>
              <w:rPr>
                <w:rFonts w:ascii="宋体" w:hAnsi="宋体" w:eastAsia="宋体"/>
                <w:sz w:val="16"/>
              </w:rPr>
              <w:t>根据2023年自治区教育项目（不含直达）资金（职业高中住宿费教材费）和地财教</w:t>
            </w:r>
            <w:r>
              <w:rPr>
                <w:rFonts w:hint="eastAsia" w:ascii="宋体" w:hAnsi="宋体"/>
                <w:sz w:val="16"/>
                <w:lang w:eastAsia="zh-CN"/>
              </w:rPr>
              <w:t>〔2022〕76号</w:t>
            </w:r>
            <w:r>
              <w:rPr>
                <w:rFonts w:ascii="宋体" w:hAnsi="宋体" w:eastAsia="宋体"/>
                <w:sz w:val="16"/>
              </w:rPr>
              <w:t>文件实施本项目。实施项目内容：主要用于给我学校学生发放免教材，覆盖补助学生458名，按照每人每年300元标准发放。 通过项目的实施，减轻学生家庭负担，促进教育公平。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81A6BC">
            <w:pPr>
              <w:jc w:val="both"/>
            </w:pPr>
            <w:r>
              <w:rPr>
                <w:rFonts w:ascii="宋体" w:hAnsi="宋体" w:eastAsia="宋体"/>
                <w:sz w:val="16"/>
              </w:rPr>
              <w:t>已完成我学校学生发放免教材，覆盖补助学生458名，按照每人每年300元标准发放。 通过项目的实施，减轻学生家庭负担，促进教育公平。</w:t>
            </w:r>
          </w:p>
        </w:tc>
      </w:tr>
      <w:tr w14:paraId="5A98BF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4D58D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571D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8191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988C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1779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BCB8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55E7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B592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1F5B9">
            <w:pPr>
              <w:jc w:val="center"/>
            </w:pPr>
            <w:r>
              <w:rPr>
                <w:rFonts w:ascii="宋体" w:hAnsi="宋体" w:eastAsia="宋体"/>
                <w:sz w:val="16"/>
              </w:rPr>
              <w:t>偏差原因分析及改进措施</w:t>
            </w:r>
          </w:p>
        </w:tc>
      </w:tr>
      <w:tr w14:paraId="2EBBC5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6D5E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5484B">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D641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12B2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07B2C">
            <w:pPr>
              <w:jc w:val="center"/>
            </w:pPr>
            <w:r>
              <w:rPr>
                <w:rFonts w:ascii="宋体" w:hAnsi="宋体" w:eastAsia="宋体"/>
                <w:sz w:val="16"/>
              </w:rPr>
              <w:t>&gt;=458人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27B5F">
            <w:pPr>
              <w:jc w:val="center"/>
            </w:pPr>
            <w:r>
              <w:rPr>
                <w:rFonts w:ascii="宋体" w:hAnsi="宋体" w:eastAsia="宋体"/>
                <w:sz w:val="16"/>
              </w:rPr>
              <w:t>=402人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086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5A785">
            <w:pPr>
              <w:jc w:val="center"/>
            </w:pPr>
            <w:r>
              <w:rPr>
                <w:rFonts w:ascii="宋体" w:hAnsi="宋体" w:eastAsia="宋体"/>
                <w:sz w:val="16"/>
              </w:rPr>
              <w:t>6.94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640AE">
            <w:pPr>
              <w:jc w:val="center"/>
            </w:pPr>
            <w:r>
              <w:rPr>
                <w:rFonts w:ascii="宋体" w:hAnsi="宋体" w:eastAsia="宋体"/>
                <w:sz w:val="16"/>
              </w:rPr>
              <w:t>偏差原因：人数按实际需求存在变动，学生数减少。改进措施：加强项目预算管理，精准预算。</w:t>
            </w:r>
          </w:p>
        </w:tc>
      </w:tr>
      <w:tr w14:paraId="2BA720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7866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BA453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FBC5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C9124">
            <w:pPr>
              <w:jc w:val="center"/>
            </w:pPr>
            <w:r>
              <w:rPr>
                <w:rFonts w:ascii="宋体" w:hAnsi="宋体" w:eastAsia="宋体"/>
                <w:sz w:val="16"/>
              </w:rPr>
              <w:t>资金到位率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7CE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F0A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66D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910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C0EDA">
            <w:pPr>
              <w:jc w:val="center"/>
            </w:pPr>
          </w:p>
        </w:tc>
      </w:tr>
      <w:tr w14:paraId="367A2B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83D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CBB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DCE8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DD80D">
            <w:pPr>
              <w:jc w:val="center"/>
            </w:pPr>
            <w:r>
              <w:rPr>
                <w:rFonts w:ascii="宋体" w:hAnsi="宋体" w:eastAsia="宋体"/>
                <w:sz w:val="16"/>
              </w:rPr>
              <w:t>免教材补助学生覆盖率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72C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FDA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C68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44F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21BF0">
            <w:pPr>
              <w:jc w:val="center"/>
            </w:pPr>
          </w:p>
        </w:tc>
      </w:tr>
      <w:tr w14:paraId="41DAD1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686F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1B6A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5822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D66E5">
            <w:pPr>
              <w:jc w:val="center"/>
            </w:pPr>
            <w:r>
              <w:rPr>
                <w:rFonts w:ascii="宋体" w:hAnsi="宋体" w:eastAsia="宋体"/>
                <w:sz w:val="16"/>
              </w:rPr>
              <w:t>资金及时发放率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CB9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707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B73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0BF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0D4D1">
            <w:pPr>
              <w:jc w:val="center"/>
            </w:pPr>
          </w:p>
        </w:tc>
      </w:tr>
      <w:tr w14:paraId="626021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F6B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4E30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94A3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932DA">
            <w:pPr>
              <w:jc w:val="center"/>
            </w:pPr>
            <w:r>
              <w:rPr>
                <w:rFonts w:ascii="宋体" w:hAnsi="宋体" w:eastAsia="宋体"/>
                <w:sz w:val="16"/>
              </w:rPr>
              <w:t>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3CB1B">
            <w:pPr>
              <w:jc w:val="center"/>
            </w:pPr>
            <w:r>
              <w:rPr>
                <w:rFonts w:ascii="宋体" w:hAnsi="宋体" w:eastAsia="宋体"/>
                <w:sz w:val="16"/>
              </w:rPr>
              <w:t>&lt;=300元/人/年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8FA59">
            <w:pPr>
              <w:jc w:val="center"/>
            </w:pPr>
            <w:r>
              <w:rPr>
                <w:rFonts w:ascii="宋体" w:hAnsi="宋体" w:eastAsia="宋体"/>
                <w:sz w:val="16"/>
              </w:rPr>
              <w:t>=300元/人/年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A3C7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7F7A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020AF">
            <w:pPr>
              <w:jc w:val="center"/>
            </w:pPr>
          </w:p>
        </w:tc>
      </w:tr>
      <w:tr w14:paraId="4C0AC3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C12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83E1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9254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B4308">
            <w:pPr>
              <w:jc w:val="center"/>
            </w:pPr>
            <w:r>
              <w:rPr>
                <w:rFonts w:ascii="宋体" w:hAnsi="宋体" w:eastAsia="宋体"/>
                <w:sz w:val="16"/>
              </w:rPr>
              <w:t>促进教育公平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6966C">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5686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E495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4E6C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30E10">
            <w:pPr>
              <w:jc w:val="center"/>
            </w:pPr>
          </w:p>
        </w:tc>
      </w:tr>
      <w:tr w14:paraId="45A1A3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AB2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CB5E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D6EF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685DA">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5C7D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B4A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6D0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F45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F9C6F">
            <w:pPr>
              <w:jc w:val="center"/>
            </w:pPr>
          </w:p>
        </w:tc>
      </w:tr>
      <w:tr w14:paraId="2D95BBE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1C8FA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26B8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E49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DC342">
            <w:pPr>
              <w:jc w:val="center"/>
            </w:pPr>
            <w:r>
              <w:rPr>
                <w:rFonts w:ascii="宋体" w:hAnsi="宋体" w:eastAsia="宋体"/>
                <w:sz w:val="16"/>
              </w:rPr>
              <w:t>96.94分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1C9A095"/>
        </w:tc>
      </w:tr>
    </w:tbl>
    <w:p w14:paraId="3128CA3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190"/>
        <w:gridCol w:w="912"/>
        <w:gridCol w:w="847"/>
        <w:gridCol w:w="983"/>
        <w:gridCol w:w="983"/>
        <w:gridCol w:w="983"/>
        <w:gridCol w:w="983"/>
      </w:tblGrid>
      <w:tr w14:paraId="09841270">
        <w:tc>
          <w:tcPr>
            <w:tcW w:w="8847" w:type="dxa"/>
            <w:gridSpan w:val="9"/>
            <w:vAlign w:val="center"/>
          </w:tcPr>
          <w:p w14:paraId="2DECCA6A">
            <w:pPr>
              <w:jc w:val="center"/>
            </w:pPr>
            <w:r>
              <w:rPr>
                <w:rFonts w:ascii="宋体" w:hAnsi="宋体" w:eastAsia="宋体"/>
                <w:sz w:val="24"/>
              </w:rPr>
              <w:t>项目支出绩效自评表</w:t>
            </w:r>
          </w:p>
        </w:tc>
      </w:tr>
      <w:tr w14:paraId="14924407">
        <w:tblPrEx>
          <w:tblCellMar>
            <w:top w:w="0" w:type="dxa"/>
            <w:left w:w="108" w:type="dxa"/>
            <w:bottom w:w="0" w:type="dxa"/>
            <w:right w:w="108" w:type="dxa"/>
          </w:tblCellMar>
        </w:tblPrEx>
        <w:tc>
          <w:tcPr>
            <w:tcW w:w="8847" w:type="dxa"/>
            <w:gridSpan w:val="9"/>
            <w:vAlign w:val="center"/>
          </w:tcPr>
          <w:p w14:paraId="2C7B0C54">
            <w:pPr>
              <w:jc w:val="center"/>
            </w:pPr>
            <w:r>
              <w:rPr>
                <w:rFonts w:ascii="宋体" w:hAnsi="宋体" w:eastAsia="宋体"/>
                <w:sz w:val="24"/>
              </w:rPr>
              <w:t>(2024年度)</w:t>
            </w:r>
          </w:p>
        </w:tc>
      </w:tr>
      <w:tr w14:paraId="0E2930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088E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DA2C90">
            <w:pPr>
              <w:jc w:val="center"/>
            </w:pPr>
            <w:r>
              <w:rPr>
                <w:rFonts w:ascii="宋体" w:hAnsi="宋体" w:eastAsia="宋体"/>
                <w:sz w:val="16"/>
              </w:rPr>
              <w:t>县配套生均公用经费</w:t>
            </w:r>
          </w:p>
        </w:tc>
      </w:tr>
      <w:tr w14:paraId="157F2C5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FA594">
            <w:pPr>
              <w:jc w:val="center"/>
            </w:pPr>
            <w:r>
              <w:rPr>
                <w:rFonts w:ascii="宋体" w:hAnsi="宋体" w:eastAsia="宋体"/>
                <w:sz w:val="16"/>
              </w:rPr>
              <w:t>主管部门</w:t>
            </w:r>
          </w:p>
        </w:tc>
        <w:tc>
          <w:tcPr>
            <w:tcW w:w="308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52C2BF">
            <w:pPr>
              <w:jc w:val="center"/>
            </w:pPr>
            <w:r>
              <w:rPr>
                <w:rFonts w:ascii="宋体" w:hAnsi="宋体" w:eastAsia="宋体"/>
                <w:sz w:val="16"/>
              </w:rPr>
              <w:t>民丰县职业技术学校</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643907F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239585">
            <w:pPr>
              <w:jc w:val="center"/>
            </w:pPr>
            <w:r>
              <w:rPr>
                <w:rFonts w:ascii="宋体" w:hAnsi="宋体" w:eastAsia="宋体"/>
                <w:sz w:val="16"/>
              </w:rPr>
              <w:t>民丰县职业技术学校</w:t>
            </w:r>
          </w:p>
        </w:tc>
      </w:tr>
      <w:tr w14:paraId="4540E7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12598">
            <w:pPr>
              <w:jc w:val="center"/>
            </w:pPr>
            <w:r>
              <w:rPr>
                <w:rFonts w:ascii="宋体" w:hAnsi="宋体" w:eastAsia="宋体"/>
                <w:sz w:val="16"/>
              </w:rPr>
              <w:t>项目资金 （万元）</w:t>
            </w:r>
          </w:p>
        </w:tc>
        <w:tc>
          <w:tcPr>
            <w:tcW w:w="2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3EAF1">
            <w:pPr>
              <w:jc w:val="center"/>
            </w:pP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3EA97D72">
            <w:pPr>
              <w:jc w:val="center"/>
            </w:pPr>
            <w:r>
              <w:rPr>
                <w:rFonts w:ascii="宋体" w:hAnsi="宋体" w:eastAsia="宋体"/>
                <w:sz w:val="16"/>
              </w:rPr>
              <w:t>年初预算数</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23CA226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11FD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3214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9A4D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81E39">
            <w:pPr>
              <w:jc w:val="center"/>
            </w:pPr>
            <w:r>
              <w:rPr>
                <w:rFonts w:ascii="宋体" w:hAnsi="宋体" w:eastAsia="宋体"/>
                <w:sz w:val="16"/>
              </w:rPr>
              <w:t>得分</w:t>
            </w:r>
          </w:p>
        </w:tc>
      </w:tr>
      <w:tr w14:paraId="54E053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BE7C6"/>
        </w:tc>
        <w:tc>
          <w:tcPr>
            <w:tcW w:w="2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67303">
            <w:pPr>
              <w:jc w:val="center"/>
            </w:pPr>
            <w:r>
              <w:rPr>
                <w:rFonts w:ascii="宋体" w:hAnsi="宋体" w:eastAsia="宋体"/>
                <w:sz w:val="16"/>
              </w:rPr>
              <w:t>年度资金总额</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4742B70A">
            <w:pPr>
              <w:jc w:val="center"/>
            </w:pPr>
            <w:r>
              <w:rPr>
                <w:rFonts w:ascii="宋体" w:hAnsi="宋体" w:eastAsia="宋体"/>
                <w:sz w:val="16"/>
              </w:rPr>
              <w:t>45.80</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4336CA35">
            <w:pPr>
              <w:jc w:val="center"/>
            </w:pPr>
            <w:r>
              <w:rPr>
                <w:rFonts w:ascii="宋体" w:hAnsi="宋体" w:eastAsia="宋体"/>
                <w:sz w:val="16"/>
              </w:rPr>
              <w:t>45.80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798F4">
            <w:pPr>
              <w:jc w:val="center"/>
            </w:pPr>
            <w:r>
              <w:rPr>
                <w:rFonts w:ascii="宋体" w:hAnsi="宋体" w:eastAsia="宋体"/>
                <w:sz w:val="16"/>
              </w:rPr>
              <w:t>45.80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6D6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7B23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372DB">
            <w:pPr>
              <w:jc w:val="center"/>
            </w:pPr>
            <w:r>
              <w:rPr>
                <w:rFonts w:ascii="宋体" w:hAnsi="宋体" w:eastAsia="宋体"/>
                <w:sz w:val="16"/>
              </w:rPr>
              <w:t>10.00分</w:t>
            </w:r>
          </w:p>
        </w:tc>
      </w:tr>
      <w:tr w14:paraId="7219A0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4DC3F"/>
        </w:tc>
        <w:tc>
          <w:tcPr>
            <w:tcW w:w="2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7C05E">
            <w:pPr>
              <w:jc w:val="center"/>
            </w:pPr>
            <w:r>
              <w:rPr>
                <w:rFonts w:ascii="宋体" w:hAnsi="宋体" w:eastAsia="宋体"/>
                <w:sz w:val="16"/>
              </w:rPr>
              <w:t>其中：当年财政拨款</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6EDCB70D">
            <w:pPr>
              <w:jc w:val="center"/>
            </w:pPr>
            <w:r>
              <w:rPr>
                <w:rFonts w:ascii="宋体" w:hAnsi="宋体" w:eastAsia="宋体"/>
                <w:sz w:val="16"/>
              </w:rPr>
              <w:t>45.80</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25EEA775">
            <w:pPr>
              <w:jc w:val="center"/>
            </w:pPr>
            <w:r>
              <w:rPr>
                <w:rFonts w:ascii="宋体" w:hAnsi="宋体" w:eastAsia="宋体"/>
                <w:sz w:val="16"/>
              </w:rPr>
              <w:t>45.80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51D02">
            <w:pPr>
              <w:jc w:val="center"/>
            </w:pPr>
            <w:r>
              <w:rPr>
                <w:rFonts w:ascii="宋体" w:hAnsi="宋体" w:eastAsia="宋体"/>
                <w:sz w:val="16"/>
              </w:rPr>
              <w:t>45.80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794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307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2B704">
            <w:pPr>
              <w:jc w:val="center"/>
            </w:pPr>
            <w:r>
              <w:rPr>
                <w:rFonts w:ascii="宋体" w:hAnsi="宋体" w:eastAsia="宋体"/>
                <w:sz w:val="16"/>
              </w:rPr>
              <w:t>—</w:t>
            </w:r>
          </w:p>
        </w:tc>
      </w:tr>
      <w:tr w14:paraId="6BA9A1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5E921"/>
        </w:tc>
        <w:tc>
          <w:tcPr>
            <w:tcW w:w="2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696CB">
            <w:pPr>
              <w:jc w:val="center"/>
            </w:pPr>
            <w:r>
              <w:rPr>
                <w:rFonts w:ascii="宋体" w:hAnsi="宋体" w:eastAsia="宋体"/>
                <w:sz w:val="16"/>
              </w:rPr>
              <w:t xml:space="preserve">      上年结转资金</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12D2118C">
            <w:pPr>
              <w:jc w:val="center"/>
            </w:pPr>
            <w:r>
              <w:rPr>
                <w:rFonts w:ascii="宋体" w:hAnsi="宋体" w:eastAsia="宋体"/>
                <w:sz w:val="16"/>
              </w:rPr>
              <w:t>0.00</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3395F6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6AD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429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4B1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F85C4">
            <w:pPr>
              <w:jc w:val="center"/>
            </w:pPr>
            <w:r>
              <w:rPr>
                <w:rFonts w:ascii="宋体" w:hAnsi="宋体" w:eastAsia="宋体"/>
                <w:sz w:val="16"/>
              </w:rPr>
              <w:t>—</w:t>
            </w:r>
          </w:p>
        </w:tc>
      </w:tr>
      <w:tr w14:paraId="67669E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C2C56"/>
        </w:tc>
        <w:tc>
          <w:tcPr>
            <w:tcW w:w="2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FF574">
            <w:pPr>
              <w:jc w:val="center"/>
            </w:pPr>
            <w:r>
              <w:rPr>
                <w:rFonts w:ascii="宋体" w:hAnsi="宋体" w:eastAsia="宋体"/>
                <w:sz w:val="16"/>
              </w:rPr>
              <w:t xml:space="preserve">  其他资金</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6A86FD8E">
            <w:pPr>
              <w:jc w:val="center"/>
            </w:pPr>
            <w:r>
              <w:rPr>
                <w:rFonts w:ascii="宋体" w:hAnsi="宋体" w:eastAsia="宋体"/>
                <w:sz w:val="16"/>
              </w:rPr>
              <w:t>0.00</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67C81D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27E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559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E25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80EF1">
            <w:pPr>
              <w:jc w:val="center"/>
            </w:pPr>
            <w:r>
              <w:rPr>
                <w:rFonts w:ascii="宋体" w:hAnsi="宋体" w:eastAsia="宋体"/>
                <w:sz w:val="16"/>
              </w:rPr>
              <w:t>—</w:t>
            </w:r>
          </w:p>
        </w:tc>
      </w:tr>
      <w:tr w14:paraId="12FA6C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B4EE6">
            <w:pPr>
              <w:jc w:val="center"/>
            </w:pPr>
            <w:r>
              <w:rPr>
                <w:rFonts w:ascii="宋体" w:hAnsi="宋体" w:eastAsia="宋体"/>
                <w:sz w:val="16"/>
              </w:rPr>
              <w:t>年度总体目标</w:t>
            </w:r>
          </w:p>
        </w:tc>
        <w:tc>
          <w:tcPr>
            <w:tcW w:w="308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6DE743">
            <w:pPr>
              <w:jc w:val="center"/>
            </w:pPr>
            <w:r>
              <w:rPr>
                <w:rFonts w:ascii="宋体" w:hAnsi="宋体" w:eastAsia="宋体"/>
                <w:sz w:val="16"/>
              </w:rPr>
              <w:t>预期目标</w:t>
            </w:r>
          </w:p>
        </w:tc>
        <w:tc>
          <w:tcPr>
            <w:tcW w:w="47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12BF58">
            <w:pPr>
              <w:jc w:val="center"/>
            </w:pPr>
            <w:r>
              <w:rPr>
                <w:rFonts w:ascii="宋体" w:hAnsi="宋体" w:eastAsia="宋体"/>
                <w:sz w:val="16"/>
              </w:rPr>
              <w:t>实际完成情况</w:t>
            </w:r>
          </w:p>
        </w:tc>
      </w:tr>
      <w:tr w14:paraId="39F921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874DD2"/>
        </w:tc>
        <w:tc>
          <w:tcPr>
            <w:tcW w:w="308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933177">
            <w:pPr>
              <w:jc w:val="both"/>
            </w:pPr>
            <w:r>
              <w:rPr>
                <w:rFonts w:ascii="宋体" w:hAnsi="宋体" w:eastAsia="宋体"/>
                <w:sz w:val="16"/>
              </w:rPr>
              <w:t>根据项目实施方案实施本项目。实施项目内容：主要用于保障职业高中的教育教学工作正常开展，按照1000元/年/人的标准对458名学生进行补助。通过项目的实施，有效保障学校教育教学工作正常开展，加大职业教育经费保障力度，促进职业教育稳步发展。</w:t>
            </w:r>
          </w:p>
        </w:tc>
        <w:tc>
          <w:tcPr>
            <w:tcW w:w="47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EF70AA">
            <w:pPr>
              <w:jc w:val="both"/>
            </w:pPr>
            <w:r>
              <w:rPr>
                <w:rFonts w:ascii="宋体" w:hAnsi="宋体" w:eastAsia="宋体"/>
                <w:sz w:val="16"/>
              </w:rPr>
              <w:t>截至2024年12月底，本项目预算安排45.8万元，实际支出45.8万元，预算执行率100%。项目已经完成</w:t>
            </w:r>
            <w:r>
              <w:rPr>
                <w:rFonts w:hint="eastAsia" w:ascii="宋体" w:hAnsi="宋体"/>
                <w:sz w:val="16"/>
                <w:lang w:eastAsia="zh-CN"/>
              </w:rPr>
              <w:t>。</w:t>
            </w:r>
            <w:r>
              <w:rPr>
                <w:rFonts w:ascii="宋体" w:hAnsi="宋体" w:eastAsia="宋体"/>
                <w:sz w:val="16"/>
              </w:rPr>
              <w:t>截至目前，项目已完成保障职业高中的教育教学工作正常开展，学生人数402名。通过项目的实施，有效保障学校教育教学工作正常开展，加大职业教育经费保障力度，促进职业教育稳步发展。</w:t>
            </w:r>
          </w:p>
        </w:tc>
      </w:tr>
      <w:tr w14:paraId="3D02B6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5CC35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CC850">
            <w:pPr>
              <w:jc w:val="center"/>
            </w:pPr>
            <w:r>
              <w:rPr>
                <w:rFonts w:ascii="宋体" w:hAnsi="宋体" w:eastAsia="宋体"/>
                <w:sz w:val="16"/>
              </w:rPr>
              <w:t>一级指标</w:t>
            </w:r>
          </w:p>
        </w:tc>
        <w:tc>
          <w:tcPr>
            <w:tcW w:w="1190" w:type="dxa"/>
            <w:tcBorders>
              <w:top w:val="single" w:color="auto" w:sz="10" w:space="0"/>
              <w:left w:val="single" w:color="auto" w:sz="10" w:space="0"/>
              <w:bottom w:val="single" w:color="auto" w:sz="10" w:space="0"/>
              <w:right w:val="single" w:color="auto" w:sz="10" w:space="0"/>
              <w:insideV w:val="single" w:sz="10" w:space="0"/>
            </w:tcBorders>
            <w:vAlign w:val="center"/>
          </w:tcPr>
          <w:p w14:paraId="6F5DC344">
            <w:pPr>
              <w:jc w:val="center"/>
            </w:pPr>
            <w:r>
              <w:rPr>
                <w:rFonts w:ascii="宋体" w:hAnsi="宋体" w:eastAsia="宋体"/>
                <w:sz w:val="16"/>
              </w:rPr>
              <w:t>二级指标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3AE01863">
            <w:pPr>
              <w:jc w:val="center"/>
            </w:pPr>
            <w:r>
              <w:rPr>
                <w:rFonts w:ascii="宋体" w:hAnsi="宋体" w:eastAsia="宋体"/>
                <w:sz w:val="16"/>
              </w:rPr>
              <w:t>三级指标</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1178D76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0CFA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8FAA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7FD2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DA782">
            <w:pPr>
              <w:jc w:val="center"/>
            </w:pPr>
            <w:r>
              <w:rPr>
                <w:rFonts w:ascii="宋体" w:hAnsi="宋体" w:eastAsia="宋体"/>
                <w:sz w:val="16"/>
              </w:rPr>
              <w:t>偏差原因分析及改进措施</w:t>
            </w:r>
          </w:p>
        </w:tc>
      </w:tr>
      <w:tr w14:paraId="57166EA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8E92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AA7C0">
            <w:pPr>
              <w:jc w:val="center"/>
            </w:pPr>
            <w:r>
              <w:rPr>
                <w:rFonts w:ascii="宋体" w:hAnsi="宋体" w:eastAsia="宋体"/>
                <w:sz w:val="16"/>
              </w:rPr>
              <w:t>产出指标</w:t>
            </w:r>
          </w:p>
        </w:tc>
        <w:tc>
          <w:tcPr>
            <w:tcW w:w="1190" w:type="dxa"/>
            <w:tcBorders>
              <w:top w:val="single" w:color="auto" w:sz="10" w:space="0"/>
              <w:left w:val="single" w:color="auto" w:sz="10" w:space="0"/>
              <w:bottom w:val="single" w:color="auto" w:sz="10" w:space="0"/>
              <w:right w:val="single" w:color="auto" w:sz="10" w:space="0"/>
              <w:insideV w:val="single" w:sz="10" w:space="0"/>
            </w:tcBorders>
            <w:vAlign w:val="center"/>
          </w:tcPr>
          <w:p w14:paraId="6A09F964">
            <w:pPr>
              <w:jc w:val="center"/>
            </w:pPr>
            <w:r>
              <w:rPr>
                <w:rFonts w:ascii="宋体" w:hAnsi="宋体" w:eastAsia="宋体"/>
                <w:sz w:val="16"/>
              </w:rPr>
              <w:t>数量指标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3ECF2B43">
            <w:pPr>
              <w:jc w:val="center"/>
            </w:pPr>
            <w:r>
              <w:rPr>
                <w:rFonts w:ascii="宋体" w:hAnsi="宋体" w:eastAsia="宋体"/>
                <w:sz w:val="16"/>
              </w:rPr>
              <w:t>保障学生人数</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7C185F88">
            <w:pPr>
              <w:jc w:val="center"/>
            </w:pPr>
            <w:r>
              <w:rPr>
                <w:rFonts w:ascii="宋体" w:hAnsi="宋体" w:eastAsia="宋体"/>
                <w:sz w:val="16"/>
              </w:rPr>
              <w:t>&gt;=458人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C2D90">
            <w:pPr>
              <w:jc w:val="center"/>
            </w:pPr>
            <w:r>
              <w:rPr>
                <w:rFonts w:ascii="宋体" w:hAnsi="宋体" w:eastAsia="宋体"/>
                <w:sz w:val="16"/>
              </w:rPr>
              <w:t>=402人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1DF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260C2">
            <w:pPr>
              <w:jc w:val="center"/>
            </w:pPr>
            <w:r>
              <w:rPr>
                <w:rFonts w:ascii="宋体" w:hAnsi="宋体" w:eastAsia="宋体"/>
                <w:sz w:val="16"/>
              </w:rPr>
              <w:t>6.94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C6F4F">
            <w:pPr>
              <w:jc w:val="center"/>
            </w:pPr>
            <w:r>
              <w:rPr>
                <w:rFonts w:ascii="宋体" w:hAnsi="宋体" w:eastAsia="宋体"/>
                <w:sz w:val="16"/>
              </w:rPr>
              <w:t>人数按实际需求存在变动，学生数减少。</w:t>
            </w:r>
          </w:p>
        </w:tc>
      </w:tr>
      <w:tr w14:paraId="07C958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984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B6DD52"/>
        </w:tc>
        <w:tc>
          <w:tcPr>
            <w:tcW w:w="11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14823">
            <w:pPr>
              <w:jc w:val="center"/>
            </w:pPr>
            <w:r>
              <w:rPr>
                <w:rFonts w:ascii="宋体" w:hAnsi="宋体" w:eastAsia="宋体"/>
                <w:sz w:val="16"/>
              </w:rPr>
              <w:t>质量指标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0121E9F2">
            <w:pPr>
              <w:jc w:val="center"/>
            </w:pPr>
            <w:r>
              <w:rPr>
                <w:rFonts w:ascii="宋体" w:hAnsi="宋体" w:eastAsia="宋体"/>
                <w:sz w:val="16"/>
              </w:rPr>
              <w:t>资金使用合规率</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07936B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ACA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4F1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F8B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5959B">
            <w:pPr>
              <w:jc w:val="center"/>
            </w:pPr>
          </w:p>
        </w:tc>
      </w:tr>
      <w:tr w14:paraId="102FBA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82A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DDA27B"/>
        </w:tc>
        <w:tc>
          <w:tcPr>
            <w:tcW w:w="1190" w:type="dxa"/>
            <w:vMerge w:val="continue"/>
            <w:tcBorders>
              <w:top w:val="single" w:color="auto" w:sz="10" w:space="0"/>
              <w:left w:val="single" w:color="auto" w:sz="10" w:space="0"/>
              <w:bottom w:val="single" w:color="auto" w:sz="10" w:space="0"/>
              <w:right w:val="single" w:color="auto" w:sz="10" w:space="0"/>
              <w:insideV w:val="single" w:sz="10" w:space="0"/>
            </w:tcBorders>
          </w:tcPr>
          <w:p w14:paraId="7B773CED"/>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1AF065B1">
            <w:pPr>
              <w:jc w:val="center"/>
            </w:pPr>
            <w:r>
              <w:rPr>
                <w:rFonts w:ascii="宋体" w:hAnsi="宋体" w:eastAsia="宋体"/>
                <w:sz w:val="16"/>
              </w:rPr>
              <w:t>保障日常工作正常开展率</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629C41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1B6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B53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938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DB09A">
            <w:pPr>
              <w:jc w:val="center"/>
            </w:pPr>
          </w:p>
        </w:tc>
      </w:tr>
      <w:tr w14:paraId="75D138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0EF3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A6428"/>
        </w:tc>
        <w:tc>
          <w:tcPr>
            <w:tcW w:w="1190" w:type="dxa"/>
            <w:tcBorders>
              <w:top w:val="single" w:color="auto" w:sz="10" w:space="0"/>
              <w:left w:val="single" w:color="auto" w:sz="10" w:space="0"/>
              <w:bottom w:val="single" w:color="auto" w:sz="10" w:space="0"/>
              <w:right w:val="single" w:color="auto" w:sz="10" w:space="0"/>
              <w:insideV w:val="single" w:sz="10" w:space="0"/>
            </w:tcBorders>
            <w:vAlign w:val="center"/>
          </w:tcPr>
          <w:p w14:paraId="71FE566A">
            <w:pPr>
              <w:jc w:val="center"/>
            </w:pPr>
            <w:r>
              <w:rPr>
                <w:rFonts w:ascii="宋体" w:hAnsi="宋体" w:eastAsia="宋体"/>
                <w:sz w:val="16"/>
              </w:rPr>
              <w:t>时效指标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505AE022">
            <w:pPr>
              <w:jc w:val="center"/>
            </w:pPr>
            <w:r>
              <w:rPr>
                <w:rFonts w:ascii="宋体" w:hAnsi="宋体" w:eastAsia="宋体"/>
                <w:sz w:val="16"/>
              </w:rPr>
              <w:t>资金支付及时率</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7D19C2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28D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B86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4A7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E681E">
            <w:pPr>
              <w:jc w:val="center"/>
            </w:pPr>
          </w:p>
        </w:tc>
      </w:tr>
      <w:tr w14:paraId="573ECA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C44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4601E">
            <w:pPr>
              <w:jc w:val="center"/>
            </w:pPr>
            <w:r>
              <w:rPr>
                <w:rFonts w:ascii="宋体" w:hAnsi="宋体" w:eastAsia="宋体"/>
                <w:sz w:val="16"/>
              </w:rPr>
              <w:t>成本指标</w:t>
            </w:r>
          </w:p>
        </w:tc>
        <w:tc>
          <w:tcPr>
            <w:tcW w:w="1190" w:type="dxa"/>
            <w:tcBorders>
              <w:top w:val="single" w:color="auto" w:sz="10" w:space="0"/>
              <w:left w:val="single" w:color="auto" w:sz="10" w:space="0"/>
              <w:bottom w:val="single" w:color="auto" w:sz="10" w:space="0"/>
              <w:right w:val="single" w:color="auto" w:sz="10" w:space="0"/>
              <w:insideV w:val="single" w:sz="10" w:space="0"/>
            </w:tcBorders>
            <w:vAlign w:val="center"/>
          </w:tcPr>
          <w:p w14:paraId="6DDF8BB9">
            <w:pPr>
              <w:jc w:val="center"/>
            </w:pPr>
            <w:r>
              <w:rPr>
                <w:rFonts w:ascii="宋体" w:hAnsi="宋体" w:eastAsia="宋体"/>
                <w:sz w:val="16"/>
              </w:rPr>
              <w:t>经济成本指标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102E1A95">
            <w:pPr>
              <w:jc w:val="center"/>
            </w:pPr>
            <w:r>
              <w:rPr>
                <w:rFonts w:ascii="宋体" w:hAnsi="宋体" w:eastAsia="宋体"/>
                <w:sz w:val="16"/>
              </w:rPr>
              <w:t>学生补助标准</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0CC42C19">
            <w:pPr>
              <w:jc w:val="center"/>
            </w:pPr>
            <w:r>
              <w:rPr>
                <w:rFonts w:ascii="宋体" w:hAnsi="宋体" w:eastAsia="宋体"/>
                <w:sz w:val="16"/>
              </w:rPr>
              <w:t>&lt;=1000元/人/年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BD0C4">
            <w:pPr>
              <w:jc w:val="center"/>
            </w:pPr>
            <w:r>
              <w:rPr>
                <w:rFonts w:ascii="宋体" w:hAnsi="宋体" w:eastAsia="宋体"/>
                <w:sz w:val="16"/>
              </w:rPr>
              <w:t>=1000元/人/年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FCDA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2E88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B373C">
            <w:pPr>
              <w:jc w:val="center"/>
            </w:pPr>
          </w:p>
        </w:tc>
      </w:tr>
      <w:tr w14:paraId="2D3499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5AA2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5F73F">
            <w:pPr>
              <w:jc w:val="center"/>
            </w:pPr>
            <w:r>
              <w:rPr>
                <w:rFonts w:ascii="宋体" w:hAnsi="宋体" w:eastAsia="宋体"/>
                <w:sz w:val="16"/>
              </w:rPr>
              <w:t>效益指标</w:t>
            </w:r>
          </w:p>
        </w:tc>
        <w:tc>
          <w:tcPr>
            <w:tcW w:w="1190" w:type="dxa"/>
            <w:tcBorders>
              <w:top w:val="single" w:color="auto" w:sz="10" w:space="0"/>
              <w:left w:val="single" w:color="auto" w:sz="10" w:space="0"/>
              <w:bottom w:val="single" w:color="auto" w:sz="10" w:space="0"/>
              <w:right w:val="single" w:color="auto" w:sz="10" w:space="0"/>
              <w:insideV w:val="single" w:sz="10" w:space="0"/>
            </w:tcBorders>
            <w:vAlign w:val="center"/>
          </w:tcPr>
          <w:p w14:paraId="3C6DC952">
            <w:pPr>
              <w:jc w:val="center"/>
            </w:pPr>
            <w:r>
              <w:rPr>
                <w:rFonts w:ascii="宋体" w:hAnsi="宋体" w:eastAsia="宋体"/>
                <w:sz w:val="16"/>
              </w:rPr>
              <w:t>社会效益指标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58FDCE09">
            <w:pPr>
              <w:jc w:val="center"/>
            </w:pPr>
            <w:r>
              <w:rPr>
                <w:rFonts w:ascii="宋体" w:hAnsi="宋体" w:eastAsia="宋体"/>
                <w:sz w:val="16"/>
              </w:rPr>
              <w:t>保障教育教学工作正常开展</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0250C971">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96C6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658A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3121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1F148">
            <w:pPr>
              <w:jc w:val="center"/>
            </w:pPr>
          </w:p>
        </w:tc>
      </w:tr>
      <w:tr w14:paraId="22CECC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81B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AC813">
            <w:pPr>
              <w:jc w:val="center"/>
            </w:pPr>
            <w:r>
              <w:rPr>
                <w:rFonts w:ascii="宋体" w:hAnsi="宋体" w:eastAsia="宋体"/>
                <w:sz w:val="16"/>
              </w:rPr>
              <w:t>满意度指标</w:t>
            </w:r>
          </w:p>
        </w:tc>
        <w:tc>
          <w:tcPr>
            <w:tcW w:w="1190" w:type="dxa"/>
            <w:tcBorders>
              <w:top w:val="single" w:color="auto" w:sz="10" w:space="0"/>
              <w:left w:val="single" w:color="auto" w:sz="10" w:space="0"/>
              <w:bottom w:val="single" w:color="auto" w:sz="10" w:space="0"/>
              <w:right w:val="single" w:color="auto" w:sz="10" w:space="0"/>
              <w:insideV w:val="single" w:sz="10" w:space="0"/>
            </w:tcBorders>
            <w:vAlign w:val="center"/>
          </w:tcPr>
          <w:p w14:paraId="53BB17C5">
            <w:pPr>
              <w:jc w:val="center"/>
            </w:pPr>
            <w:r>
              <w:rPr>
                <w:rFonts w:ascii="宋体" w:hAnsi="宋体" w:eastAsia="宋体"/>
                <w:sz w:val="16"/>
              </w:rPr>
              <w:t>满意度指标</w:t>
            </w:r>
          </w:p>
        </w:tc>
        <w:tc>
          <w:tcPr>
            <w:tcW w:w="912" w:type="dxa"/>
            <w:tcBorders>
              <w:top w:val="single" w:color="auto" w:sz="10" w:space="0"/>
              <w:left w:val="single" w:color="auto" w:sz="10" w:space="0"/>
              <w:bottom w:val="single" w:color="auto" w:sz="10" w:space="0"/>
              <w:right w:val="single" w:color="auto" w:sz="10" w:space="0"/>
              <w:insideV w:val="single" w:sz="10" w:space="0"/>
            </w:tcBorders>
            <w:vAlign w:val="center"/>
          </w:tcPr>
          <w:p w14:paraId="34C81DD5">
            <w:pPr>
              <w:jc w:val="center"/>
            </w:pPr>
            <w:r>
              <w:rPr>
                <w:rFonts w:ascii="宋体" w:hAnsi="宋体" w:eastAsia="宋体"/>
                <w:sz w:val="16"/>
              </w:rPr>
              <w:t>受益学生满意度</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5ECF951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D8C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368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6D8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E03C3">
            <w:pPr>
              <w:jc w:val="center"/>
            </w:pPr>
          </w:p>
        </w:tc>
      </w:tr>
      <w:tr w14:paraId="06B09B1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B77EE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702C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6B5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7984D">
            <w:pPr>
              <w:jc w:val="center"/>
            </w:pPr>
            <w:r>
              <w:rPr>
                <w:rFonts w:ascii="宋体" w:hAnsi="宋体" w:eastAsia="宋体"/>
                <w:sz w:val="16"/>
              </w:rPr>
              <w:t>96.94分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708F510"/>
        </w:tc>
      </w:tr>
    </w:tbl>
    <w:p w14:paraId="3C4DFD0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D2DF2DD">
        <w:tblPrEx>
          <w:tblCellMar>
            <w:top w:w="0" w:type="dxa"/>
            <w:left w:w="108" w:type="dxa"/>
            <w:bottom w:w="0" w:type="dxa"/>
            <w:right w:w="108" w:type="dxa"/>
          </w:tblCellMar>
        </w:tblPrEx>
        <w:tc>
          <w:tcPr>
            <w:tcW w:w="8847" w:type="dxa"/>
            <w:gridSpan w:val="9"/>
            <w:vAlign w:val="center"/>
          </w:tcPr>
          <w:p w14:paraId="265B778D">
            <w:pPr>
              <w:jc w:val="center"/>
            </w:pPr>
            <w:r>
              <w:rPr>
                <w:rFonts w:ascii="宋体" w:hAnsi="宋体" w:eastAsia="宋体"/>
                <w:sz w:val="24"/>
              </w:rPr>
              <w:t>项目支出绩效自评表</w:t>
            </w:r>
          </w:p>
        </w:tc>
      </w:tr>
      <w:tr w14:paraId="05F3A2B6">
        <w:tblPrEx>
          <w:tblCellMar>
            <w:top w:w="0" w:type="dxa"/>
            <w:left w:w="108" w:type="dxa"/>
            <w:bottom w:w="0" w:type="dxa"/>
            <w:right w:w="108" w:type="dxa"/>
          </w:tblCellMar>
        </w:tblPrEx>
        <w:tc>
          <w:tcPr>
            <w:tcW w:w="8847" w:type="dxa"/>
            <w:gridSpan w:val="9"/>
            <w:vAlign w:val="center"/>
          </w:tcPr>
          <w:p w14:paraId="083665BF">
            <w:pPr>
              <w:jc w:val="center"/>
            </w:pPr>
            <w:r>
              <w:rPr>
                <w:rFonts w:ascii="宋体" w:hAnsi="宋体" w:eastAsia="宋体"/>
                <w:sz w:val="24"/>
              </w:rPr>
              <w:t>(2024年度)</w:t>
            </w:r>
          </w:p>
        </w:tc>
      </w:tr>
      <w:tr w14:paraId="07EA7AC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DB86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3AADDD5">
            <w:pPr>
              <w:jc w:val="center"/>
            </w:pPr>
            <w:r>
              <w:rPr>
                <w:rFonts w:ascii="宋体" w:hAnsi="宋体" w:eastAsia="宋体"/>
                <w:sz w:val="16"/>
              </w:rPr>
              <w:t>职业教育县配套助学金</w:t>
            </w:r>
          </w:p>
        </w:tc>
      </w:tr>
      <w:tr w14:paraId="1C4F609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EBE1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7D8433">
            <w:pPr>
              <w:jc w:val="center"/>
            </w:pPr>
            <w:r>
              <w:rPr>
                <w:rFonts w:ascii="宋体" w:hAnsi="宋体" w:eastAsia="宋体"/>
                <w:sz w:val="16"/>
              </w:rPr>
              <w:t>民丰县职业技术学校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0AEA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819406">
            <w:pPr>
              <w:jc w:val="center"/>
            </w:pPr>
            <w:r>
              <w:rPr>
                <w:rFonts w:ascii="宋体" w:hAnsi="宋体" w:eastAsia="宋体"/>
                <w:sz w:val="16"/>
              </w:rPr>
              <w:t>民丰县职业技术学校</w:t>
            </w:r>
          </w:p>
        </w:tc>
      </w:tr>
      <w:tr w14:paraId="72F9B4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A682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B743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CCD9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CB8D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6781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90A0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5C2C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F136D">
            <w:pPr>
              <w:jc w:val="center"/>
            </w:pPr>
            <w:r>
              <w:rPr>
                <w:rFonts w:ascii="宋体" w:hAnsi="宋体" w:eastAsia="宋体"/>
                <w:sz w:val="16"/>
              </w:rPr>
              <w:t>得分</w:t>
            </w:r>
          </w:p>
        </w:tc>
      </w:tr>
      <w:tr w14:paraId="0C6FA7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31C7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B1D6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81599">
            <w:pPr>
              <w:jc w:val="center"/>
            </w:pPr>
            <w:r>
              <w:rPr>
                <w:rFonts w:ascii="宋体" w:hAnsi="宋体" w:eastAsia="宋体"/>
                <w:sz w:val="16"/>
              </w:rPr>
              <w:t>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A8DDD">
            <w:pPr>
              <w:jc w:val="center"/>
            </w:pPr>
            <w:r>
              <w:rPr>
                <w:rFonts w:ascii="宋体" w:hAnsi="宋体" w:eastAsia="宋体"/>
                <w:sz w:val="16"/>
              </w:rPr>
              <w:t>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2A5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329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7CB22">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3705E">
            <w:pPr>
              <w:jc w:val="center"/>
            </w:pPr>
            <w:r>
              <w:rPr>
                <w:rFonts w:ascii="宋体" w:hAnsi="宋体" w:eastAsia="宋体"/>
                <w:sz w:val="16"/>
              </w:rPr>
              <w:t>0.00分</w:t>
            </w:r>
          </w:p>
        </w:tc>
      </w:tr>
      <w:tr w14:paraId="09349C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4E54D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8106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2B844">
            <w:pPr>
              <w:jc w:val="center"/>
            </w:pPr>
            <w:r>
              <w:rPr>
                <w:rFonts w:ascii="宋体" w:hAnsi="宋体" w:eastAsia="宋体"/>
                <w:sz w:val="16"/>
              </w:rPr>
              <w:t>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4F831">
            <w:pPr>
              <w:jc w:val="center"/>
            </w:pPr>
            <w:r>
              <w:rPr>
                <w:rFonts w:ascii="宋体" w:hAnsi="宋体" w:eastAsia="宋体"/>
                <w:sz w:val="16"/>
              </w:rPr>
              <w:t>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DE0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3B4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6E0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C3E33">
            <w:pPr>
              <w:jc w:val="center"/>
            </w:pPr>
            <w:r>
              <w:rPr>
                <w:rFonts w:ascii="宋体" w:hAnsi="宋体" w:eastAsia="宋体"/>
                <w:sz w:val="16"/>
              </w:rPr>
              <w:t>—</w:t>
            </w:r>
          </w:p>
        </w:tc>
      </w:tr>
      <w:tr w14:paraId="476BFA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A0C7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844F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410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1DC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353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12E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72F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722C6">
            <w:pPr>
              <w:jc w:val="center"/>
            </w:pPr>
            <w:r>
              <w:rPr>
                <w:rFonts w:ascii="宋体" w:hAnsi="宋体" w:eastAsia="宋体"/>
                <w:sz w:val="16"/>
              </w:rPr>
              <w:t>—</w:t>
            </w:r>
          </w:p>
        </w:tc>
      </w:tr>
      <w:tr w14:paraId="7399C7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A2C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B8EF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83A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A5F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E4A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61A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645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F11D3">
            <w:pPr>
              <w:jc w:val="center"/>
            </w:pPr>
            <w:r>
              <w:rPr>
                <w:rFonts w:ascii="宋体" w:hAnsi="宋体" w:eastAsia="宋体"/>
                <w:sz w:val="16"/>
              </w:rPr>
              <w:t>—</w:t>
            </w:r>
          </w:p>
        </w:tc>
      </w:tr>
      <w:tr w14:paraId="48C038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EA05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99D13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6FD309">
            <w:pPr>
              <w:jc w:val="center"/>
            </w:pPr>
            <w:r>
              <w:rPr>
                <w:rFonts w:ascii="宋体" w:hAnsi="宋体" w:eastAsia="宋体"/>
                <w:sz w:val="16"/>
              </w:rPr>
              <w:t>实际完成情况</w:t>
            </w:r>
          </w:p>
        </w:tc>
      </w:tr>
      <w:tr w14:paraId="6331D7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620E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390DEA">
            <w:pPr>
              <w:jc w:val="both"/>
            </w:pPr>
            <w:r>
              <w:rPr>
                <w:rFonts w:ascii="宋体" w:hAnsi="宋体" w:eastAsia="宋体"/>
                <w:sz w:val="16"/>
              </w:rPr>
              <w:t>根据项目实施方案实施本项目。项目实施内容：该项目</w:t>
            </w:r>
            <w:r>
              <w:rPr>
                <w:rFonts w:hint="eastAsia" w:ascii="宋体" w:hAnsi="宋体"/>
                <w:sz w:val="16"/>
                <w:lang w:eastAsia="zh-CN"/>
              </w:rPr>
              <w:t>给予</w:t>
            </w:r>
            <w:r>
              <w:rPr>
                <w:rFonts w:ascii="宋体" w:hAnsi="宋体" w:eastAsia="宋体"/>
                <w:sz w:val="16"/>
              </w:rPr>
              <w:t>1年级2年级助学金补助人数286人，1年级2年级助学金补助发放2学期。通过项目实施，以保障学生学习质量不断得到提高，规范办学条件，依法治校，保障学生享有公平教育权利，提高学生素质，保证学生学习质量不断得到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6F42B0">
            <w:pPr>
              <w:jc w:val="both"/>
            </w:pPr>
            <w:r>
              <w:rPr>
                <w:rFonts w:ascii="宋体" w:hAnsi="宋体" w:eastAsia="宋体"/>
                <w:sz w:val="16"/>
              </w:rPr>
              <w:t>该项目未完成，原因：该项目由上级资金先支付，若上级拨款不够才会考虑使用县配套资金。</w:t>
            </w:r>
          </w:p>
        </w:tc>
      </w:tr>
      <w:tr w14:paraId="2933C7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CAFF6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4F2F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557C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A4C0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52D2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9B56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EAB3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EFB6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FAF2B">
            <w:pPr>
              <w:jc w:val="center"/>
            </w:pPr>
            <w:r>
              <w:rPr>
                <w:rFonts w:ascii="宋体" w:hAnsi="宋体" w:eastAsia="宋体"/>
                <w:sz w:val="16"/>
              </w:rPr>
              <w:t>偏差原因分析及改进措施</w:t>
            </w:r>
          </w:p>
        </w:tc>
      </w:tr>
      <w:tr w14:paraId="3C9307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7B3C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EE34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9A74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AE461">
            <w:pPr>
              <w:jc w:val="center"/>
            </w:pPr>
            <w:r>
              <w:rPr>
                <w:rFonts w:ascii="宋体" w:hAnsi="宋体" w:eastAsia="宋体"/>
                <w:sz w:val="16"/>
              </w:rPr>
              <w:t>助学金补助人数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49C96">
            <w:pPr>
              <w:jc w:val="center"/>
            </w:pPr>
            <w:r>
              <w:rPr>
                <w:rFonts w:ascii="宋体" w:hAnsi="宋体" w:eastAsia="宋体"/>
                <w:sz w:val="16"/>
              </w:rPr>
              <w:t>&gt;=286人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D7C89">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4C7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5917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37E52">
            <w:pPr>
              <w:jc w:val="center"/>
            </w:pPr>
            <w:r>
              <w:rPr>
                <w:rFonts w:ascii="宋体" w:hAnsi="宋体" w:eastAsia="宋体"/>
                <w:sz w:val="16"/>
              </w:rPr>
              <w:t>偏差原因：该项目由上级资金先支付，若上级拨款不够才会考虑使用县配套资金。改进措施：加强预算管理。</w:t>
            </w:r>
          </w:p>
        </w:tc>
      </w:tr>
      <w:tr w14:paraId="4F6FF4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4963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F15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654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71DE9">
            <w:pPr>
              <w:jc w:val="center"/>
            </w:pPr>
            <w:r>
              <w:rPr>
                <w:rFonts w:ascii="宋体" w:hAnsi="宋体" w:eastAsia="宋体"/>
                <w:sz w:val="16"/>
              </w:rPr>
              <w:t>助学金补助期数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2B9D8">
            <w:pPr>
              <w:jc w:val="center"/>
            </w:pPr>
            <w:r>
              <w:rPr>
                <w:rFonts w:ascii="宋体" w:hAnsi="宋体" w:eastAsia="宋体"/>
                <w:sz w:val="16"/>
              </w:rPr>
              <w:t>=2期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D9F28">
            <w:pPr>
              <w:jc w:val="center"/>
            </w:pPr>
            <w:r>
              <w:rPr>
                <w:rFonts w:ascii="宋体" w:hAnsi="宋体" w:eastAsia="宋体"/>
                <w:sz w:val="16"/>
              </w:rPr>
              <w:t>=0期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982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36F1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89AA1">
            <w:pPr>
              <w:jc w:val="center"/>
            </w:pPr>
            <w:r>
              <w:rPr>
                <w:rFonts w:ascii="宋体" w:hAnsi="宋体" w:eastAsia="宋体"/>
                <w:sz w:val="16"/>
              </w:rPr>
              <w:t>偏差原因：该项目由上级资金先支付，若上级拨款不够才会考虑使用县配套资金。改进措施：加强预算管理。</w:t>
            </w:r>
          </w:p>
        </w:tc>
      </w:tr>
      <w:tr w14:paraId="0C2009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C8B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A4C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84C4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AF495">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7C1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7807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C67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00B5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59BD9">
            <w:pPr>
              <w:jc w:val="center"/>
            </w:pPr>
            <w:r>
              <w:rPr>
                <w:rFonts w:ascii="宋体" w:hAnsi="宋体" w:eastAsia="宋体"/>
                <w:sz w:val="16"/>
              </w:rPr>
              <w:t>偏差原因：该项目由上级资金先支付，若上级拨款不够才会考虑使用县配套资金。改进措施：加强预算管理。</w:t>
            </w:r>
          </w:p>
        </w:tc>
      </w:tr>
      <w:tr w14:paraId="60EEF3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F52B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E97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5399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CB0A1">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BD2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C836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400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5A54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41752">
            <w:pPr>
              <w:jc w:val="center"/>
            </w:pPr>
            <w:r>
              <w:rPr>
                <w:rFonts w:ascii="宋体" w:hAnsi="宋体" w:eastAsia="宋体"/>
                <w:sz w:val="16"/>
              </w:rPr>
              <w:t>偏差原因：该项目由上级资金先支付，若上级拨款不够才会考虑使用县配套资金。改进措施：加强预算管理。</w:t>
            </w:r>
          </w:p>
        </w:tc>
      </w:tr>
      <w:tr w14:paraId="177AB7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8B9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69A4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833F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2B32F">
            <w:pPr>
              <w:jc w:val="center"/>
            </w:pPr>
            <w:r>
              <w:rPr>
                <w:rFonts w:ascii="宋体" w:hAnsi="宋体" w:eastAsia="宋体"/>
                <w:sz w:val="16"/>
              </w:rPr>
              <w:t>学生补助标准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0475B">
            <w:pPr>
              <w:jc w:val="center"/>
            </w:pPr>
            <w:r>
              <w:rPr>
                <w:rFonts w:ascii="宋体" w:hAnsi="宋体" w:eastAsia="宋体"/>
                <w:sz w:val="16"/>
              </w:rPr>
              <w:t>&lt;=80元/年/人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865F8">
            <w:pPr>
              <w:jc w:val="center"/>
            </w:pPr>
            <w:r>
              <w:rPr>
                <w:rFonts w:ascii="宋体" w:hAnsi="宋体" w:eastAsia="宋体"/>
                <w:sz w:val="16"/>
              </w:rPr>
              <w:t>=0元/年/人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D6A7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B9E7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3CACB">
            <w:pPr>
              <w:jc w:val="center"/>
            </w:pPr>
            <w:r>
              <w:rPr>
                <w:rFonts w:ascii="宋体" w:hAnsi="宋体" w:eastAsia="宋体"/>
                <w:sz w:val="16"/>
              </w:rPr>
              <w:t>偏差原因：该项目由上级资金先支付，若上级拨款不够才会考虑使用县配套资金。改进措施：加强预算管理。</w:t>
            </w:r>
          </w:p>
        </w:tc>
      </w:tr>
      <w:tr w14:paraId="1080F7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DEF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E688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640C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DD2ED">
            <w:pPr>
              <w:jc w:val="center"/>
            </w:pPr>
            <w:r>
              <w:rPr>
                <w:rFonts w:ascii="宋体" w:hAnsi="宋体" w:eastAsia="宋体"/>
                <w:sz w:val="16"/>
              </w:rPr>
              <w:t>保障学生享有公平教育权利，提高学生素质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331A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4077E">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E8DD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7163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A2FCD">
            <w:pPr>
              <w:jc w:val="center"/>
            </w:pPr>
            <w:r>
              <w:rPr>
                <w:rFonts w:ascii="宋体" w:hAnsi="宋体" w:eastAsia="宋体"/>
                <w:sz w:val="16"/>
              </w:rPr>
              <w:t>偏差原因：该项目由上级资金先支付，若上级拨款不够才会考虑使用县配套资金。改进措施：加强预算管理。</w:t>
            </w:r>
          </w:p>
        </w:tc>
      </w:tr>
      <w:tr w14:paraId="2070C1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57F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06AE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4A46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C1770">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D7ED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1873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0ED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F91F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8A8ED">
            <w:pPr>
              <w:jc w:val="center"/>
            </w:pPr>
            <w:r>
              <w:rPr>
                <w:rFonts w:ascii="宋体" w:hAnsi="宋体" w:eastAsia="宋体"/>
                <w:sz w:val="16"/>
              </w:rPr>
              <w:t>偏差原因：该项目由上级资金先支付，若上级拨款不够才会考虑使用县配套资金。改进措施：加强预算管理。</w:t>
            </w:r>
          </w:p>
        </w:tc>
      </w:tr>
      <w:tr w14:paraId="32A22D5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89A81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E411B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1E5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0C265">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6B9E591"/>
        </w:tc>
      </w:tr>
    </w:tbl>
    <w:p w14:paraId="54C19B7F">
      <w:r>
        <w:br w:type="page"/>
      </w:r>
    </w:p>
    <w:p w14:paraId="25951C5C">
      <w:pPr>
        <w:spacing w:line="640" w:lineRule="exact"/>
        <w:ind w:firstLine="640"/>
        <w:jc w:val="both"/>
        <w:outlineLvl w:val="2"/>
      </w:pPr>
      <w:r>
        <w:rPr>
          <w:rFonts w:ascii="黑体" w:hAnsi="黑体" w:eastAsia="黑体"/>
          <w:sz w:val="32"/>
        </w:rPr>
        <w:t>十二、其他需说明的事项</w:t>
      </w:r>
    </w:p>
    <w:p w14:paraId="06F1298E">
      <w:pPr>
        <w:spacing w:line="580" w:lineRule="exact"/>
        <w:ind w:firstLine="640"/>
        <w:jc w:val="both"/>
      </w:pPr>
      <w:r>
        <w:rPr>
          <w:rFonts w:ascii="仿宋_GB2312" w:hAnsi="仿宋_GB2312" w:eastAsia="仿宋_GB2312"/>
          <w:b w:val="0"/>
          <w:sz w:val="32"/>
        </w:rPr>
        <w:t>本单位无其他需说明的事项。</w:t>
      </w:r>
    </w:p>
    <w:p w14:paraId="75F3C9B2">
      <w:r>
        <w:br w:type="page"/>
      </w:r>
    </w:p>
    <w:p w14:paraId="60728A86">
      <w:pPr>
        <w:spacing w:line="240" w:lineRule="auto"/>
        <w:jc w:val="center"/>
        <w:outlineLvl w:val="1"/>
      </w:pPr>
      <w:r>
        <w:rPr>
          <w:rFonts w:ascii="黑体" w:hAnsi="黑体" w:eastAsia="黑体"/>
          <w:sz w:val="32"/>
        </w:rPr>
        <w:t>第三部分 专业名词解释</w:t>
      </w:r>
    </w:p>
    <w:p w14:paraId="7214DB5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F11359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C5E128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A33BE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5899D9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DA5A32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60FAB3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390117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B51B4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D627B2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36F36C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574FCA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02A03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F8FEB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2E6393">
      <w:r>
        <w:br w:type="page"/>
      </w:r>
    </w:p>
    <w:p w14:paraId="0275821A">
      <w:pPr>
        <w:spacing w:line="240" w:lineRule="auto"/>
        <w:jc w:val="center"/>
        <w:outlineLvl w:val="1"/>
      </w:pPr>
      <w:r>
        <w:rPr>
          <w:rFonts w:ascii="黑体" w:hAnsi="黑体" w:eastAsia="黑体"/>
          <w:sz w:val="32"/>
        </w:rPr>
        <w:t>第四部分 部门决算报表（见附表）</w:t>
      </w:r>
    </w:p>
    <w:p w14:paraId="484C0082">
      <w:pPr>
        <w:spacing w:line="240" w:lineRule="auto"/>
        <w:ind w:firstLine="640"/>
        <w:jc w:val="both"/>
      </w:pPr>
      <w:r>
        <w:rPr>
          <w:rFonts w:ascii="仿宋_GB2312" w:hAnsi="仿宋_GB2312" w:eastAsia="仿宋_GB2312"/>
          <w:b w:val="0"/>
          <w:sz w:val="32"/>
        </w:rPr>
        <w:t>一、《收入支出决算总表》</w:t>
      </w:r>
    </w:p>
    <w:p w14:paraId="44956C12">
      <w:pPr>
        <w:spacing w:line="240" w:lineRule="auto"/>
        <w:ind w:firstLine="640"/>
        <w:jc w:val="both"/>
      </w:pPr>
      <w:r>
        <w:rPr>
          <w:rFonts w:ascii="仿宋_GB2312" w:hAnsi="仿宋_GB2312" w:eastAsia="仿宋_GB2312"/>
          <w:b w:val="0"/>
          <w:sz w:val="32"/>
        </w:rPr>
        <w:t>二、《收入决算表》</w:t>
      </w:r>
    </w:p>
    <w:p w14:paraId="15D14A0E">
      <w:pPr>
        <w:spacing w:line="240" w:lineRule="auto"/>
        <w:ind w:firstLine="640"/>
        <w:jc w:val="both"/>
      </w:pPr>
      <w:r>
        <w:rPr>
          <w:rFonts w:ascii="仿宋_GB2312" w:hAnsi="仿宋_GB2312" w:eastAsia="仿宋_GB2312"/>
          <w:b w:val="0"/>
          <w:sz w:val="32"/>
        </w:rPr>
        <w:t>三、《支出决算表》</w:t>
      </w:r>
    </w:p>
    <w:p w14:paraId="6E10445E">
      <w:pPr>
        <w:spacing w:line="240" w:lineRule="auto"/>
        <w:ind w:firstLine="640"/>
        <w:jc w:val="both"/>
      </w:pPr>
      <w:r>
        <w:rPr>
          <w:rFonts w:ascii="仿宋_GB2312" w:hAnsi="仿宋_GB2312" w:eastAsia="仿宋_GB2312"/>
          <w:b w:val="0"/>
          <w:sz w:val="32"/>
        </w:rPr>
        <w:t>四、《财政拨款收入支出决算总表》</w:t>
      </w:r>
    </w:p>
    <w:p w14:paraId="74653E2E">
      <w:pPr>
        <w:spacing w:line="240" w:lineRule="auto"/>
        <w:ind w:firstLine="640"/>
        <w:jc w:val="both"/>
      </w:pPr>
      <w:r>
        <w:rPr>
          <w:rFonts w:ascii="仿宋_GB2312" w:hAnsi="仿宋_GB2312" w:eastAsia="仿宋_GB2312"/>
          <w:b w:val="0"/>
          <w:sz w:val="32"/>
        </w:rPr>
        <w:t>五、《一般公共预算财政拨款支出决算表》</w:t>
      </w:r>
    </w:p>
    <w:p w14:paraId="7BA65349">
      <w:pPr>
        <w:spacing w:line="240" w:lineRule="auto"/>
        <w:ind w:firstLine="640"/>
        <w:jc w:val="both"/>
      </w:pPr>
      <w:r>
        <w:rPr>
          <w:rFonts w:ascii="仿宋_GB2312" w:hAnsi="仿宋_GB2312" w:eastAsia="仿宋_GB2312"/>
          <w:b w:val="0"/>
          <w:sz w:val="32"/>
        </w:rPr>
        <w:t>六、《一般公共预算财政拨款基本支出决算表》</w:t>
      </w:r>
    </w:p>
    <w:p w14:paraId="40953D49">
      <w:pPr>
        <w:spacing w:line="240" w:lineRule="auto"/>
        <w:ind w:firstLine="640"/>
        <w:jc w:val="both"/>
      </w:pPr>
      <w:r>
        <w:rPr>
          <w:rFonts w:ascii="仿宋_GB2312" w:hAnsi="仿宋_GB2312" w:eastAsia="仿宋_GB2312"/>
          <w:b w:val="0"/>
          <w:sz w:val="32"/>
        </w:rPr>
        <w:t>七、《政府性基金预算财政拨款收入支出决算表》</w:t>
      </w:r>
    </w:p>
    <w:p w14:paraId="49D4E5CD">
      <w:pPr>
        <w:spacing w:line="240" w:lineRule="auto"/>
        <w:ind w:firstLine="640"/>
        <w:jc w:val="both"/>
      </w:pPr>
      <w:r>
        <w:rPr>
          <w:rFonts w:ascii="仿宋_GB2312" w:hAnsi="仿宋_GB2312" w:eastAsia="仿宋_GB2312"/>
          <w:b w:val="0"/>
          <w:sz w:val="32"/>
        </w:rPr>
        <w:t>八、《国有资本经营预算财政拨款收入支出决算表》</w:t>
      </w:r>
    </w:p>
    <w:p w14:paraId="5D9975F8">
      <w:pPr>
        <w:spacing w:line="240" w:lineRule="auto"/>
        <w:ind w:firstLine="640"/>
        <w:jc w:val="both"/>
      </w:pPr>
      <w:r>
        <w:rPr>
          <w:rFonts w:ascii="仿宋_GB2312" w:hAnsi="仿宋_GB2312" w:eastAsia="仿宋_GB2312"/>
          <w:b w:val="0"/>
          <w:sz w:val="32"/>
        </w:rPr>
        <w:t>九、《财政拨款“三公”经费支出决算表》</w:t>
      </w:r>
    </w:p>
    <w:p w14:paraId="40407779">
      <w:pPr>
        <w:spacing w:line="240" w:lineRule="auto"/>
        <w:ind w:firstLine="640"/>
        <w:jc w:val="both"/>
      </w:pPr>
    </w:p>
    <w:p w14:paraId="57042FDB">
      <w:pPr>
        <w:spacing w:line="240" w:lineRule="auto"/>
        <w:ind w:firstLine="640"/>
        <w:jc w:val="both"/>
      </w:pPr>
    </w:p>
    <w:p w14:paraId="382097C1">
      <w:pPr>
        <w:spacing w:line="240" w:lineRule="auto"/>
        <w:ind w:firstLine="640"/>
        <w:jc w:val="both"/>
      </w:pPr>
    </w:p>
    <w:p w14:paraId="02F8FE19">
      <w:pPr>
        <w:spacing w:line="240" w:lineRule="auto"/>
        <w:ind w:firstLine="640"/>
        <w:jc w:val="both"/>
      </w:pPr>
    </w:p>
    <w:p w14:paraId="34DDBA2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47587B-0EC4-4FE4-8A98-FE5C35FE61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B06D923-8934-4044-B05D-448205537AA2}"/>
  </w:font>
  <w:font w:name="仿宋_GB2312">
    <w:panose1 w:val="02010609030101010101"/>
    <w:charset w:val="86"/>
    <w:family w:val="modern"/>
    <w:pitch w:val="default"/>
    <w:sig w:usb0="00000001" w:usb1="080E0000" w:usb2="00000000" w:usb3="00000000" w:csb0="00040000" w:csb1="00000000"/>
    <w:embedRegular r:id="rId3" w:fontKey="{891D3F88-C839-4B0E-8F12-6E88AE5D5C2D}"/>
  </w:font>
  <w:font w:name="楷体_GB2312">
    <w:panose1 w:val="02010609030101010101"/>
    <w:charset w:val="86"/>
    <w:family w:val="auto"/>
    <w:pitch w:val="default"/>
    <w:sig w:usb0="00000001" w:usb1="080E0000" w:usb2="00000000" w:usb3="00000000" w:csb0="00040000" w:csb1="00000000"/>
    <w:embedRegular r:id="rId4" w:fontKey="{95869346-558E-400A-8BA1-CEF913F17E6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CD4112C"/>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B02355"/>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A633F7"/>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5351</Words>
  <Characters>6187</Characters>
  <Lines>0</Lines>
  <Paragraphs>0</Paragraphs>
  <TotalTime>142</TotalTime>
  <ScaleCrop>false</ScaleCrop>
  <LinksUpToDate>false</LinksUpToDate>
  <CharactersWithSpaces>6208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2025-09-25T07:37:30Z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