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7CB59B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民丰县群众工作服务中心</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CA1086A">
      <w:r>
        <w:br w:type="page"/>
      </w:r>
    </w:p>
    <w:p w14:paraId="6E412560">
      <w:pPr>
        <w:spacing w:line="640" w:lineRule="exact"/>
        <w:jc w:val="center"/>
        <w:outlineLvl w:val="1"/>
      </w:pPr>
      <w:r>
        <w:rPr>
          <w:rFonts w:ascii="黑体" w:hAnsi="黑体" w:eastAsia="黑体"/>
          <w:sz w:val="32"/>
        </w:rPr>
        <w:t>第一部分 单位概况</w:t>
      </w:r>
    </w:p>
    <w:p w14:paraId="7E33DFEC">
      <w:pPr>
        <w:spacing w:line="640" w:lineRule="exact"/>
        <w:ind w:firstLine="640"/>
        <w:jc w:val="both"/>
        <w:outlineLvl w:val="2"/>
      </w:pPr>
      <w:r>
        <w:rPr>
          <w:rFonts w:ascii="黑体" w:hAnsi="黑体" w:eastAsia="黑体"/>
          <w:sz w:val="32"/>
        </w:rPr>
        <w:t>一、主要职能</w:t>
      </w:r>
    </w:p>
    <w:p w14:paraId="7FE3EEFC">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全面贯彻落实自治区党委、地委关于加强群众工作的决策部署，落实县委系列工作安排，贯彻落实县委关于加强和改进群众工作的具体措施办法。统筹“为民办实事”工作小组、住户入户小组、教育保障小组、思想教育小组、生活困难帮扶小组、矛盾化解小组、民族团结一家亲和关爱工作小组、政策宣传小组、就业创业帮扶小组、医疗服务小组、妇女工作小组、青年工作小组等12个小组工作。加强与群众工作委员会成员及工作小组的沟通联系，每月向地区群众工作服务中心报告工作。</w:t>
      </w:r>
    </w:p>
    <w:p w14:paraId="0E5BECEE">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协调推进“为民办实事”工作、住户工作、民族团结服务工作。做好县、乡、村三级体系建设，配齐配强工作力量，推动工作规范运行。</w:t>
      </w:r>
    </w:p>
    <w:p w14:paraId="39D98B55">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协调推进群众就业、就学、就医、调解、培训、引导服务、保障等服务工作。大力宣传党的各项政策，结合民丰实际有针对性地撰写周一升国旗等宣讲材料并组织宣讲，积极协调开发各类工作岗位，组织有务工能力的群众转移就业和就近就业，加强职业技能培训和思想教育，解决无心就业、无岗就业、无技能就业、无平台创业等问题。落实好医疗保险、大病保险、全民体检、健康扶贫等优惠政策，确保群众病有所医。做好妇女儿童关心关爱、困难帮扶、思想疏导及婚姻家庭矛盾调解等工作，推进“妇女素质提升工程</w:t>
      </w:r>
      <w:r>
        <w:rPr>
          <w:rFonts w:hint="eastAsia" w:ascii="仿宋_GB2312" w:hAnsi="仿宋_GB2312" w:eastAsia="仿宋_GB2312"/>
          <w:sz w:val="32"/>
          <w:lang w:eastAsia="zh-CN"/>
        </w:rPr>
        <w:t>”“</w:t>
      </w:r>
      <w:r>
        <w:rPr>
          <w:rFonts w:ascii="仿宋_GB2312" w:hAnsi="仿宋_GB2312" w:eastAsia="仿宋_GB2312"/>
          <w:sz w:val="32"/>
        </w:rPr>
        <w:t>妇女就业致富工程”，做好80、90、00、10后等青少年关心关爱、心理疏导和思想教育，帮助树立正确的国家观民族观、历史观、文化观。做好群众矛盾纠纷化解，妥善解决矛盾纠纷、债务纠纷、涉法涉诉等问题，为群众提供法律援助，保障群众合法权益:加强心理干预治疗，及时疏导情绪、化解思想疙瘩;开展各年龄段学生心灵慰藉、思想教育和心理干预。加强幼儿园、中小学、职业教育全链接、全覆盖，做好控辍保学工作。抓好学校教育、农牧民培训、开放式办学“大教育”工作。做好群众思想教育工作，采取教育引导、思想引导、心理疏导、正面疏导等方式，因势利导、循循善诱地帮助群众解疑释惑，消除思想顾虑，化解思想疙瘩。</w:t>
      </w:r>
    </w:p>
    <w:p w14:paraId="525559B5">
      <w:pPr>
        <w:spacing w:line="640" w:lineRule="exact"/>
        <w:ind w:firstLine="640"/>
        <w:jc w:val="both"/>
        <w:outlineLvl w:val="2"/>
      </w:pPr>
      <w:r>
        <w:rPr>
          <w:rFonts w:ascii="黑体" w:hAnsi="黑体" w:eastAsia="黑体"/>
          <w:sz w:val="32"/>
        </w:rPr>
        <w:t>二、机构设置及人员情况</w:t>
      </w:r>
    </w:p>
    <w:p w14:paraId="0C27203A">
      <w:pPr>
        <w:spacing w:line="580" w:lineRule="exact"/>
        <w:ind w:firstLine="640"/>
        <w:jc w:val="both"/>
      </w:pPr>
      <w:r>
        <w:rPr>
          <w:rFonts w:ascii="仿宋_GB2312" w:hAnsi="仿宋_GB2312" w:eastAsia="仿宋_GB2312"/>
          <w:sz w:val="32"/>
        </w:rPr>
        <w:t>民丰县群众工作服务中心2024年度，实有人数4人，其中：在职人员4人，减少3人；离休人员0人，增加0人；退休人员0人,减少1人。</w:t>
      </w:r>
    </w:p>
    <w:p w14:paraId="7926C39D">
      <w:pPr>
        <w:spacing w:line="580" w:lineRule="exact"/>
        <w:ind w:firstLine="640"/>
        <w:jc w:val="both"/>
      </w:pPr>
      <w:r>
        <w:rPr>
          <w:rFonts w:ascii="仿宋_GB2312" w:hAnsi="仿宋_GB2312" w:eastAsia="仿宋_GB2312"/>
          <w:sz w:val="32"/>
        </w:rPr>
        <w:t>民丰县群众工作服务中心无下属预算单位，下设3个科室，分别是：综合办、业务办、财务办。</w:t>
      </w:r>
    </w:p>
    <w:p w14:paraId="1D695C4B">
      <w:r>
        <w:br w:type="page"/>
      </w:r>
    </w:p>
    <w:p w14:paraId="147725BA">
      <w:pPr>
        <w:spacing w:line="240" w:lineRule="auto"/>
        <w:jc w:val="center"/>
        <w:outlineLvl w:val="1"/>
      </w:pPr>
      <w:r>
        <w:rPr>
          <w:rFonts w:ascii="黑体" w:hAnsi="黑体" w:eastAsia="黑体"/>
          <w:sz w:val="32"/>
        </w:rPr>
        <w:t>第二部分 部门决算情况说明</w:t>
      </w:r>
    </w:p>
    <w:p w14:paraId="06EFB424">
      <w:pPr>
        <w:spacing w:line="640" w:lineRule="exact"/>
        <w:ind w:firstLine="640"/>
        <w:jc w:val="both"/>
        <w:outlineLvl w:val="2"/>
      </w:pPr>
      <w:r>
        <w:rPr>
          <w:rFonts w:ascii="黑体" w:hAnsi="黑体" w:eastAsia="黑体"/>
          <w:sz w:val="32"/>
        </w:rPr>
        <w:t>一、收入支出决算总体情况说明</w:t>
      </w:r>
    </w:p>
    <w:p w14:paraId="6B34992D">
      <w:pPr>
        <w:spacing w:line="580" w:lineRule="exact"/>
        <w:ind w:firstLine="640"/>
        <w:jc w:val="both"/>
      </w:pPr>
      <w:r>
        <w:rPr>
          <w:rFonts w:ascii="仿宋_GB2312" w:hAnsi="仿宋_GB2312" w:eastAsia="仿宋_GB2312"/>
          <w:b/>
          <w:sz w:val="32"/>
        </w:rPr>
        <w:t>2024年度收入总计80.12万元，</w:t>
      </w:r>
      <w:r>
        <w:rPr>
          <w:rFonts w:ascii="仿宋_GB2312" w:hAnsi="仿宋_GB2312" w:eastAsia="仿宋_GB2312"/>
          <w:b w:val="0"/>
          <w:sz w:val="32"/>
        </w:rPr>
        <w:t>其中：本年收入合计80.12万元，使用非财政拨款结余（含专用结余）0.00万元，年初结转和结余0.00万元。</w:t>
      </w:r>
    </w:p>
    <w:p w14:paraId="7080B64B">
      <w:pPr>
        <w:spacing w:line="580" w:lineRule="exact"/>
        <w:ind w:firstLine="640"/>
        <w:jc w:val="both"/>
      </w:pPr>
      <w:r>
        <w:rPr>
          <w:rFonts w:ascii="仿宋_GB2312" w:hAnsi="仿宋_GB2312" w:eastAsia="仿宋_GB2312"/>
          <w:b/>
          <w:sz w:val="32"/>
        </w:rPr>
        <w:t>2024年度支出总计80.12万元，</w:t>
      </w:r>
      <w:r>
        <w:rPr>
          <w:rFonts w:ascii="仿宋_GB2312" w:hAnsi="仿宋_GB2312" w:eastAsia="仿宋_GB2312"/>
          <w:b w:val="0"/>
          <w:sz w:val="32"/>
        </w:rPr>
        <w:t>其中：本年支出合计80.12万元，结余分配0.00万元，年末结转和结余0.00万元。</w:t>
      </w:r>
    </w:p>
    <w:p w14:paraId="72C008E1">
      <w:pPr>
        <w:spacing w:line="580" w:lineRule="exact"/>
        <w:ind w:firstLine="640"/>
        <w:jc w:val="both"/>
      </w:pPr>
      <w:r>
        <w:rPr>
          <w:rFonts w:ascii="仿宋_GB2312" w:hAnsi="仿宋_GB2312" w:eastAsia="仿宋_GB2312"/>
          <w:b w:val="0"/>
          <w:sz w:val="32"/>
        </w:rPr>
        <w:t>收入支出总体与上年相比，减少62.99万元，下降44.02%，主要原因是：本年在职人员减少，相关人员经费较上年减少。</w:t>
      </w:r>
    </w:p>
    <w:p w14:paraId="36B28B63">
      <w:pPr>
        <w:spacing w:line="640" w:lineRule="exact"/>
        <w:ind w:firstLine="640"/>
        <w:jc w:val="both"/>
        <w:outlineLvl w:val="2"/>
      </w:pPr>
      <w:r>
        <w:rPr>
          <w:rFonts w:ascii="黑体" w:hAnsi="黑体" w:eastAsia="黑体"/>
          <w:sz w:val="32"/>
        </w:rPr>
        <w:t>二、收入决算情况说明</w:t>
      </w:r>
    </w:p>
    <w:p w14:paraId="68676DEF">
      <w:pPr>
        <w:spacing w:line="580" w:lineRule="exact"/>
        <w:ind w:firstLine="640"/>
        <w:jc w:val="both"/>
      </w:pPr>
      <w:r>
        <w:rPr>
          <w:rFonts w:ascii="仿宋_GB2312" w:hAnsi="仿宋_GB2312" w:eastAsia="仿宋_GB2312"/>
          <w:b/>
          <w:sz w:val="32"/>
        </w:rPr>
        <w:t>本年收入80.12万元，</w:t>
      </w:r>
      <w:r>
        <w:rPr>
          <w:rFonts w:ascii="仿宋_GB2312" w:hAnsi="仿宋_GB2312" w:eastAsia="仿宋_GB2312"/>
          <w:b w:val="0"/>
          <w:sz w:val="32"/>
        </w:rPr>
        <w:t>其中：财政拨款收入80.12万元，占100.00%；上级补助收入0.00万元，占0.00%；事业收入0.00万元，占0.00%；经营收入0.00万元，占0.00%；附属单位上缴收入0.00万元，占0.00%；其他收入0.00万元，占0.00%。</w:t>
      </w:r>
    </w:p>
    <w:p w14:paraId="0EC50143">
      <w:pPr>
        <w:spacing w:line="640" w:lineRule="exact"/>
        <w:ind w:firstLine="640"/>
        <w:jc w:val="both"/>
        <w:outlineLvl w:val="2"/>
      </w:pPr>
      <w:r>
        <w:rPr>
          <w:rFonts w:ascii="黑体" w:hAnsi="黑体" w:eastAsia="黑体"/>
          <w:sz w:val="32"/>
        </w:rPr>
        <w:t>三、支出决算情况说明</w:t>
      </w:r>
    </w:p>
    <w:p w14:paraId="6503F786">
      <w:pPr>
        <w:spacing w:line="580" w:lineRule="exact"/>
        <w:ind w:firstLine="640"/>
        <w:jc w:val="both"/>
      </w:pPr>
      <w:r>
        <w:rPr>
          <w:rFonts w:ascii="仿宋_GB2312" w:hAnsi="仿宋_GB2312" w:eastAsia="仿宋_GB2312"/>
          <w:b/>
          <w:sz w:val="32"/>
        </w:rPr>
        <w:t>本年支出80.12万元，</w:t>
      </w:r>
      <w:r>
        <w:rPr>
          <w:rFonts w:ascii="仿宋_GB2312" w:hAnsi="仿宋_GB2312" w:eastAsia="仿宋_GB2312"/>
          <w:b w:val="0"/>
          <w:sz w:val="32"/>
        </w:rPr>
        <w:t>其中：基本支出80.12万元，占100.00%；项目支出0.00万元，占0.00%；上缴上级支出0.00万元，占0.00%；经营支出0.00万元，占0.00%；对附属单位补助支出0.00万元，占0.00%。</w:t>
      </w:r>
    </w:p>
    <w:p w14:paraId="65522D25">
      <w:pPr>
        <w:spacing w:line="640" w:lineRule="exact"/>
        <w:ind w:firstLine="640"/>
        <w:jc w:val="both"/>
        <w:outlineLvl w:val="2"/>
      </w:pPr>
      <w:r>
        <w:rPr>
          <w:rFonts w:ascii="黑体" w:hAnsi="黑体" w:eastAsia="黑体"/>
          <w:sz w:val="32"/>
        </w:rPr>
        <w:t>四、财政拨款收入支出决算总体情况说明</w:t>
      </w:r>
    </w:p>
    <w:p w14:paraId="4B515CD1">
      <w:pPr>
        <w:spacing w:line="580" w:lineRule="exact"/>
        <w:ind w:firstLine="640"/>
        <w:jc w:val="both"/>
      </w:pPr>
      <w:r>
        <w:rPr>
          <w:rFonts w:ascii="仿宋_GB2312" w:hAnsi="仿宋_GB2312" w:eastAsia="仿宋_GB2312"/>
          <w:b/>
          <w:sz w:val="32"/>
        </w:rPr>
        <w:t>2024年度财政拨款收入总计80.12万元，</w:t>
      </w:r>
      <w:r>
        <w:rPr>
          <w:rFonts w:ascii="仿宋_GB2312" w:hAnsi="仿宋_GB2312" w:eastAsia="仿宋_GB2312"/>
          <w:b w:val="0"/>
          <w:sz w:val="32"/>
        </w:rPr>
        <w:t>其中：年初财政拨款结转和结余0.00万元，本年财政拨款收入80.12万元。</w:t>
      </w:r>
      <w:r>
        <w:rPr>
          <w:rFonts w:ascii="仿宋_GB2312" w:hAnsi="仿宋_GB2312" w:eastAsia="仿宋_GB2312"/>
          <w:b/>
          <w:sz w:val="32"/>
        </w:rPr>
        <w:t>财政拨款支出总计80.12万元，</w:t>
      </w:r>
      <w:r>
        <w:rPr>
          <w:rFonts w:ascii="仿宋_GB2312" w:hAnsi="仿宋_GB2312" w:eastAsia="仿宋_GB2312"/>
          <w:b w:val="0"/>
          <w:sz w:val="32"/>
        </w:rPr>
        <w:t>其中：年末财政拨款结转和结余0.00万元，本年财政拨款支出80.12万元。</w:t>
      </w:r>
    </w:p>
    <w:p w14:paraId="200C4A7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减少62.99万元，下降44.02%，主要原因是：本年在职人员减少，相关人员经费较上年减少。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年初预算数140.15万元，决算数80.12万元，预决算差异率-42.83%，主要原因是：本年在职人员减少，年中调减人员经费，导致预决算存在差异。</w:t>
      </w:r>
    </w:p>
    <w:p w14:paraId="292F8DB9">
      <w:pPr>
        <w:spacing w:line="640" w:lineRule="exact"/>
        <w:ind w:firstLine="640"/>
        <w:jc w:val="both"/>
        <w:outlineLvl w:val="2"/>
      </w:pPr>
      <w:r>
        <w:rPr>
          <w:rFonts w:ascii="黑体" w:hAnsi="黑体" w:eastAsia="黑体"/>
          <w:sz w:val="32"/>
        </w:rPr>
        <w:t>五、一般公共预算财政拨款支出决算情况说明</w:t>
      </w:r>
    </w:p>
    <w:p w14:paraId="03F3218D">
      <w:pPr>
        <w:spacing w:line="640" w:lineRule="exact"/>
        <w:ind w:firstLine="640"/>
        <w:jc w:val="both"/>
        <w:outlineLvl w:val="3"/>
      </w:pPr>
      <w:r>
        <w:rPr>
          <w:rFonts w:ascii="楷体_GB2312" w:hAnsi="楷体_GB2312" w:eastAsia="楷体_GB2312"/>
          <w:b/>
          <w:sz w:val="32"/>
        </w:rPr>
        <w:t>（一）一般公共预算财政拨款支出决算总体情况</w:t>
      </w:r>
    </w:p>
    <w:p w14:paraId="1E4E0A8E">
      <w:pPr>
        <w:spacing w:line="580" w:lineRule="exact"/>
        <w:ind w:firstLine="640"/>
        <w:jc w:val="both"/>
      </w:pPr>
      <w:r>
        <w:rPr>
          <w:rFonts w:ascii="仿宋_GB2312" w:hAnsi="仿宋_GB2312" w:eastAsia="仿宋_GB2312"/>
          <w:b/>
          <w:sz w:val="32"/>
        </w:rPr>
        <w:t>2024年度一般公共预算财政拨款支出80.12万元，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减少62.99万元，下降44.02%，主要原因是：本年在职人员减少，相关人员经费较上年减少。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年初预算数140.15万元，决算数80.12万元，预决算差异率-42.83%，主要原因是：本年在职人员减少，年中调减人员经费，导致预决算存在差异。</w:t>
      </w:r>
    </w:p>
    <w:p w14:paraId="66373D8B">
      <w:pPr>
        <w:spacing w:line="640" w:lineRule="exact"/>
        <w:ind w:firstLine="640"/>
        <w:jc w:val="both"/>
        <w:outlineLvl w:val="3"/>
      </w:pPr>
      <w:r>
        <w:rPr>
          <w:rFonts w:ascii="楷体_GB2312" w:hAnsi="楷体_GB2312" w:eastAsia="楷体_GB2312"/>
          <w:b/>
          <w:sz w:val="32"/>
        </w:rPr>
        <w:t>（二）一般公共预算财政拨款支出决算结构情况</w:t>
      </w:r>
    </w:p>
    <w:p w14:paraId="050594C9">
      <w:pPr>
        <w:spacing w:line="580" w:lineRule="exact"/>
        <w:ind w:firstLine="640"/>
        <w:jc w:val="both"/>
      </w:pPr>
      <w:r>
        <w:rPr>
          <w:rFonts w:ascii="仿宋_GB2312" w:hAnsi="仿宋_GB2312" w:eastAsia="仿宋_GB2312"/>
          <w:b w:val="0"/>
          <w:sz w:val="32"/>
        </w:rPr>
        <w:t>1.一般公共服务支出(类)61.86万元,占77.21%。</w:t>
      </w:r>
    </w:p>
    <w:p w14:paraId="46B377B2">
      <w:pPr>
        <w:spacing w:line="580" w:lineRule="exact"/>
        <w:ind w:firstLine="640"/>
        <w:jc w:val="both"/>
      </w:pPr>
      <w:r>
        <w:rPr>
          <w:rFonts w:ascii="仿宋_GB2312" w:hAnsi="仿宋_GB2312" w:eastAsia="仿宋_GB2312"/>
          <w:b w:val="0"/>
          <w:sz w:val="32"/>
        </w:rPr>
        <w:t>2.社会保障和就业支出(类)8.48万元,占10.58%。</w:t>
      </w:r>
    </w:p>
    <w:p w14:paraId="61E79FF3">
      <w:pPr>
        <w:spacing w:line="580" w:lineRule="exact"/>
        <w:ind w:firstLine="640"/>
        <w:jc w:val="both"/>
      </w:pPr>
      <w:r>
        <w:rPr>
          <w:rFonts w:ascii="仿宋_GB2312" w:hAnsi="仿宋_GB2312" w:eastAsia="仿宋_GB2312"/>
          <w:b w:val="0"/>
          <w:sz w:val="32"/>
        </w:rPr>
        <w:t>3.卫生健康支出(类)3.63万元,占4.53%。</w:t>
      </w:r>
    </w:p>
    <w:p w14:paraId="2E38129D">
      <w:pPr>
        <w:spacing w:line="580" w:lineRule="exact"/>
        <w:ind w:firstLine="640"/>
        <w:jc w:val="both"/>
      </w:pPr>
      <w:r>
        <w:rPr>
          <w:rFonts w:ascii="仿宋_GB2312" w:hAnsi="仿宋_GB2312" w:eastAsia="仿宋_GB2312"/>
          <w:b w:val="0"/>
          <w:sz w:val="32"/>
        </w:rPr>
        <w:t>4.住房保障支出(类)6.15万元,占7.68%。</w:t>
      </w:r>
    </w:p>
    <w:p w14:paraId="6B4288FF">
      <w:pPr>
        <w:spacing w:line="640" w:lineRule="exact"/>
        <w:ind w:firstLine="640"/>
        <w:jc w:val="both"/>
        <w:outlineLvl w:val="3"/>
      </w:pPr>
      <w:r>
        <w:rPr>
          <w:rFonts w:ascii="楷体_GB2312" w:hAnsi="楷体_GB2312" w:eastAsia="楷体_GB2312"/>
          <w:b/>
          <w:sz w:val="32"/>
        </w:rPr>
        <w:t>（三）一般公共预算财政拨款支出决算具体情况</w:t>
      </w:r>
    </w:p>
    <w:p w14:paraId="0F277036">
      <w:pPr>
        <w:spacing w:line="580" w:lineRule="exact"/>
        <w:ind w:firstLine="640"/>
        <w:jc w:val="both"/>
      </w:pPr>
      <w:r>
        <w:rPr>
          <w:rFonts w:ascii="仿宋_GB2312" w:hAnsi="仿宋_GB2312" w:eastAsia="仿宋_GB2312"/>
          <w:b w:val="0"/>
          <w:sz w:val="32"/>
        </w:rPr>
        <w:t>1.一般公共服务支出(类)群众团体事务(款)事业运行(项):支出决算数为61.86万元，比上年决算减少62.79万元，下降50.37%,主要原因是：一是本年在职人员减少，相应人员经费较上年减少。二是上年度退休人员经费，在职人员医疗、住房公积金在本科目列支，本年单独列支，导致经费下降。</w:t>
      </w:r>
    </w:p>
    <w:p w14:paraId="1116FD83">
      <w:pPr>
        <w:spacing w:line="580" w:lineRule="exact"/>
        <w:ind w:firstLine="640"/>
        <w:jc w:val="both"/>
      </w:pPr>
      <w:r>
        <w:rPr>
          <w:rFonts w:ascii="仿宋_GB2312" w:hAnsi="仿宋_GB2312" w:eastAsia="仿宋_GB2312"/>
          <w:b w:val="0"/>
          <w:sz w:val="32"/>
        </w:rPr>
        <w:t>2.社会保障和就业支出(类)行政事业单位养老支出(款)事业单位离退休(项):支出决算数为0.55万元，比上年决算增加0.55万元，增长100.00%,主要原因是：本年功能科目调整，事业单位离退休上年度在主科目列支，本年单独列支，导致经费较上年增加。</w:t>
      </w:r>
    </w:p>
    <w:p w14:paraId="50D74A9A">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7.93万元，比上年决算减少3.57万元，下降31.04%,主要原因是：本年在职人员减少，单位基本养老保险缴费较上年减少。</w:t>
      </w:r>
    </w:p>
    <w:p w14:paraId="684D5ABD">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4.社会保障和就业支出(类)行政事业单位养老支出(款)机关事业单位职业年金缴费支出(项):支出决算数为0.00万元，比上年决算减少6.96万元，下降100.00%,主要原因是：本年无新增退休人员，无职业年金缴费支出。</w:t>
      </w:r>
    </w:p>
    <w:p w14:paraId="34FF7DA4">
      <w:pPr>
        <w:spacing w:line="580" w:lineRule="exact"/>
        <w:ind w:firstLine="640"/>
        <w:jc w:val="both"/>
      </w:pPr>
      <w:r>
        <w:rPr>
          <w:rFonts w:ascii="仿宋_GB2312" w:hAnsi="仿宋_GB2312" w:eastAsia="仿宋_GB2312"/>
          <w:b w:val="0"/>
          <w:sz w:val="32"/>
        </w:rPr>
        <w:t>5.卫生健康支出(类)行政事业单位医疗(款)事业单位医疗(项):支出决算数为3.22万元，比上年决算增加3.22万元，增长100.00%,主要原因是：本年功能科目调整，事业单位医疗支出上年度在主科目列支，本年单独列支，导致经费较上年增加。</w:t>
      </w:r>
    </w:p>
    <w:p w14:paraId="06E8AD87">
      <w:pPr>
        <w:spacing w:line="580" w:lineRule="exact"/>
        <w:ind w:firstLine="640"/>
        <w:jc w:val="both"/>
      </w:pPr>
      <w:r>
        <w:rPr>
          <w:rFonts w:ascii="仿宋_GB2312" w:hAnsi="仿宋_GB2312" w:eastAsia="仿宋_GB2312"/>
          <w:b w:val="0"/>
          <w:sz w:val="32"/>
        </w:rPr>
        <w:t>6.卫生健康支出(类)行政事业单位医疗(款)其他行政事业单位医疗支出(项):支出决算数为0.41万元，比上年决算增加0.41万元，增长100.00%,主要原因是：本年功能科目调整，职工大病，工伤，失业保险支出上年度在主科目列支，本年单独列支，导致经费较上年增加。</w:t>
      </w:r>
    </w:p>
    <w:p w14:paraId="2663007B">
      <w:pPr>
        <w:spacing w:line="580" w:lineRule="exact"/>
        <w:ind w:firstLine="640"/>
        <w:jc w:val="both"/>
      </w:pPr>
      <w:r>
        <w:rPr>
          <w:rFonts w:ascii="仿宋_GB2312" w:hAnsi="仿宋_GB2312" w:eastAsia="仿宋_GB2312"/>
          <w:b w:val="0"/>
          <w:sz w:val="32"/>
        </w:rPr>
        <w:t>7.住房保障支出(类)住房改革支出(款)住房公积金(项):支出决算数为6.15万元，比上年决算增加6.15万元，增长100.00%,主要原因是：本年功能科目调整，住房公积金上年度在主科目列支，本年单独列支，导致经费较上年增加。</w:t>
      </w:r>
    </w:p>
    <w:p w14:paraId="37D9B608">
      <w:pPr>
        <w:spacing w:line="640" w:lineRule="exact"/>
        <w:ind w:firstLine="640"/>
        <w:jc w:val="both"/>
        <w:outlineLvl w:val="2"/>
      </w:pPr>
      <w:r>
        <w:rPr>
          <w:rFonts w:ascii="黑体" w:hAnsi="黑体" w:eastAsia="黑体"/>
          <w:sz w:val="32"/>
        </w:rPr>
        <w:t>六、一般公共预算财政拨款基本支出决算情况说明</w:t>
      </w:r>
    </w:p>
    <w:p w14:paraId="0BD00C43">
      <w:pPr>
        <w:spacing w:line="580" w:lineRule="exact"/>
        <w:ind w:firstLine="640"/>
        <w:jc w:val="both"/>
      </w:pPr>
      <w:r>
        <w:rPr>
          <w:rFonts w:ascii="仿宋_GB2312" w:hAnsi="仿宋_GB2312" w:eastAsia="仿宋_GB2312"/>
          <w:b w:val="0"/>
          <w:sz w:val="32"/>
        </w:rPr>
        <w:t>2024年度一般公共预算财政拨款基本支出80.12万元，其中：</w:t>
      </w:r>
      <w:r>
        <w:rPr>
          <w:rFonts w:ascii="仿宋_GB2312" w:hAnsi="仿宋_GB2312" w:eastAsia="仿宋_GB2312"/>
          <w:b/>
          <w:sz w:val="32"/>
        </w:rPr>
        <w:t>人员经费79.90万元，</w:t>
      </w:r>
      <w:r>
        <w:rPr>
          <w:rFonts w:ascii="仿宋_GB2312" w:hAnsi="仿宋_GB2312" w:eastAsia="仿宋_GB2312"/>
          <w:b w:val="0"/>
          <w:sz w:val="32"/>
        </w:rPr>
        <w:t>包括：基本工资、津贴补贴、奖金、绩效工资、机关事业单位基本养老保险缴费、职工基本医疗保险缴费、其他社会保障缴费、住房公积金、退休费。</w:t>
      </w:r>
    </w:p>
    <w:p w14:paraId="59A7BBA2">
      <w:pPr>
        <w:spacing w:line="580" w:lineRule="exact"/>
        <w:ind w:firstLine="640"/>
        <w:jc w:val="both"/>
      </w:pPr>
      <w:r>
        <w:rPr>
          <w:rFonts w:ascii="仿宋_GB2312" w:hAnsi="仿宋_GB2312" w:eastAsia="仿宋_GB2312"/>
          <w:b/>
          <w:sz w:val="32"/>
        </w:rPr>
        <w:t>公用经费0.22万元，</w:t>
      </w:r>
      <w:r>
        <w:rPr>
          <w:rFonts w:ascii="仿宋_GB2312" w:hAnsi="仿宋_GB2312" w:eastAsia="仿宋_GB2312"/>
          <w:b w:val="0"/>
          <w:sz w:val="32"/>
        </w:rPr>
        <w:t>包括：办公费、培训费。</w:t>
      </w:r>
    </w:p>
    <w:p w14:paraId="1CE7DCF1">
      <w:pPr>
        <w:spacing w:line="640" w:lineRule="exact"/>
        <w:ind w:firstLine="640"/>
        <w:jc w:val="both"/>
        <w:outlineLvl w:val="2"/>
      </w:pPr>
      <w:r>
        <w:rPr>
          <w:rFonts w:ascii="黑体" w:hAnsi="黑体" w:eastAsia="黑体"/>
          <w:sz w:val="32"/>
        </w:rPr>
        <w:t>七、政府性基金预算财政拨款收入支出决算情况说明</w:t>
      </w:r>
    </w:p>
    <w:p w14:paraId="41B72BC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107F411">
      <w:pPr>
        <w:spacing w:line="640" w:lineRule="exact"/>
        <w:ind w:firstLine="640"/>
        <w:jc w:val="both"/>
        <w:outlineLvl w:val="2"/>
      </w:pPr>
      <w:r>
        <w:rPr>
          <w:rFonts w:ascii="黑体" w:hAnsi="黑体" w:eastAsia="黑体"/>
          <w:sz w:val="32"/>
        </w:rPr>
        <w:t>八、国有资本经营预算财政拨款收入支出决算情况说明</w:t>
      </w:r>
    </w:p>
    <w:p w14:paraId="53BA544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9E93A11">
      <w:pPr>
        <w:spacing w:line="640" w:lineRule="exact"/>
        <w:ind w:firstLine="640"/>
        <w:jc w:val="both"/>
        <w:outlineLvl w:val="2"/>
      </w:pPr>
      <w:r>
        <w:rPr>
          <w:rFonts w:ascii="黑体" w:hAnsi="黑体" w:eastAsia="黑体"/>
          <w:sz w:val="32"/>
        </w:rPr>
        <w:t>九、财政拨款“三公”经费支出决算情况说明</w:t>
      </w:r>
    </w:p>
    <w:p w14:paraId="6DB093A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C97BE40">
      <w:pPr>
        <w:spacing w:line="580" w:lineRule="exact"/>
        <w:ind w:firstLine="640"/>
        <w:jc w:val="both"/>
      </w:pPr>
      <w:r>
        <w:rPr>
          <w:rFonts w:ascii="仿宋_GB2312" w:hAnsi="仿宋_GB2312" w:eastAsia="仿宋_GB2312"/>
          <w:b/>
          <w:sz w:val="32"/>
        </w:rPr>
        <w:t>具体情况如下：</w:t>
      </w:r>
    </w:p>
    <w:p w14:paraId="59B4872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69F3CEF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71A19EFB">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4342C1F5">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AFC5BC1">
      <w:pPr>
        <w:spacing w:line="640" w:lineRule="exact"/>
        <w:ind w:firstLine="640"/>
        <w:jc w:val="both"/>
        <w:outlineLvl w:val="2"/>
      </w:pPr>
      <w:r>
        <w:rPr>
          <w:rFonts w:ascii="黑体" w:hAnsi="黑体" w:eastAsia="黑体"/>
          <w:sz w:val="32"/>
        </w:rPr>
        <w:t>十、其他重要事项的情况说明</w:t>
      </w:r>
    </w:p>
    <w:p w14:paraId="75D0F0C1">
      <w:pPr>
        <w:spacing w:line="640" w:lineRule="exact"/>
        <w:ind w:firstLine="640"/>
        <w:jc w:val="both"/>
        <w:outlineLvl w:val="3"/>
      </w:pPr>
      <w:r>
        <w:rPr>
          <w:rFonts w:ascii="楷体_GB2312" w:hAnsi="楷体_GB2312" w:eastAsia="楷体_GB2312"/>
          <w:b/>
          <w:sz w:val="32"/>
        </w:rPr>
        <w:t>（一）机关运行经费及公用经费支出情况</w:t>
      </w:r>
    </w:p>
    <w:p w14:paraId="1D4E4C29">
      <w:pPr>
        <w:spacing w:line="580" w:lineRule="exact"/>
        <w:ind w:firstLine="640"/>
        <w:jc w:val="both"/>
      </w:pPr>
      <w:r>
        <w:rPr>
          <w:rFonts w:ascii="仿宋_GB2312" w:hAnsi="仿宋_GB2312" w:eastAsia="仿宋_GB2312"/>
          <w:b w:val="0"/>
          <w:sz w:val="32"/>
        </w:rPr>
        <w:t>2024年度民丰县群众工作服务中心（事业单位）公用经费支出0.22万元，比上年减少9.69万元，下降97.78%，主要原因是：在职人员减少，减少办公费、邮电费、电费支出。</w:t>
      </w:r>
    </w:p>
    <w:p w14:paraId="6DE2650D">
      <w:pPr>
        <w:spacing w:line="640" w:lineRule="exact"/>
        <w:ind w:firstLine="640"/>
        <w:jc w:val="both"/>
        <w:outlineLvl w:val="3"/>
      </w:pPr>
      <w:r>
        <w:rPr>
          <w:rFonts w:ascii="楷体_GB2312" w:hAnsi="楷体_GB2312" w:eastAsia="楷体_GB2312"/>
          <w:b/>
          <w:sz w:val="32"/>
        </w:rPr>
        <w:t>（二）政府采购情况</w:t>
      </w:r>
    </w:p>
    <w:p w14:paraId="7B71C98A">
      <w:pPr>
        <w:spacing w:line="580" w:lineRule="exact"/>
        <w:ind w:firstLine="640"/>
        <w:jc w:val="both"/>
      </w:pPr>
      <w:r>
        <w:rPr>
          <w:rFonts w:ascii="仿宋_GB2312" w:hAnsi="仿宋_GB2312" w:eastAsia="仿宋_GB2312"/>
          <w:b w:val="0"/>
          <w:sz w:val="32"/>
        </w:rPr>
        <w:t>2024年度政府采购支出总额0.12万元，其中：政府采购货物支出0.12万元、政府采购工程支出0.00万元、政府采购服务支出0.00万元。</w:t>
      </w:r>
    </w:p>
    <w:p w14:paraId="67A57AC6">
      <w:pPr>
        <w:spacing w:line="580" w:lineRule="exact"/>
        <w:ind w:firstLine="640"/>
        <w:jc w:val="both"/>
      </w:pPr>
      <w:r>
        <w:rPr>
          <w:rFonts w:ascii="仿宋_GB2312" w:hAnsi="仿宋_GB2312" w:eastAsia="仿宋_GB2312"/>
          <w:b w:val="0"/>
          <w:sz w:val="32"/>
        </w:rPr>
        <w:t>授予中小企业合同金额0.12万元，占政府采购支出总额的100.00%，其中：授予小微企业合同金额0.12万元，占政府采购支出总额的100.00%。</w:t>
      </w:r>
    </w:p>
    <w:p w14:paraId="08DCF276">
      <w:pPr>
        <w:spacing w:line="640" w:lineRule="exact"/>
        <w:ind w:firstLine="640"/>
        <w:jc w:val="both"/>
        <w:outlineLvl w:val="3"/>
      </w:pPr>
      <w:r>
        <w:rPr>
          <w:rFonts w:ascii="楷体_GB2312" w:hAnsi="楷体_GB2312" w:eastAsia="楷体_GB2312"/>
          <w:b/>
          <w:sz w:val="32"/>
        </w:rPr>
        <w:t>（三）国有资产占用情况说明</w:t>
      </w:r>
    </w:p>
    <w:p w14:paraId="451ED5A8">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2537808A">
      <w:pPr>
        <w:spacing w:line="640" w:lineRule="exact"/>
        <w:ind w:firstLine="640"/>
        <w:jc w:val="both"/>
        <w:outlineLvl w:val="2"/>
      </w:pPr>
      <w:r>
        <w:rPr>
          <w:rFonts w:ascii="黑体" w:hAnsi="黑体" w:eastAsia="黑体"/>
          <w:sz w:val="32"/>
        </w:rPr>
        <w:t>十一、预算绩效的情况说明</w:t>
      </w:r>
    </w:p>
    <w:p w14:paraId="3F57EC2B">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80.12万元，实际执行总额80.12万元；预算绩效评价项目0个，全年预算数0.00万元，全年执行数0.00万元。预算绩效管理取得的成效：2024年</w:t>
      </w:r>
      <w:bookmarkStart w:id="0" w:name="_GoBack"/>
      <w:r>
        <w:rPr>
          <w:rFonts w:hint="eastAsia" w:ascii="仿宋_GB2312" w:hAnsi="仿宋_GB2312" w:eastAsia="仿宋_GB2312"/>
          <w:b w:val="0"/>
          <w:sz w:val="32"/>
          <w:lang w:eastAsia="zh-CN"/>
        </w:rPr>
        <w:t>本单位</w:t>
      </w:r>
      <w:bookmarkEnd w:id="0"/>
      <w:r>
        <w:rPr>
          <w:rFonts w:ascii="仿宋_GB2312" w:hAnsi="仿宋_GB2312" w:eastAsia="仿宋_GB2312"/>
          <w:b w:val="0"/>
          <w:sz w:val="32"/>
        </w:rPr>
        <w:t>无预算绩效项目。发现的问题及原因：2024年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无预算绩效项目。下一步改进措施：2024年</w:t>
      </w:r>
      <w:r>
        <w:rPr>
          <w:rFonts w:hint="eastAsia" w:ascii="仿宋_GB2312" w:hAnsi="仿宋_GB2312" w:eastAsia="仿宋_GB2312"/>
          <w:b w:val="0"/>
          <w:sz w:val="32"/>
          <w:lang w:eastAsia="zh-CN"/>
        </w:rPr>
        <w:t>本单位</w:t>
      </w:r>
      <w:r>
        <w:rPr>
          <w:rFonts w:ascii="仿宋_GB2312" w:hAnsi="仿宋_GB2312" w:eastAsia="仿宋_GB2312"/>
          <w:b w:val="0"/>
          <w:sz w:val="32"/>
        </w:rPr>
        <w:t>无预算绩效项目。具体附整体支出绩效自评表。</w:t>
      </w:r>
    </w:p>
    <w:p w14:paraId="4BE23817">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073EF6FB">
        <w:tblPrEx>
          <w:tblCellMar>
            <w:top w:w="0" w:type="dxa"/>
            <w:left w:w="108" w:type="dxa"/>
            <w:bottom w:w="0" w:type="dxa"/>
            <w:right w:w="108" w:type="dxa"/>
          </w:tblCellMar>
        </w:tblPrEx>
        <w:tc>
          <w:tcPr>
            <w:tcW w:w="8847" w:type="dxa"/>
            <w:gridSpan w:val="9"/>
            <w:vAlign w:val="center"/>
          </w:tcPr>
          <w:p w14:paraId="469CE426">
            <w:pPr>
              <w:jc w:val="center"/>
            </w:pPr>
            <w:r>
              <w:rPr>
                <w:rFonts w:ascii="宋体" w:hAnsi="宋体" w:eastAsia="宋体"/>
                <w:sz w:val="24"/>
              </w:rPr>
              <w:t>单位整体支出绩效自评表</w:t>
            </w:r>
          </w:p>
        </w:tc>
      </w:tr>
      <w:tr w14:paraId="30EA8199">
        <w:tblPrEx>
          <w:tblCellMar>
            <w:top w:w="0" w:type="dxa"/>
            <w:left w:w="108" w:type="dxa"/>
            <w:bottom w:w="0" w:type="dxa"/>
            <w:right w:w="108" w:type="dxa"/>
          </w:tblCellMar>
        </w:tblPrEx>
        <w:tc>
          <w:tcPr>
            <w:tcW w:w="8847" w:type="dxa"/>
            <w:gridSpan w:val="9"/>
            <w:vAlign w:val="center"/>
          </w:tcPr>
          <w:p w14:paraId="03C711D2">
            <w:pPr>
              <w:jc w:val="center"/>
            </w:pPr>
            <w:r>
              <w:rPr>
                <w:rFonts w:ascii="宋体" w:hAnsi="宋体" w:eastAsia="宋体"/>
                <w:sz w:val="24"/>
              </w:rPr>
              <w:t>（2024年度）</w:t>
            </w:r>
          </w:p>
        </w:tc>
      </w:tr>
      <w:tr w14:paraId="23A67B27">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11489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71141B6">
            <w:pPr>
              <w:jc w:val="center"/>
            </w:pPr>
            <w:r>
              <w:rPr>
                <w:rFonts w:ascii="宋体" w:hAnsi="宋体" w:eastAsia="宋体"/>
                <w:sz w:val="16"/>
              </w:rPr>
              <w:t>民丰县群众工作服务中心</w:t>
            </w:r>
          </w:p>
        </w:tc>
      </w:tr>
      <w:tr w14:paraId="05F3D27A">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DA2642">
            <w:pPr>
              <w:jc w:val="center"/>
            </w:pPr>
            <w:r>
              <w:rPr>
                <w:rFonts w:ascii="宋体" w:hAnsi="宋体" w:eastAsia="宋体"/>
                <w:sz w:val="16"/>
              </w:rPr>
              <w:t>年度预算（万元）</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4F242D">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4CEEB6">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866E7C">
            <w:pPr>
              <w:jc w:val="center"/>
            </w:pPr>
            <w:r>
              <w:rPr>
                <w:rFonts w:ascii="宋体" w:hAnsi="宋体" w:eastAsia="宋体"/>
                <w:sz w:val="16"/>
              </w:rPr>
              <w:t>全年预算数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3B7D037">
            <w:pPr>
              <w:jc w:val="center"/>
            </w:pPr>
            <w:r>
              <w:rPr>
                <w:rFonts w:ascii="宋体" w:hAnsi="宋体" w:eastAsia="宋体"/>
                <w:sz w:val="16"/>
              </w:rPr>
              <w:t>全年执行数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2B79E">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7585F8">
            <w:pPr>
              <w:jc w:val="center"/>
            </w:pPr>
            <w:r>
              <w:rPr>
                <w:rFonts w:ascii="宋体" w:hAnsi="宋体" w:eastAsia="宋体"/>
                <w:sz w:val="16"/>
              </w:rPr>
              <w:t>执行率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B12D2F">
            <w:pPr>
              <w:jc w:val="center"/>
            </w:pPr>
            <w:r>
              <w:rPr>
                <w:rFonts w:ascii="宋体" w:hAnsi="宋体" w:eastAsia="宋体"/>
                <w:sz w:val="16"/>
              </w:rPr>
              <w:t>得分</w:t>
            </w:r>
          </w:p>
        </w:tc>
      </w:tr>
      <w:tr w14:paraId="72BF295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47D9976"/>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4B4A1C">
            <w:pPr>
              <w:jc w:val="center"/>
            </w:pPr>
            <w:r>
              <w:rPr>
                <w:rFonts w:ascii="宋体" w:hAnsi="宋体" w:eastAsia="宋体"/>
                <w:sz w:val="16"/>
              </w:rPr>
              <w:t>财政资金（万元）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F510EE">
            <w:pPr>
              <w:jc w:val="center"/>
            </w:pPr>
            <w:r>
              <w:rPr>
                <w:rFonts w:ascii="宋体" w:hAnsi="宋体" w:eastAsia="宋体"/>
                <w:sz w:val="16"/>
              </w:rPr>
              <w:t>上级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B1380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31C24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B0353E">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B0F902">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274B4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0ACA6C">
            <w:pPr>
              <w:jc w:val="center"/>
            </w:pPr>
            <w:r>
              <w:rPr>
                <w:rFonts w:ascii="宋体" w:hAnsi="宋体" w:eastAsia="宋体"/>
                <w:sz w:val="16"/>
              </w:rPr>
              <w:t>-</w:t>
            </w:r>
          </w:p>
        </w:tc>
      </w:tr>
      <w:tr w14:paraId="19D1725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60016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24AF0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F19269">
            <w:pPr>
              <w:jc w:val="center"/>
            </w:pPr>
            <w:r>
              <w:rPr>
                <w:rFonts w:ascii="宋体" w:hAnsi="宋体" w:eastAsia="宋体"/>
                <w:sz w:val="16"/>
              </w:rPr>
              <w:t>本级</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CBE238">
            <w:pPr>
              <w:jc w:val="center"/>
            </w:pPr>
            <w:r>
              <w:rPr>
                <w:rFonts w:ascii="宋体" w:hAnsi="宋体" w:eastAsia="宋体"/>
                <w:sz w:val="16"/>
              </w:rPr>
              <w:t>140.15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A47A18">
            <w:pPr>
              <w:jc w:val="center"/>
            </w:pPr>
            <w:r>
              <w:rPr>
                <w:rFonts w:ascii="宋体" w:hAnsi="宋体" w:eastAsia="宋体"/>
                <w:sz w:val="16"/>
              </w:rPr>
              <w:t>80.12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F6CE79">
            <w:pPr>
              <w:jc w:val="center"/>
            </w:pPr>
            <w:r>
              <w:rPr>
                <w:rFonts w:ascii="宋体" w:hAnsi="宋体" w:eastAsia="宋体"/>
                <w:sz w:val="16"/>
              </w:rPr>
              <w:t>80.12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01964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969BC1">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E51449">
            <w:pPr>
              <w:jc w:val="center"/>
            </w:pPr>
            <w:r>
              <w:rPr>
                <w:rFonts w:ascii="宋体" w:hAnsi="宋体" w:eastAsia="宋体"/>
                <w:sz w:val="16"/>
              </w:rPr>
              <w:t>-</w:t>
            </w:r>
          </w:p>
        </w:tc>
      </w:tr>
      <w:tr w14:paraId="5E26D4E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3FF8CB4"/>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BB218C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9608B2">
            <w:pPr>
              <w:jc w:val="center"/>
            </w:pPr>
            <w:r>
              <w:rPr>
                <w:rFonts w:ascii="宋体" w:hAnsi="宋体" w:eastAsia="宋体"/>
                <w:sz w:val="16"/>
              </w:rPr>
              <w:t>其他</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C8568B">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4AB84C">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7F7436">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49AD6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7E646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BC6712">
            <w:pPr>
              <w:jc w:val="center"/>
            </w:pPr>
            <w:r>
              <w:rPr>
                <w:rFonts w:ascii="宋体" w:hAnsi="宋体" w:eastAsia="宋体"/>
                <w:sz w:val="16"/>
              </w:rPr>
              <w:t>-</w:t>
            </w:r>
          </w:p>
        </w:tc>
      </w:tr>
      <w:tr w14:paraId="11C064C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22E37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B7D49C">
            <w:pPr>
              <w:jc w:val="center"/>
            </w:pPr>
            <w:r>
              <w:rPr>
                <w:rFonts w:ascii="宋体" w:hAnsi="宋体" w:eastAsia="宋体"/>
                <w:sz w:val="16"/>
              </w:rPr>
              <w:t>合计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149D5DC">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40DAE8">
            <w:pPr>
              <w:jc w:val="center"/>
            </w:pPr>
            <w:r>
              <w:rPr>
                <w:rFonts w:ascii="宋体" w:hAnsi="宋体" w:eastAsia="宋体"/>
                <w:sz w:val="16"/>
              </w:rPr>
              <w:t>140.15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BE326D">
            <w:pPr>
              <w:jc w:val="center"/>
            </w:pPr>
            <w:r>
              <w:rPr>
                <w:rFonts w:ascii="宋体" w:hAnsi="宋体" w:eastAsia="宋体"/>
                <w:sz w:val="16"/>
              </w:rPr>
              <w:t>80.12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7B5DA">
            <w:pPr>
              <w:jc w:val="center"/>
            </w:pPr>
            <w:r>
              <w:rPr>
                <w:rFonts w:ascii="宋体" w:hAnsi="宋体" w:eastAsia="宋体"/>
                <w:sz w:val="16"/>
              </w:rPr>
              <w:t>80.12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280CCA">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C67096">
            <w:pPr>
              <w:jc w:val="center"/>
            </w:pPr>
            <w:r>
              <w:rPr>
                <w:rFonts w:ascii="宋体" w:hAnsi="宋体" w:eastAsia="宋体"/>
                <w:sz w:val="16"/>
              </w:rPr>
              <w:t>100.00%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059A6A">
            <w:pPr>
              <w:jc w:val="center"/>
            </w:pPr>
            <w:r>
              <w:rPr>
                <w:rFonts w:ascii="宋体" w:hAnsi="宋体" w:eastAsia="宋体"/>
                <w:sz w:val="16"/>
              </w:rPr>
              <w:t>10</w:t>
            </w:r>
          </w:p>
        </w:tc>
      </w:tr>
      <w:tr w14:paraId="5F53C70B">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A5C6E2">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5683BC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3B2941">
            <w:pPr>
              <w:jc w:val="center"/>
            </w:pPr>
            <w:r>
              <w:rPr>
                <w:rFonts w:ascii="宋体" w:hAnsi="宋体" w:eastAsia="宋体"/>
                <w:sz w:val="16"/>
              </w:rPr>
              <w:t>实际完成情况</w:t>
            </w:r>
          </w:p>
        </w:tc>
      </w:tr>
      <w:tr w14:paraId="1070804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F4DA7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56B0F2F">
            <w:pPr>
              <w:jc w:val="both"/>
            </w:pPr>
            <w:r>
              <w:rPr>
                <w:rFonts w:ascii="宋体" w:hAnsi="宋体" w:eastAsia="宋体"/>
                <w:sz w:val="16"/>
              </w:rPr>
              <w:t>目标1.全面贯彻落实自治区党委关于群众工作的系列决策部署，</w:t>
            </w:r>
            <w:r>
              <w:rPr>
                <w:rFonts w:hint="eastAsia" w:ascii="宋体" w:hAnsi="宋体"/>
                <w:sz w:val="16"/>
                <w:lang w:eastAsia="zh-CN"/>
              </w:rPr>
              <w:t>落实</w:t>
            </w:r>
            <w:r>
              <w:rPr>
                <w:rFonts w:ascii="宋体" w:hAnsi="宋体" w:eastAsia="宋体"/>
                <w:sz w:val="16"/>
              </w:rPr>
              <w:t>县委具体工作安排，研究制定加强和改进群众工作的具体措施办法；</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目标2.指导乡镇场街道、村（社区）层面建立完善群众工作办公室（群众工作站），协调转办各类群众困难诉求，解决群众就业创业相关问题，提升群众就业能力，加强矛盾纠纷化解，深化民族团结和</w:t>
            </w:r>
            <w:r>
              <w:rPr>
                <w:rFonts w:hint="eastAsia" w:ascii="宋体" w:hAnsi="宋体"/>
                <w:sz w:val="16"/>
                <w:lang w:eastAsia="zh-CN"/>
              </w:rPr>
              <w:t>ZJ</w:t>
            </w:r>
            <w:r>
              <w:rPr>
                <w:rFonts w:ascii="宋体" w:hAnsi="宋体" w:eastAsia="宋体"/>
                <w:sz w:val="16"/>
              </w:rPr>
              <w:t>和睦和谐；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目标3.按照自治区、地区决策部署统筹推进流动人口服务管理工作，强化流动人口信息采集、录入、核查、评估和服务管理转控和反馈的工作落实；</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目标4.负责流动人口服务管理工作的“培训、指导、协调、督导”，进一步明确工作任务，压实责任，提升全县流动人口服务屋管理工作能力；</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AA6C89E">
            <w:pPr>
              <w:jc w:val="both"/>
            </w:pPr>
            <w:r>
              <w:rPr>
                <w:rFonts w:ascii="宋体" w:hAnsi="宋体" w:eastAsia="宋体"/>
                <w:sz w:val="16"/>
              </w:rPr>
              <w:t>截至2024年12月31日，已完成处理上访事件次数18次，履职保障干部数量8人，民生服务平台群众困难诉求结案时间7天</w:t>
            </w:r>
            <w:r>
              <w:rPr>
                <w:rFonts w:hint="eastAsia" w:ascii="宋体" w:hAnsi="宋体"/>
                <w:sz w:val="16"/>
                <w:lang w:eastAsia="zh-CN"/>
              </w:rPr>
              <w:t>，全</w:t>
            </w:r>
            <w:r>
              <w:rPr>
                <w:rFonts w:ascii="宋体" w:hAnsi="宋体" w:eastAsia="宋体"/>
                <w:sz w:val="16"/>
              </w:rPr>
              <w:t>面贯彻落实自治区党委关于群众工作的系列决策部署，落县委具体工作安排，研究制定加强和改进群众工作的具体措施办法；指导乡镇场街道、村（社区）层面建立完善群众工作办公室（群众工作站），协调转办各类群众困难诉求，解决了群众就业创业相关问题，提升了群众就业能力，加强了矛盾纠纷化解，深</w:t>
            </w:r>
            <w:r>
              <w:rPr>
                <w:rFonts w:hint="eastAsia" w:ascii="宋体" w:hAnsi="宋体"/>
                <w:sz w:val="16"/>
                <w:lang w:eastAsia="zh-CN"/>
              </w:rPr>
              <w:t>化了</w:t>
            </w:r>
            <w:r>
              <w:rPr>
                <w:rFonts w:ascii="宋体" w:hAnsi="宋体" w:eastAsia="宋体"/>
                <w:sz w:val="16"/>
              </w:rPr>
              <w:t>民族团结和</w:t>
            </w:r>
            <w:r>
              <w:rPr>
                <w:rFonts w:hint="eastAsia" w:ascii="宋体" w:hAnsi="宋体"/>
                <w:sz w:val="16"/>
                <w:lang w:eastAsia="zh-CN"/>
              </w:rPr>
              <w:t>ZJ</w:t>
            </w:r>
            <w:r>
              <w:rPr>
                <w:rFonts w:ascii="宋体" w:hAnsi="宋体" w:eastAsia="宋体"/>
                <w:sz w:val="16"/>
              </w:rPr>
              <w:t>和睦和谐；</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地区决策部署统筹推进流动人口服务管理工作，强化流动人口信息采集、录入、核查、评估和服务管理转控和反馈的工作落实；</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流动人口服务管理工作的“培训、指导、协调、督导”，压实责任，提升全县流动人口服务屋管理工作能力；</w:t>
            </w:r>
          </w:p>
        </w:tc>
      </w:tr>
      <w:tr w14:paraId="199BA8AD">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CF3D22">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7EFF37">
            <w:pPr>
              <w:jc w:val="center"/>
            </w:pPr>
            <w:r>
              <w:rPr>
                <w:rFonts w:ascii="宋体" w:hAnsi="宋体" w:eastAsia="宋体"/>
                <w:sz w:val="16"/>
              </w:rPr>
              <w:t>二级指标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49F228">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E0ECBEE">
            <w:pPr>
              <w:jc w:val="center"/>
            </w:pPr>
            <w:r>
              <w:rPr>
                <w:rFonts w:ascii="宋体" w:hAnsi="宋体" w:eastAsia="宋体"/>
                <w:sz w:val="16"/>
              </w:rPr>
              <w:t>预期指标值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66AD5B">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A1C5E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FDD5AA">
            <w:pPr>
              <w:jc w:val="center"/>
            </w:pPr>
            <w:r>
              <w:rPr>
                <w:rFonts w:ascii="宋体" w:hAnsi="宋体" w:eastAsia="宋体"/>
                <w:sz w:val="16"/>
              </w:rPr>
              <w:t>实际完成指标值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7EEAFF">
            <w:pPr>
              <w:jc w:val="center"/>
            </w:pPr>
            <w:r>
              <w:rPr>
                <w:rFonts w:ascii="宋体" w:hAnsi="宋体" w:eastAsia="宋体"/>
                <w:sz w:val="16"/>
              </w:rPr>
              <w:t>得分</w:t>
            </w:r>
          </w:p>
        </w:tc>
      </w:tr>
      <w:tr w14:paraId="1681BD4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0D2414">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9F920">
            <w:pPr>
              <w:jc w:val="center"/>
            </w:pPr>
            <w:r>
              <w:rPr>
                <w:rFonts w:ascii="宋体" w:hAnsi="宋体" w:eastAsia="宋体"/>
                <w:sz w:val="16"/>
              </w:rPr>
              <w:t>数量指标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BA9050">
            <w:pPr>
              <w:jc w:val="center"/>
            </w:pPr>
            <w:r>
              <w:rPr>
                <w:rFonts w:ascii="宋体" w:hAnsi="宋体" w:eastAsia="宋体"/>
                <w:sz w:val="16"/>
              </w:rPr>
              <w:t>处理上访事件次数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BB230C">
            <w:pPr>
              <w:jc w:val="center"/>
            </w:pPr>
            <w:r>
              <w:rPr>
                <w:rFonts w:ascii="宋体" w:hAnsi="宋体" w:eastAsia="宋体"/>
                <w:sz w:val="16"/>
              </w:rPr>
              <w:t>=36次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D7E13F3">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095AE8">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6C9BCE">
            <w:pPr>
              <w:jc w:val="center"/>
            </w:pPr>
            <w:r>
              <w:rPr>
                <w:rFonts w:ascii="宋体" w:hAnsi="宋体" w:eastAsia="宋体"/>
                <w:sz w:val="16"/>
              </w:rPr>
              <w:t>18次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848C10">
            <w:pPr>
              <w:jc w:val="center"/>
            </w:pPr>
            <w:r>
              <w:rPr>
                <w:rFonts w:ascii="宋体" w:hAnsi="宋体" w:eastAsia="宋体"/>
                <w:sz w:val="16"/>
              </w:rPr>
              <w:t>15</w:t>
            </w:r>
          </w:p>
        </w:tc>
      </w:tr>
      <w:tr w14:paraId="517188D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51E3E1"/>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A0A346A"/>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E4DD16">
            <w:pPr>
              <w:jc w:val="center"/>
            </w:pPr>
            <w:r>
              <w:rPr>
                <w:rFonts w:ascii="宋体" w:hAnsi="宋体" w:eastAsia="宋体"/>
                <w:sz w:val="16"/>
              </w:rPr>
              <w:t>履职保障干部数量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4C7779">
            <w:pPr>
              <w:jc w:val="center"/>
            </w:pPr>
            <w:r>
              <w:rPr>
                <w:rFonts w:ascii="宋体" w:hAnsi="宋体" w:eastAsia="宋体"/>
                <w:sz w:val="16"/>
              </w:rPr>
              <w:t>=8人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BE3B9F">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29A6EE">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A2557">
            <w:pPr>
              <w:jc w:val="center"/>
            </w:pPr>
            <w:r>
              <w:rPr>
                <w:rFonts w:ascii="宋体" w:hAnsi="宋体" w:eastAsia="宋体"/>
                <w:sz w:val="16"/>
              </w:rPr>
              <w:t>8人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05DE15">
            <w:pPr>
              <w:jc w:val="center"/>
            </w:pPr>
            <w:r>
              <w:rPr>
                <w:rFonts w:ascii="宋体" w:hAnsi="宋体" w:eastAsia="宋体"/>
                <w:sz w:val="16"/>
              </w:rPr>
              <w:t>30</w:t>
            </w:r>
          </w:p>
        </w:tc>
      </w:tr>
      <w:tr w14:paraId="699B5C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2C191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CE5AC61"/>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EC86C3">
            <w:pPr>
              <w:jc w:val="center"/>
            </w:pPr>
            <w:r>
              <w:rPr>
                <w:rFonts w:ascii="宋体" w:hAnsi="宋体" w:eastAsia="宋体"/>
                <w:sz w:val="16"/>
              </w:rPr>
              <w:t>民生服务平台群众困难诉求结案时间</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31E3A38">
            <w:pPr>
              <w:jc w:val="center"/>
            </w:pPr>
            <w:r>
              <w:rPr>
                <w:rFonts w:ascii="宋体" w:hAnsi="宋体" w:eastAsia="宋体"/>
                <w:sz w:val="16"/>
              </w:rPr>
              <w:t>&lt;=7天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408078">
            <w:pPr>
              <w:jc w:val="center"/>
            </w:pPr>
            <w:r>
              <w:rPr>
                <w:rFonts w:ascii="宋体" w:hAnsi="宋体" w:eastAsia="宋体"/>
                <w:sz w:val="16"/>
              </w:rPr>
              <w:t>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A1FAD6">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8A393D">
            <w:pPr>
              <w:jc w:val="center"/>
            </w:pPr>
            <w:r>
              <w:rPr>
                <w:rFonts w:ascii="宋体" w:hAnsi="宋体" w:eastAsia="宋体"/>
                <w:sz w:val="16"/>
              </w:rPr>
              <w:t>7天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DCFF8A">
            <w:pPr>
              <w:jc w:val="center"/>
            </w:pPr>
            <w:r>
              <w:rPr>
                <w:rFonts w:ascii="宋体" w:hAnsi="宋体" w:eastAsia="宋体"/>
                <w:sz w:val="16"/>
              </w:rPr>
              <w:t>30</w:t>
            </w:r>
          </w:p>
        </w:tc>
      </w:tr>
    </w:tbl>
    <w:p w14:paraId="6333172E">
      <w:r>
        <w:br w:type="page"/>
      </w:r>
    </w:p>
    <w:p w14:paraId="009D67F4">
      <w:pPr>
        <w:spacing w:line="640" w:lineRule="exact"/>
        <w:ind w:firstLine="640"/>
        <w:jc w:val="both"/>
        <w:outlineLvl w:val="2"/>
      </w:pPr>
      <w:r>
        <w:rPr>
          <w:rFonts w:ascii="黑体" w:hAnsi="黑体" w:eastAsia="黑体"/>
          <w:sz w:val="32"/>
        </w:rPr>
        <w:t>十二、其他需说明的事项</w:t>
      </w:r>
    </w:p>
    <w:p w14:paraId="6E38D956">
      <w:pPr>
        <w:spacing w:line="580" w:lineRule="exact"/>
        <w:ind w:firstLine="640"/>
        <w:jc w:val="both"/>
      </w:pPr>
      <w:r>
        <w:rPr>
          <w:rFonts w:ascii="仿宋_GB2312" w:hAnsi="仿宋_GB2312" w:eastAsia="仿宋_GB2312"/>
          <w:b w:val="0"/>
          <w:sz w:val="32"/>
        </w:rPr>
        <w:t>本单位无其他需说明的事项。</w:t>
      </w:r>
    </w:p>
    <w:p w14:paraId="4D3E1EC9">
      <w:r>
        <w:br w:type="page"/>
      </w:r>
    </w:p>
    <w:p w14:paraId="06919C12">
      <w:pPr>
        <w:spacing w:line="240" w:lineRule="auto"/>
        <w:jc w:val="center"/>
        <w:outlineLvl w:val="1"/>
      </w:pPr>
      <w:r>
        <w:rPr>
          <w:rFonts w:ascii="黑体" w:hAnsi="黑体" w:eastAsia="黑体"/>
          <w:sz w:val="32"/>
        </w:rPr>
        <w:t>第三部分 专业名词解释</w:t>
      </w:r>
    </w:p>
    <w:p w14:paraId="26CEE468">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677237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0A306CE5">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620D64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48CD71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5618FD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8A9A88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E4B2BC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24E99B4">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4CEE6C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5F19552">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349DC8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9D997D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8E873E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5C0DF7E">
      <w:r>
        <w:br w:type="page"/>
      </w:r>
    </w:p>
    <w:p w14:paraId="038F9246">
      <w:pPr>
        <w:spacing w:line="240" w:lineRule="auto"/>
        <w:jc w:val="center"/>
        <w:outlineLvl w:val="1"/>
      </w:pPr>
      <w:r>
        <w:rPr>
          <w:rFonts w:ascii="黑体" w:hAnsi="黑体" w:eastAsia="黑体"/>
          <w:sz w:val="32"/>
        </w:rPr>
        <w:t>第四部分 部门决算报表（见附表）</w:t>
      </w:r>
    </w:p>
    <w:p w14:paraId="1A35AEA5">
      <w:pPr>
        <w:spacing w:line="240" w:lineRule="auto"/>
        <w:ind w:firstLine="640"/>
        <w:jc w:val="both"/>
      </w:pPr>
      <w:r>
        <w:rPr>
          <w:rFonts w:ascii="仿宋_GB2312" w:hAnsi="仿宋_GB2312" w:eastAsia="仿宋_GB2312"/>
          <w:b w:val="0"/>
          <w:sz w:val="32"/>
        </w:rPr>
        <w:t>一、《收入支出决算总表》</w:t>
      </w:r>
    </w:p>
    <w:p w14:paraId="0664AB3A">
      <w:pPr>
        <w:spacing w:line="240" w:lineRule="auto"/>
        <w:ind w:firstLine="640"/>
        <w:jc w:val="both"/>
      </w:pPr>
      <w:r>
        <w:rPr>
          <w:rFonts w:ascii="仿宋_GB2312" w:hAnsi="仿宋_GB2312" w:eastAsia="仿宋_GB2312"/>
          <w:b w:val="0"/>
          <w:sz w:val="32"/>
        </w:rPr>
        <w:t>二、《收入决算表》</w:t>
      </w:r>
    </w:p>
    <w:p w14:paraId="33269885">
      <w:pPr>
        <w:spacing w:line="240" w:lineRule="auto"/>
        <w:ind w:firstLine="640"/>
        <w:jc w:val="both"/>
      </w:pPr>
      <w:r>
        <w:rPr>
          <w:rFonts w:ascii="仿宋_GB2312" w:hAnsi="仿宋_GB2312" w:eastAsia="仿宋_GB2312"/>
          <w:b w:val="0"/>
          <w:sz w:val="32"/>
        </w:rPr>
        <w:t>三、《支出决算表》</w:t>
      </w:r>
    </w:p>
    <w:p w14:paraId="52926A4D">
      <w:pPr>
        <w:spacing w:line="240" w:lineRule="auto"/>
        <w:ind w:firstLine="640"/>
        <w:jc w:val="both"/>
      </w:pPr>
      <w:r>
        <w:rPr>
          <w:rFonts w:ascii="仿宋_GB2312" w:hAnsi="仿宋_GB2312" w:eastAsia="仿宋_GB2312"/>
          <w:b w:val="0"/>
          <w:sz w:val="32"/>
        </w:rPr>
        <w:t>四、《财政拨款收入支出决算总表》</w:t>
      </w:r>
    </w:p>
    <w:p w14:paraId="230972B3">
      <w:pPr>
        <w:spacing w:line="240" w:lineRule="auto"/>
        <w:ind w:firstLine="640"/>
        <w:jc w:val="both"/>
      </w:pPr>
      <w:r>
        <w:rPr>
          <w:rFonts w:ascii="仿宋_GB2312" w:hAnsi="仿宋_GB2312" w:eastAsia="仿宋_GB2312"/>
          <w:b w:val="0"/>
          <w:sz w:val="32"/>
        </w:rPr>
        <w:t>五、《一般公共预算财政拨款支出决算表》</w:t>
      </w:r>
    </w:p>
    <w:p w14:paraId="5AC5CD1F">
      <w:pPr>
        <w:spacing w:line="240" w:lineRule="auto"/>
        <w:ind w:firstLine="640"/>
        <w:jc w:val="both"/>
      </w:pPr>
      <w:r>
        <w:rPr>
          <w:rFonts w:ascii="仿宋_GB2312" w:hAnsi="仿宋_GB2312" w:eastAsia="仿宋_GB2312"/>
          <w:b w:val="0"/>
          <w:sz w:val="32"/>
        </w:rPr>
        <w:t>六、《一般公共预算财政拨款基本支出决算表》</w:t>
      </w:r>
    </w:p>
    <w:p w14:paraId="723AE452">
      <w:pPr>
        <w:spacing w:line="240" w:lineRule="auto"/>
        <w:ind w:firstLine="640"/>
        <w:jc w:val="both"/>
      </w:pPr>
      <w:r>
        <w:rPr>
          <w:rFonts w:ascii="仿宋_GB2312" w:hAnsi="仿宋_GB2312" w:eastAsia="仿宋_GB2312"/>
          <w:b w:val="0"/>
          <w:sz w:val="32"/>
        </w:rPr>
        <w:t>七、《政府性基金预算财政拨款收入支出决算表》</w:t>
      </w:r>
    </w:p>
    <w:p w14:paraId="782C7B58">
      <w:pPr>
        <w:spacing w:line="240" w:lineRule="auto"/>
        <w:ind w:firstLine="640"/>
        <w:jc w:val="both"/>
      </w:pPr>
      <w:r>
        <w:rPr>
          <w:rFonts w:ascii="仿宋_GB2312" w:hAnsi="仿宋_GB2312" w:eastAsia="仿宋_GB2312"/>
          <w:b w:val="0"/>
          <w:sz w:val="32"/>
        </w:rPr>
        <w:t>八、《国有资本经营预算财政拨款收入支出决算表》</w:t>
      </w:r>
    </w:p>
    <w:p w14:paraId="1EDA4875">
      <w:pPr>
        <w:spacing w:line="240" w:lineRule="auto"/>
        <w:ind w:firstLine="640"/>
        <w:jc w:val="both"/>
      </w:pPr>
      <w:r>
        <w:rPr>
          <w:rFonts w:ascii="仿宋_GB2312" w:hAnsi="仿宋_GB2312" w:eastAsia="仿宋_GB2312"/>
          <w:b w:val="0"/>
          <w:sz w:val="32"/>
        </w:rPr>
        <w:t>九、《财政拨款“三公”经费支出决算表》</w:t>
      </w:r>
    </w:p>
    <w:p w14:paraId="709C10F5">
      <w:pPr>
        <w:spacing w:line="240" w:lineRule="auto"/>
        <w:ind w:firstLine="640"/>
        <w:jc w:val="both"/>
      </w:pPr>
    </w:p>
    <w:p w14:paraId="2EB19D52">
      <w:pPr>
        <w:spacing w:line="240" w:lineRule="auto"/>
        <w:ind w:firstLine="640"/>
        <w:jc w:val="both"/>
      </w:pPr>
    </w:p>
    <w:p w14:paraId="7D1244B5">
      <w:pPr>
        <w:spacing w:line="240" w:lineRule="auto"/>
        <w:ind w:firstLine="640"/>
        <w:jc w:val="both"/>
      </w:pPr>
    </w:p>
    <w:p w14:paraId="78ADCA22">
      <w:pPr>
        <w:spacing w:line="240" w:lineRule="auto"/>
        <w:ind w:firstLine="640"/>
        <w:jc w:val="both"/>
      </w:pPr>
    </w:p>
    <w:p w14:paraId="267C2A6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BD5556"/>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D90244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4722</Words>
  <Characters>5353</Characters>
  <Lines>0</Lines>
  <Paragraphs>0</Paragraphs>
  <TotalTime>7</TotalTime>
  <ScaleCrop>false</ScaleCrop>
  <LinksUpToDate>false</LinksUpToDate>
  <CharactersWithSpaces>5361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2025-09-25T04:20:29Z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eyJoZGlkIjoiNTliMzZiYjRlN2VlNDIwNWJkNWMyNGYxMWEyN2ViYWUiLCJ1c2VySWQiOiI0NDQ5NDYzNjEifQ==</vt:lpwstr>
  </property>
</Properties>
</file>