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CC720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民丰县维吾尔医医院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1C61FF5">
      <w:r>
        <w:br w:type="page"/>
      </w:r>
    </w:p>
    <w:p w14:paraId="209FC9BF">
      <w:pPr>
        <w:spacing w:line="640" w:lineRule="exact"/>
        <w:jc w:val="center"/>
        <w:outlineLvl w:val="1"/>
      </w:pPr>
      <w:r>
        <w:rPr>
          <w:rFonts w:ascii="黑体" w:hAnsi="黑体" w:eastAsia="黑体"/>
          <w:sz w:val="32"/>
        </w:rPr>
        <w:t>第一部分 单位概况</w:t>
      </w:r>
    </w:p>
    <w:p w14:paraId="3524D44F">
      <w:pPr>
        <w:spacing w:line="640" w:lineRule="exact"/>
        <w:ind w:firstLine="640"/>
        <w:jc w:val="both"/>
        <w:outlineLvl w:val="2"/>
      </w:pPr>
      <w:r>
        <w:rPr>
          <w:rFonts w:ascii="黑体" w:hAnsi="黑体" w:eastAsia="黑体"/>
          <w:sz w:val="32"/>
        </w:rPr>
        <w:t>一、主要职能</w:t>
      </w:r>
    </w:p>
    <w:p w14:paraId="7EF6655B">
      <w:pPr>
        <w:spacing w:line="580" w:lineRule="exact"/>
        <w:ind w:firstLine="640"/>
        <w:jc w:val="both"/>
      </w:pPr>
      <w:r>
        <w:rPr>
          <w:rFonts w:ascii="仿宋_GB2312" w:hAnsi="仿宋_GB2312" w:eastAsia="仿宋_GB2312"/>
          <w:sz w:val="32"/>
        </w:rPr>
        <w:t>（一）为人民群众提供维吾尔医药医疗、预防、保健、康复等医疗卫生服务。</w:t>
      </w:r>
    </w:p>
    <w:p w14:paraId="1C987E64">
      <w:pPr>
        <w:spacing w:line="580" w:lineRule="exact"/>
        <w:ind w:firstLine="640"/>
        <w:jc w:val="both"/>
      </w:pPr>
      <w:r>
        <w:rPr>
          <w:rFonts w:ascii="仿宋_GB2312" w:hAnsi="仿宋_GB2312" w:eastAsia="仿宋_GB2312"/>
          <w:sz w:val="32"/>
        </w:rPr>
        <w:t>（二）贯彻落实医药卫生体制改革、维吾尔医药并重方针和国家中医药法律法规，执行中医药政策；拟定实施中医药、民族医药发展战略、规划；指导全县各医疗机构发展民族医药业务建设。</w:t>
      </w:r>
    </w:p>
    <w:p w14:paraId="593C1166">
      <w:pPr>
        <w:spacing w:line="580" w:lineRule="exact"/>
        <w:ind w:firstLine="640"/>
        <w:jc w:val="both"/>
      </w:pPr>
      <w:r>
        <w:rPr>
          <w:rFonts w:ascii="仿宋_GB2312" w:hAnsi="仿宋_GB2312" w:eastAsia="仿宋_GB2312"/>
          <w:sz w:val="32"/>
        </w:rPr>
        <w:t>（三）贯彻落实国家基本药物制度和药品集中采购工作，执行医用耗材集中采购工作；负责医院内部的药品和医疗器械管理工作。</w:t>
      </w:r>
    </w:p>
    <w:p w14:paraId="50F551E4">
      <w:pPr>
        <w:spacing w:line="580" w:lineRule="exact"/>
        <w:ind w:firstLine="640"/>
        <w:jc w:val="both"/>
      </w:pPr>
      <w:r>
        <w:rPr>
          <w:rFonts w:ascii="仿宋_GB2312" w:hAnsi="仿宋_GB2312" w:eastAsia="仿宋_GB2312"/>
          <w:sz w:val="32"/>
        </w:rPr>
        <w:t>（四）承担意外灾害事故、</w:t>
      </w:r>
      <w:r>
        <w:rPr>
          <w:rFonts w:hint="eastAsia" w:ascii="仿宋_GB2312" w:hAnsi="仿宋_GB2312" w:eastAsia="仿宋_GB2312"/>
          <w:sz w:val="32"/>
          <w:lang w:eastAsia="zh-CN"/>
        </w:rPr>
        <w:t>YQ</w:t>
      </w:r>
      <w:r>
        <w:rPr>
          <w:rFonts w:ascii="仿宋_GB2312" w:hAnsi="仿宋_GB2312" w:eastAsia="仿宋_GB2312"/>
          <w:sz w:val="32"/>
        </w:rPr>
        <w:t>等突发公共卫生事件的医疗急救及社区预防、保健和康复医疗服务工作，开展各种医疗保健卫生知识宣传普及。</w:t>
      </w:r>
    </w:p>
    <w:p w14:paraId="3A50E563">
      <w:pPr>
        <w:spacing w:line="580" w:lineRule="exact"/>
        <w:ind w:firstLine="640"/>
        <w:jc w:val="both"/>
      </w:pPr>
      <w:r>
        <w:rPr>
          <w:rFonts w:ascii="仿宋_GB2312" w:hAnsi="仿宋_GB2312" w:eastAsia="仿宋_GB2312"/>
          <w:sz w:val="32"/>
        </w:rPr>
        <w:t>（五）做好城镇职工基本医疗保险、城镇居民基本医疗保险和新型农村合作医疗保险等定点医疗机构的各项工作。</w:t>
      </w:r>
    </w:p>
    <w:p w14:paraId="3CEB27B0">
      <w:pPr>
        <w:spacing w:line="580" w:lineRule="exact"/>
        <w:ind w:firstLine="640"/>
        <w:jc w:val="both"/>
      </w:pPr>
      <w:r>
        <w:rPr>
          <w:rFonts w:ascii="仿宋_GB2312" w:hAnsi="仿宋_GB2312" w:eastAsia="仿宋_GB2312"/>
          <w:sz w:val="32"/>
        </w:rPr>
        <w:t>（六）承担县委、县政府及县卫生局交办的其他卫生工作。</w:t>
      </w:r>
    </w:p>
    <w:p w14:paraId="72B1E1DB">
      <w:pPr>
        <w:spacing w:line="640" w:lineRule="exact"/>
        <w:ind w:firstLine="640"/>
        <w:jc w:val="both"/>
        <w:outlineLvl w:val="2"/>
      </w:pPr>
      <w:r>
        <w:rPr>
          <w:rFonts w:ascii="黑体" w:hAnsi="黑体" w:eastAsia="黑体"/>
          <w:sz w:val="32"/>
        </w:rPr>
        <w:t>二、机构设置及人员情况</w:t>
      </w:r>
    </w:p>
    <w:p w14:paraId="0E8378ED">
      <w:pPr>
        <w:spacing w:line="580" w:lineRule="exact"/>
        <w:ind w:firstLine="640"/>
        <w:jc w:val="both"/>
      </w:pPr>
      <w:r>
        <w:rPr>
          <w:rFonts w:ascii="仿宋_GB2312" w:hAnsi="仿宋_GB2312" w:eastAsia="仿宋_GB2312"/>
          <w:sz w:val="32"/>
        </w:rPr>
        <w:t>民丰县维吾尔医医院2024年度，实有人数29人，其中：在职人员19人，减少1人；离休人员0人，增加0人；退休人员10人</w:t>
      </w:r>
      <w:bookmarkStart w:id="0" w:name="_GoBack"/>
      <w:r>
        <w:rPr>
          <w:rFonts w:ascii="仿宋_GB2312" w:hAnsi="仿宋_GB2312" w:eastAsia="仿宋_GB2312"/>
          <w:sz w:val="32"/>
        </w:rPr>
        <w:t>,</w:t>
      </w:r>
      <w:bookmarkEnd w:id="0"/>
      <w:r>
        <w:rPr>
          <w:rFonts w:ascii="仿宋_GB2312" w:hAnsi="仿宋_GB2312" w:eastAsia="仿宋_GB2312"/>
          <w:sz w:val="32"/>
        </w:rPr>
        <w:t>增加1人。</w:t>
      </w:r>
    </w:p>
    <w:p w14:paraId="18A61B8E">
      <w:pPr>
        <w:spacing w:line="580" w:lineRule="exact"/>
        <w:ind w:firstLine="640"/>
        <w:jc w:val="both"/>
      </w:pPr>
      <w:r>
        <w:rPr>
          <w:rFonts w:ascii="仿宋_GB2312" w:hAnsi="仿宋_GB2312" w:eastAsia="仿宋_GB2312"/>
          <w:sz w:val="32"/>
        </w:rPr>
        <w:t>民丰县维吾尔医医院无下属预算单位，下设17个科室，分别是：财务科、机要保密科、医务科、信息科、院感办公室、公共卫生科、护理部、药剂科、后勤科、放射科、项目办、门诊、康复科、心脑血管科、妇科、骨科、检验科。</w:t>
      </w:r>
    </w:p>
    <w:p w14:paraId="4526B727">
      <w:r>
        <w:br w:type="page"/>
      </w:r>
    </w:p>
    <w:p w14:paraId="295321F9">
      <w:pPr>
        <w:spacing w:line="240" w:lineRule="auto"/>
        <w:jc w:val="center"/>
        <w:outlineLvl w:val="1"/>
      </w:pPr>
      <w:r>
        <w:rPr>
          <w:rFonts w:ascii="黑体" w:hAnsi="黑体" w:eastAsia="黑体"/>
          <w:sz w:val="32"/>
        </w:rPr>
        <w:t>第二部分 部门决算情况说明</w:t>
      </w:r>
    </w:p>
    <w:p w14:paraId="26DBAC0D">
      <w:pPr>
        <w:spacing w:line="640" w:lineRule="exact"/>
        <w:ind w:firstLine="640"/>
        <w:jc w:val="both"/>
        <w:outlineLvl w:val="2"/>
      </w:pPr>
      <w:r>
        <w:rPr>
          <w:rFonts w:ascii="黑体" w:hAnsi="黑体" w:eastAsia="黑体"/>
          <w:sz w:val="32"/>
        </w:rPr>
        <w:t>一、收入支出决算总体情况说明</w:t>
      </w:r>
    </w:p>
    <w:p w14:paraId="4B67B1A2">
      <w:pPr>
        <w:spacing w:line="580" w:lineRule="exact"/>
        <w:ind w:firstLine="640"/>
        <w:jc w:val="both"/>
      </w:pPr>
      <w:r>
        <w:rPr>
          <w:rFonts w:ascii="仿宋_GB2312" w:hAnsi="仿宋_GB2312" w:eastAsia="仿宋_GB2312"/>
          <w:b/>
          <w:sz w:val="32"/>
        </w:rPr>
        <w:t>2024年度收入总计1,397.03万元，</w:t>
      </w:r>
      <w:r>
        <w:rPr>
          <w:rFonts w:ascii="仿宋_GB2312" w:hAnsi="仿宋_GB2312" w:eastAsia="仿宋_GB2312"/>
          <w:b w:val="0"/>
          <w:sz w:val="32"/>
        </w:rPr>
        <w:t>其中：本年收入合计1,376.17万元，使用非财政拨款结余（含专用结余）0.00万元，年初结转和结余20.86万元。</w:t>
      </w:r>
    </w:p>
    <w:p w14:paraId="4FA0B15C">
      <w:pPr>
        <w:spacing w:line="580" w:lineRule="exact"/>
        <w:ind w:firstLine="640"/>
        <w:jc w:val="both"/>
      </w:pPr>
      <w:r>
        <w:rPr>
          <w:rFonts w:ascii="仿宋_GB2312" w:hAnsi="仿宋_GB2312" w:eastAsia="仿宋_GB2312"/>
          <w:b/>
          <w:sz w:val="32"/>
        </w:rPr>
        <w:t>2024年度支出总计1,397.03万元，</w:t>
      </w:r>
      <w:r>
        <w:rPr>
          <w:rFonts w:ascii="仿宋_GB2312" w:hAnsi="仿宋_GB2312" w:eastAsia="仿宋_GB2312"/>
          <w:b w:val="0"/>
          <w:sz w:val="32"/>
        </w:rPr>
        <w:t>其中：本年支出合计1,372.08万元，结余分配0.00万元，年末结转和结余24.95万元。</w:t>
      </w:r>
    </w:p>
    <w:p w14:paraId="2B03C601">
      <w:pPr>
        <w:spacing w:line="580" w:lineRule="exact"/>
        <w:ind w:firstLine="640"/>
        <w:jc w:val="both"/>
      </w:pPr>
      <w:r>
        <w:rPr>
          <w:rFonts w:ascii="仿宋_GB2312" w:hAnsi="仿宋_GB2312" w:eastAsia="仿宋_GB2312"/>
          <w:b w:val="0"/>
          <w:sz w:val="32"/>
        </w:rPr>
        <w:t>收入支出总体与上年相比，减少3,134.16万元，下降69.17%，主要原因是：本年维吾尔医医院医共体综合楼建设项目资金较上年减少。</w:t>
      </w:r>
    </w:p>
    <w:p w14:paraId="6E1F2C60">
      <w:pPr>
        <w:spacing w:line="640" w:lineRule="exact"/>
        <w:ind w:firstLine="640"/>
        <w:jc w:val="both"/>
        <w:outlineLvl w:val="2"/>
      </w:pPr>
      <w:r>
        <w:rPr>
          <w:rFonts w:ascii="黑体" w:hAnsi="黑体" w:eastAsia="黑体"/>
          <w:sz w:val="32"/>
        </w:rPr>
        <w:t>二、收入决算情况说明</w:t>
      </w:r>
    </w:p>
    <w:p w14:paraId="26172454">
      <w:pPr>
        <w:spacing w:line="580" w:lineRule="exact"/>
        <w:ind w:firstLine="640"/>
        <w:jc w:val="both"/>
      </w:pPr>
      <w:r>
        <w:rPr>
          <w:rFonts w:ascii="仿宋_GB2312" w:hAnsi="仿宋_GB2312" w:eastAsia="仿宋_GB2312"/>
          <w:b/>
          <w:sz w:val="32"/>
        </w:rPr>
        <w:t>本年收入1,376.17万元，</w:t>
      </w:r>
      <w:r>
        <w:rPr>
          <w:rFonts w:ascii="仿宋_GB2312" w:hAnsi="仿宋_GB2312" w:eastAsia="仿宋_GB2312"/>
          <w:b w:val="0"/>
          <w:sz w:val="32"/>
        </w:rPr>
        <w:t>其中：财政拨款收入482.14万元，占35.03%；上级补助收入0.00万元，占0.00%；事业收入793.95万元，占57.69%；经营收入0.00万元，占0.00%；附属单位上缴收入0.00万元，占0.00%；其他收入100.08万元，占7.27%。</w:t>
      </w:r>
    </w:p>
    <w:p w14:paraId="1A576A7E">
      <w:pPr>
        <w:spacing w:line="640" w:lineRule="exact"/>
        <w:ind w:firstLine="640"/>
        <w:jc w:val="both"/>
        <w:outlineLvl w:val="2"/>
      </w:pPr>
      <w:r>
        <w:rPr>
          <w:rFonts w:ascii="黑体" w:hAnsi="黑体" w:eastAsia="黑体"/>
          <w:sz w:val="32"/>
        </w:rPr>
        <w:t>三、支出决算情况说明</w:t>
      </w:r>
    </w:p>
    <w:p w14:paraId="7C66D90E">
      <w:pPr>
        <w:spacing w:line="580" w:lineRule="exact"/>
        <w:ind w:firstLine="640"/>
        <w:jc w:val="both"/>
      </w:pPr>
      <w:r>
        <w:rPr>
          <w:rFonts w:ascii="仿宋_GB2312" w:hAnsi="仿宋_GB2312" w:eastAsia="仿宋_GB2312"/>
          <w:b/>
          <w:sz w:val="32"/>
        </w:rPr>
        <w:t>本年支出1,372.08万元，</w:t>
      </w:r>
      <w:r>
        <w:rPr>
          <w:rFonts w:ascii="仿宋_GB2312" w:hAnsi="仿宋_GB2312" w:eastAsia="仿宋_GB2312"/>
          <w:b w:val="0"/>
          <w:sz w:val="32"/>
        </w:rPr>
        <w:t>其中：基本支出1,272.08万元，占92.71%；项目支出100.00万元，占7.29%；上缴上级支出0.00万元，占0.00%；经营支出0.00万元，占0.00%；对附属单位补助支出0.00万元，占0.00%。</w:t>
      </w:r>
    </w:p>
    <w:p w14:paraId="283B1D46">
      <w:pPr>
        <w:spacing w:line="640" w:lineRule="exact"/>
        <w:ind w:firstLine="640"/>
        <w:jc w:val="both"/>
        <w:outlineLvl w:val="2"/>
      </w:pPr>
      <w:r>
        <w:rPr>
          <w:rFonts w:ascii="黑体" w:hAnsi="黑体" w:eastAsia="黑体"/>
          <w:sz w:val="32"/>
        </w:rPr>
        <w:t>四、财政拨款收入支出决算总体情况说明</w:t>
      </w:r>
    </w:p>
    <w:p w14:paraId="72E7EF9E">
      <w:pPr>
        <w:spacing w:line="580" w:lineRule="exact"/>
        <w:ind w:firstLine="640"/>
        <w:jc w:val="both"/>
      </w:pPr>
      <w:r>
        <w:rPr>
          <w:rFonts w:ascii="仿宋_GB2312" w:hAnsi="仿宋_GB2312" w:eastAsia="仿宋_GB2312"/>
          <w:b/>
          <w:sz w:val="32"/>
        </w:rPr>
        <w:t>2024年度财政拨款收入总计482.14万元，</w:t>
      </w:r>
      <w:r>
        <w:rPr>
          <w:rFonts w:ascii="仿宋_GB2312" w:hAnsi="仿宋_GB2312" w:eastAsia="仿宋_GB2312"/>
          <w:b w:val="0"/>
          <w:sz w:val="32"/>
        </w:rPr>
        <w:t>其中：年初财政拨款结转和结余0.00万元，本年财政拨款收入482.14万元。</w:t>
      </w:r>
      <w:r>
        <w:rPr>
          <w:rFonts w:ascii="仿宋_GB2312" w:hAnsi="仿宋_GB2312" w:eastAsia="仿宋_GB2312"/>
          <w:b/>
          <w:sz w:val="32"/>
        </w:rPr>
        <w:t>财政拨款支出总计482.14万元，</w:t>
      </w:r>
      <w:r>
        <w:rPr>
          <w:rFonts w:ascii="仿宋_GB2312" w:hAnsi="仿宋_GB2312" w:eastAsia="仿宋_GB2312"/>
          <w:b w:val="0"/>
          <w:sz w:val="32"/>
        </w:rPr>
        <w:t>其中：年末财政拨款结转和结余0.00万元，本年财政拨款支出482.14万元。</w:t>
      </w:r>
    </w:p>
    <w:p w14:paraId="6201F9B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减少3,216.36万元，下降86.96%，主要原因是：本年维吾尔医医院医共体综合楼建设项目资金较上年减少。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年初预算数453.77万元，决算数482.14万元，预决算差异率6.25%，主要原因是：年中追加药品费，导致预决算存在差异。</w:t>
      </w:r>
    </w:p>
    <w:p w14:paraId="09B02358">
      <w:pPr>
        <w:spacing w:line="640" w:lineRule="exact"/>
        <w:ind w:firstLine="640"/>
        <w:jc w:val="both"/>
        <w:outlineLvl w:val="2"/>
      </w:pPr>
      <w:r>
        <w:rPr>
          <w:rFonts w:ascii="黑体" w:hAnsi="黑体" w:eastAsia="黑体"/>
          <w:sz w:val="32"/>
        </w:rPr>
        <w:t>五、一般公共预算财政拨款支出决算情况说明</w:t>
      </w:r>
    </w:p>
    <w:p w14:paraId="744136D4">
      <w:pPr>
        <w:spacing w:line="640" w:lineRule="exact"/>
        <w:ind w:firstLine="640"/>
        <w:jc w:val="both"/>
        <w:outlineLvl w:val="3"/>
      </w:pPr>
      <w:r>
        <w:rPr>
          <w:rFonts w:ascii="楷体_GB2312" w:hAnsi="楷体_GB2312" w:eastAsia="楷体_GB2312"/>
          <w:b/>
          <w:sz w:val="32"/>
        </w:rPr>
        <w:t>（一）一般公共预算财政拨款支出决算总体情况</w:t>
      </w:r>
    </w:p>
    <w:p w14:paraId="75811DAD">
      <w:pPr>
        <w:spacing w:line="580" w:lineRule="exact"/>
        <w:ind w:firstLine="640"/>
        <w:jc w:val="both"/>
      </w:pPr>
      <w:r>
        <w:rPr>
          <w:rFonts w:ascii="仿宋_GB2312" w:hAnsi="仿宋_GB2312" w:eastAsia="仿宋_GB2312"/>
          <w:b/>
          <w:sz w:val="32"/>
        </w:rPr>
        <w:t>2024年度一般公共预算财政拨款支出482.14万元，</w:t>
      </w:r>
      <w:r>
        <w:rPr>
          <w:rFonts w:ascii="仿宋_GB2312" w:hAnsi="仿宋_GB2312" w:eastAsia="仿宋_GB2312"/>
          <w:b w:val="0"/>
          <w:sz w:val="32"/>
        </w:rPr>
        <w:t>占本年支出合计的35.14%。</w:t>
      </w:r>
      <w:r>
        <w:rPr>
          <w:rFonts w:ascii="仿宋_GB2312" w:hAnsi="仿宋_GB2312" w:eastAsia="仿宋_GB2312"/>
          <w:b/>
          <w:sz w:val="32"/>
        </w:rPr>
        <w:t>与上年相比，</w:t>
      </w:r>
      <w:r>
        <w:rPr>
          <w:rFonts w:ascii="仿宋_GB2312" w:hAnsi="仿宋_GB2312" w:eastAsia="仿宋_GB2312"/>
          <w:b w:val="0"/>
          <w:sz w:val="32"/>
        </w:rPr>
        <w:t>减少216.36万元，下降30.97%，主要原因是：一是本年在职人员减少，相关人员经费较上年减少；二是本年减少采购中草药饮片经费，PPACS系统建设项目。</w:t>
      </w:r>
      <w:r>
        <w:rPr>
          <w:rFonts w:ascii="仿宋_GB2312" w:hAnsi="仿宋_GB2312" w:eastAsia="仿宋_GB2312"/>
          <w:b/>
          <w:sz w:val="32"/>
        </w:rPr>
        <w:t>与年初预算相比,</w:t>
      </w:r>
      <w:r>
        <w:rPr>
          <w:rFonts w:ascii="仿宋_GB2312" w:hAnsi="仿宋_GB2312" w:eastAsia="仿宋_GB2312"/>
          <w:b w:val="0"/>
          <w:sz w:val="32"/>
        </w:rPr>
        <w:t>年初预算数453.77万元，决算数482.14万元，预决算差异率6.25%，主要原因是：年中追加药品费，导致预决算存在差异。</w:t>
      </w:r>
    </w:p>
    <w:p w14:paraId="2527AF92">
      <w:pPr>
        <w:spacing w:line="640" w:lineRule="exact"/>
        <w:ind w:firstLine="640"/>
        <w:jc w:val="both"/>
        <w:outlineLvl w:val="3"/>
      </w:pPr>
      <w:r>
        <w:rPr>
          <w:rFonts w:ascii="楷体_GB2312" w:hAnsi="楷体_GB2312" w:eastAsia="楷体_GB2312"/>
          <w:b/>
          <w:sz w:val="32"/>
        </w:rPr>
        <w:t>（二）一般公共预算财政拨款支出决算结构情况</w:t>
      </w:r>
    </w:p>
    <w:p w14:paraId="73D5E9F9">
      <w:pPr>
        <w:spacing w:line="580" w:lineRule="exact"/>
        <w:ind w:firstLine="640"/>
        <w:jc w:val="both"/>
      </w:pPr>
      <w:r>
        <w:rPr>
          <w:rFonts w:ascii="仿宋_GB2312" w:hAnsi="仿宋_GB2312" w:eastAsia="仿宋_GB2312"/>
          <w:b w:val="0"/>
          <w:sz w:val="32"/>
        </w:rPr>
        <w:t>1.社会保障和就业支出(类)69.16万元,占14.34%。</w:t>
      </w:r>
    </w:p>
    <w:p w14:paraId="2187E0C9">
      <w:pPr>
        <w:spacing w:line="580" w:lineRule="exact"/>
        <w:ind w:firstLine="640"/>
        <w:jc w:val="both"/>
      </w:pPr>
      <w:r>
        <w:rPr>
          <w:rFonts w:ascii="仿宋_GB2312" w:hAnsi="仿宋_GB2312" w:eastAsia="仿宋_GB2312"/>
          <w:b w:val="0"/>
          <w:sz w:val="32"/>
        </w:rPr>
        <w:t>2.卫生健康支出(类)381.07万元,占79.04%。</w:t>
      </w:r>
    </w:p>
    <w:p w14:paraId="245D852C">
      <w:pPr>
        <w:spacing w:line="580" w:lineRule="exact"/>
        <w:ind w:firstLine="640"/>
        <w:jc w:val="both"/>
      </w:pPr>
      <w:r>
        <w:rPr>
          <w:rFonts w:ascii="仿宋_GB2312" w:hAnsi="仿宋_GB2312" w:eastAsia="仿宋_GB2312"/>
          <w:b w:val="0"/>
          <w:sz w:val="32"/>
        </w:rPr>
        <w:t>3.住房保障支出(类)31.91万元,占6.62%。</w:t>
      </w:r>
    </w:p>
    <w:p w14:paraId="234FE055">
      <w:pPr>
        <w:spacing w:line="640" w:lineRule="exact"/>
        <w:ind w:firstLine="640"/>
        <w:jc w:val="both"/>
        <w:outlineLvl w:val="3"/>
      </w:pPr>
      <w:r>
        <w:rPr>
          <w:rFonts w:ascii="楷体_GB2312" w:hAnsi="楷体_GB2312" w:eastAsia="楷体_GB2312"/>
          <w:b/>
          <w:sz w:val="32"/>
        </w:rPr>
        <w:t>（三）一般公共预算财政拨款支出决算具体情况</w:t>
      </w:r>
    </w:p>
    <w:p w14:paraId="3E8B8C62">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9.38万元，比上年决算增加9.38万元，增长100.00%,主要原因是：本年功能科目调整，事业单位离退休上年度在主科目列支，本年单独列支，导致经费较上年增加。</w:t>
      </w:r>
    </w:p>
    <w:p w14:paraId="091471FB">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39.87万元，比上年决算增加2.38万元，增长6.35%,主要原因是：本年在职人员工资基数调增，养老缴费基数上涨，相应支出增加。</w:t>
      </w:r>
    </w:p>
    <w:p w14:paraId="7803669B">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3.社会保障和就业支出(类)行政事业单位养老支出(款)机关事业单位职业年金缴费支出(项):支出决算数为19.91万元，比上年决算增加1.16万元，增长6.19%,主要原因是：本年新增退休人员，职业年金缴费支出增加。</w:t>
      </w:r>
    </w:p>
    <w:p w14:paraId="68272AB3">
      <w:pPr>
        <w:spacing w:line="580" w:lineRule="exact"/>
        <w:ind w:firstLine="640"/>
        <w:jc w:val="both"/>
      </w:pPr>
      <w:r>
        <w:rPr>
          <w:rFonts w:ascii="仿宋_GB2312" w:hAnsi="仿宋_GB2312" w:eastAsia="仿宋_GB2312"/>
          <w:b w:val="0"/>
          <w:sz w:val="32"/>
        </w:rPr>
        <w:t>4.卫生健康支出(类)公立医院(款)中医（民族）医院(项):支出决算数为362.63万元，比上年决算减少139.53万元，下降27.79%,主要原因是：一是在职人员减少，相关人员经费减少；二是科目调整，职工住房公积金，医疗保险，公务员医疗补助等经费上年在主科目列支，本年单独列支。</w:t>
      </w:r>
    </w:p>
    <w:p w14:paraId="1C5368C4">
      <w:pPr>
        <w:spacing w:line="580" w:lineRule="exact"/>
        <w:ind w:firstLine="640"/>
        <w:jc w:val="both"/>
      </w:pPr>
      <w:r>
        <w:rPr>
          <w:rFonts w:ascii="仿宋_GB2312" w:hAnsi="仿宋_GB2312" w:eastAsia="仿宋_GB2312"/>
          <w:b w:val="0"/>
          <w:sz w:val="32"/>
        </w:rPr>
        <w:t>5.卫生健康支出(类)公共卫生(款)突发公共卫生事件应急处理(项):支出决算数为0.00万元，比上年决算减少140.10万元，下降100.00%,主要原因是：2023年增加黄码医院设备采购项目，2024年无此类项目。</w:t>
      </w:r>
    </w:p>
    <w:p w14:paraId="21923A15">
      <w:pPr>
        <w:spacing w:line="580" w:lineRule="exact"/>
        <w:ind w:firstLine="640"/>
        <w:jc w:val="both"/>
      </w:pPr>
      <w:r>
        <w:rPr>
          <w:rFonts w:ascii="仿宋_GB2312" w:hAnsi="仿宋_GB2312" w:eastAsia="仿宋_GB2312"/>
          <w:b w:val="0"/>
          <w:sz w:val="32"/>
        </w:rPr>
        <w:t>6.卫生健康支出(类)行政事业单位医疗(款)事业单位医疗(项):支出决算数为16.18万元，比上年决算增加16.18万元，增长100.00%,主要原因是：本年功能科目调整，事业单位离退休上年度在主科目列支，本年单独列支，导致经费较上年增加。</w:t>
      </w:r>
    </w:p>
    <w:p w14:paraId="574C12CE">
      <w:pPr>
        <w:spacing w:line="580" w:lineRule="exact"/>
        <w:ind w:firstLine="640"/>
        <w:jc w:val="both"/>
      </w:pPr>
      <w:r>
        <w:rPr>
          <w:rFonts w:ascii="仿宋_GB2312" w:hAnsi="仿宋_GB2312" w:eastAsia="仿宋_GB2312"/>
          <w:b w:val="0"/>
          <w:sz w:val="32"/>
        </w:rPr>
        <w:t>7.卫生健康支出(类)行政事业单位医疗(款)其他行政事业单位医疗支出(项):支出决算数为2.27万元，比上年决算增加2.27万元，增长100.00%,主要原因是：本年功能科目调整，职工大病，工伤，失业保险缴费上年度在主科目列支，本年单独列支，导致经费较上年增加。</w:t>
      </w:r>
    </w:p>
    <w:p w14:paraId="03A8396A">
      <w:pPr>
        <w:spacing w:line="580" w:lineRule="exact"/>
        <w:ind w:firstLine="640"/>
        <w:jc w:val="both"/>
      </w:pPr>
      <w:r>
        <w:rPr>
          <w:rFonts w:ascii="仿宋_GB2312" w:hAnsi="仿宋_GB2312" w:eastAsia="仿宋_GB2312"/>
          <w:b w:val="0"/>
          <w:sz w:val="32"/>
        </w:rPr>
        <w:t>8.住房保障支出(类)住房改革支出(款)住房公积金(项):支出决算数为31.91万元，比上年决算增加31.91万元，增长100.00%,主要原因是：本年功能科目调整，住房公积金上年度在主科目列支，本年单独列支，导致经费较上年增加。</w:t>
      </w:r>
    </w:p>
    <w:p w14:paraId="181899F4">
      <w:pPr>
        <w:spacing w:line="640" w:lineRule="exact"/>
        <w:ind w:firstLine="640"/>
        <w:jc w:val="both"/>
        <w:outlineLvl w:val="2"/>
      </w:pPr>
      <w:r>
        <w:rPr>
          <w:rFonts w:ascii="黑体" w:hAnsi="黑体" w:eastAsia="黑体"/>
          <w:sz w:val="32"/>
        </w:rPr>
        <w:t>六、一般公共预算财政拨款基本支出决算情况说明</w:t>
      </w:r>
    </w:p>
    <w:p w14:paraId="16950D41">
      <w:pPr>
        <w:spacing w:line="580" w:lineRule="exact"/>
        <w:ind w:firstLine="640"/>
        <w:jc w:val="both"/>
      </w:pPr>
      <w:r>
        <w:rPr>
          <w:rFonts w:ascii="仿宋_GB2312" w:hAnsi="仿宋_GB2312" w:eastAsia="仿宋_GB2312"/>
          <w:b w:val="0"/>
          <w:sz w:val="32"/>
        </w:rPr>
        <w:t>2024年度一般公共预算财政拨款基本支出482.14万元，其中：</w:t>
      </w:r>
      <w:r>
        <w:rPr>
          <w:rFonts w:ascii="仿宋_GB2312" w:hAnsi="仿宋_GB2312" w:eastAsia="仿宋_GB2312"/>
          <w:b/>
          <w:sz w:val="32"/>
        </w:rPr>
        <w:t>人员经费402.14万元，</w:t>
      </w:r>
      <w:r>
        <w:rPr>
          <w:rFonts w:ascii="仿宋_GB2312" w:hAnsi="仿宋_GB2312" w:eastAsia="仿宋_GB2312"/>
          <w:b w:val="0"/>
          <w:sz w:val="32"/>
        </w:rPr>
        <w:t>包括：基本工资、津贴补贴、机关事业单位基本养老保险缴费、职业年金缴费、职工基本医疗保险缴费、其他社会保障缴费、住房公积金、退休费。</w:t>
      </w:r>
    </w:p>
    <w:p w14:paraId="01D8FED8">
      <w:pPr>
        <w:spacing w:line="580" w:lineRule="exact"/>
        <w:ind w:firstLine="640"/>
        <w:jc w:val="both"/>
      </w:pPr>
      <w:r>
        <w:rPr>
          <w:rFonts w:ascii="仿宋_GB2312" w:hAnsi="仿宋_GB2312" w:eastAsia="仿宋_GB2312"/>
          <w:b/>
          <w:sz w:val="32"/>
        </w:rPr>
        <w:t>公用经费80.00万元，</w:t>
      </w:r>
      <w:r>
        <w:rPr>
          <w:rFonts w:ascii="仿宋_GB2312" w:hAnsi="仿宋_GB2312" w:eastAsia="仿宋_GB2312"/>
          <w:b w:val="0"/>
          <w:sz w:val="32"/>
        </w:rPr>
        <w:t>包括：专用材料费。</w:t>
      </w:r>
    </w:p>
    <w:p w14:paraId="46235040">
      <w:pPr>
        <w:spacing w:line="640" w:lineRule="exact"/>
        <w:ind w:firstLine="640"/>
        <w:jc w:val="both"/>
        <w:outlineLvl w:val="2"/>
      </w:pPr>
      <w:r>
        <w:rPr>
          <w:rFonts w:ascii="黑体" w:hAnsi="黑体" w:eastAsia="黑体"/>
          <w:sz w:val="32"/>
        </w:rPr>
        <w:t>七、政府性基金预算财政拨款收入支出决算情况说明</w:t>
      </w:r>
    </w:p>
    <w:p w14:paraId="20F68782">
      <w:pPr>
        <w:spacing w:line="580" w:lineRule="exact"/>
        <w:ind w:firstLine="640"/>
        <w:jc w:val="both"/>
      </w:pPr>
      <w:r>
        <w:rPr>
          <w:rFonts w:ascii="仿宋_GB2312" w:hAnsi="仿宋_GB2312" w:eastAsia="仿宋_GB2312"/>
          <w:b/>
          <w:sz w:val="32"/>
        </w:rPr>
        <w:t>2024年度政府性基金预算财政拨款收入总计0.00万元，</w:t>
      </w:r>
      <w:r>
        <w:rPr>
          <w:rFonts w:ascii="仿宋_GB2312" w:hAnsi="仿宋_GB2312" w:eastAsia="仿宋_GB2312"/>
          <w:b w:val="0"/>
          <w:sz w:val="32"/>
        </w:rPr>
        <w:t>其中：年初结转和结余0.00万元，本年收入0.00万元。</w:t>
      </w:r>
      <w:r>
        <w:rPr>
          <w:rFonts w:ascii="仿宋_GB2312" w:hAnsi="仿宋_GB2312" w:eastAsia="仿宋_GB2312"/>
          <w:b/>
          <w:sz w:val="32"/>
        </w:rPr>
        <w:t>政府性基金预算财政拨款支出总计0.00万元，</w:t>
      </w:r>
      <w:r>
        <w:rPr>
          <w:rFonts w:ascii="仿宋_GB2312" w:hAnsi="仿宋_GB2312" w:eastAsia="仿宋_GB2312"/>
          <w:b w:val="0"/>
          <w:sz w:val="32"/>
        </w:rPr>
        <w:t>其中：年末结转和结余0.00万元，本年支出0.00万元。</w:t>
      </w:r>
    </w:p>
    <w:p w14:paraId="292C3CAB">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减少3,000.00万元，下降100.00%，主要原因是：本年减少维吾尔医医院医共体综合楼建设项目资金。</w:t>
      </w:r>
      <w:r>
        <w:rPr>
          <w:rFonts w:ascii="仿宋_GB2312" w:hAnsi="仿宋_GB2312" w:eastAsia="仿宋_GB2312"/>
          <w:b/>
          <w:sz w:val="32"/>
        </w:rPr>
        <w:t>与年初预算相比，</w:t>
      </w:r>
      <w:r>
        <w:rPr>
          <w:rFonts w:ascii="仿宋_GB2312" w:hAnsi="仿宋_GB2312" w:eastAsia="仿宋_GB2312"/>
          <w:b w:val="0"/>
          <w:sz w:val="32"/>
        </w:rPr>
        <w:t>年初预算数0.00万元，决算数0.00万元，预决算差异率0.00%，主要原因是：本年未安排政府性基金项目。</w:t>
      </w:r>
    </w:p>
    <w:p w14:paraId="3756478E">
      <w:pPr>
        <w:spacing w:line="580" w:lineRule="exact"/>
        <w:ind w:firstLine="640"/>
        <w:jc w:val="both"/>
      </w:pPr>
      <w:r>
        <w:rPr>
          <w:rFonts w:ascii="仿宋_GB2312" w:hAnsi="仿宋_GB2312" w:eastAsia="仿宋_GB2312"/>
          <w:b w:val="0"/>
          <w:sz w:val="32"/>
        </w:rPr>
        <w:t>政府性基金预算财政拨款支出0.00万元。</w:t>
      </w:r>
    </w:p>
    <w:p w14:paraId="7757480C">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0.00万元，比上年决算减少3,000.00万元，下降100.00%,主要原因是：本年减少维吾尔医医院医共体综合楼建设项目资金。</w:t>
      </w:r>
    </w:p>
    <w:p w14:paraId="5343C051">
      <w:pPr>
        <w:spacing w:line="640" w:lineRule="exact"/>
        <w:ind w:firstLine="640"/>
        <w:jc w:val="both"/>
        <w:outlineLvl w:val="2"/>
      </w:pPr>
      <w:r>
        <w:rPr>
          <w:rFonts w:ascii="黑体" w:hAnsi="黑体" w:eastAsia="黑体"/>
          <w:sz w:val="32"/>
        </w:rPr>
        <w:t>八、国有资本经营预算财政拨款收入支出决算情况说明</w:t>
      </w:r>
    </w:p>
    <w:p w14:paraId="1BD4936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8AFBCE2">
      <w:pPr>
        <w:spacing w:line="640" w:lineRule="exact"/>
        <w:ind w:firstLine="640"/>
        <w:jc w:val="both"/>
        <w:outlineLvl w:val="2"/>
      </w:pPr>
      <w:r>
        <w:rPr>
          <w:rFonts w:ascii="黑体" w:hAnsi="黑体" w:eastAsia="黑体"/>
          <w:sz w:val="32"/>
        </w:rPr>
        <w:t>九、财政拨款“三公”经费支出决算情况说明</w:t>
      </w:r>
    </w:p>
    <w:p w14:paraId="31CFA892">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25E7B9C">
      <w:pPr>
        <w:spacing w:line="580" w:lineRule="exact"/>
        <w:ind w:firstLine="640"/>
        <w:jc w:val="both"/>
      </w:pPr>
      <w:r>
        <w:rPr>
          <w:rFonts w:ascii="仿宋_GB2312" w:hAnsi="仿宋_GB2312" w:eastAsia="仿宋_GB2312"/>
          <w:b/>
          <w:sz w:val="32"/>
        </w:rPr>
        <w:t>具体情况如下：</w:t>
      </w:r>
    </w:p>
    <w:p w14:paraId="0A82088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6C63F4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辆，与公务用车保有量差异原因是：单位业务用车，车辆费用未使用财政拨款公务用车运行维护费支付，由事业收入经费保障。</w:t>
      </w:r>
    </w:p>
    <w:p w14:paraId="72F12D5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0A117D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91E6516">
      <w:pPr>
        <w:spacing w:line="640" w:lineRule="exact"/>
        <w:ind w:firstLine="640"/>
        <w:jc w:val="both"/>
        <w:outlineLvl w:val="2"/>
      </w:pPr>
      <w:r>
        <w:rPr>
          <w:rFonts w:ascii="黑体" w:hAnsi="黑体" w:eastAsia="黑体"/>
          <w:sz w:val="32"/>
        </w:rPr>
        <w:t>十、其他重要事项的情况说明</w:t>
      </w:r>
    </w:p>
    <w:p w14:paraId="7F33C35C">
      <w:pPr>
        <w:spacing w:line="640" w:lineRule="exact"/>
        <w:ind w:firstLine="640"/>
        <w:jc w:val="both"/>
        <w:outlineLvl w:val="3"/>
      </w:pPr>
      <w:r>
        <w:rPr>
          <w:rFonts w:ascii="楷体_GB2312" w:hAnsi="楷体_GB2312" w:eastAsia="楷体_GB2312"/>
          <w:b/>
          <w:sz w:val="32"/>
        </w:rPr>
        <w:t>（一）机关运行经费及公用经费支出情况</w:t>
      </w:r>
    </w:p>
    <w:p w14:paraId="27BEF181">
      <w:pPr>
        <w:spacing w:line="580" w:lineRule="exact"/>
        <w:ind w:firstLine="640"/>
        <w:jc w:val="both"/>
      </w:pPr>
      <w:r>
        <w:rPr>
          <w:rFonts w:ascii="仿宋_GB2312" w:hAnsi="仿宋_GB2312" w:eastAsia="仿宋_GB2312"/>
          <w:b w:val="0"/>
          <w:sz w:val="32"/>
        </w:rPr>
        <w:t>2024年度民丰县维吾尔医医院（事业单位）公用经费支出80.00万元，比上年增加80.00万元，增长100.00%，主要原因是：本年增加专用材料费，导致公用经费增加。</w:t>
      </w:r>
    </w:p>
    <w:p w14:paraId="5667EB6F">
      <w:pPr>
        <w:spacing w:line="640" w:lineRule="exact"/>
        <w:ind w:firstLine="640"/>
        <w:jc w:val="both"/>
        <w:outlineLvl w:val="3"/>
      </w:pPr>
      <w:r>
        <w:rPr>
          <w:rFonts w:ascii="楷体_GB2312" w:hAnsi="楷体_GB2312" w:eastAsia="楷体_GB2312"/>
          <w:b/>
          <w:sz w:val="32"/>
        </w:rPr>
        <w:t>（二）政府采购情况</w:t>
      </w:r>
    </w:p>
    <w:p w14:paraId="532C11DC">
      <w:pPr>
        <w:spacing w:line="580" w:lineRule="exact"/>
        <w:ind w:firstLine="640"/>
        <w:jc w:val="both"/>
      </w:pPr>
      <w:r>
        <w:rPr>
          <w:rFonts w:ascii="仿宋_GB2312" w:hAnsi="仿宋_GB2312" w:eastAsia="仿宋_GB2312"/>
          <w:b w:val="0"/>
          <w:sz w:val="32"/>
        </w:rPr>
        <w:t>2024年度政府采购支出总额57.55万元，其中：政府采购货物支出44.75万元、政府采购工程支出0.00万元、政府采购服务支出12.80万元。</w:t>
      </w:r>
    </w:p>
    <w:p w14:paraId="60A31A0F">
      <w:pPr>
        <w:spacing w:line="580" w:lineRule="exact"/>
        <w:ind w:firstLine="640"/>
        <w:jc w:val="both"/>
      </w:pPr>
      <w:r>
        <w:rPr>
          <w:rFonts w:ascii="仿宋_GB2312" w:hAnsi="仿宋_GB2312" w:eastAsia="仿宋_GB2312"/>
          <w:b w:val="0"/>
          <w:sz w:val="32"/>
        </w:rPr>
        <w:t>授予中小企业合同金额57.55万元，占政府采购支出总额的100.00%，其中：授予小微企业合同金额57.55万元，占政府采购支出总额的100.00%。</w:t>
      </w:r>
    </w:p>
    <w:p w14:paraId="554BBFA7">
      <w:pPr>
        <w:spacing w:line="640" w:lineRule="exact"/>
        <w:ind w:firstLine="640"/>
        <w:jc w:val="both"/>
        <w:outlineLvl w:val="3"/>
      </w:pPr>
      <w:r>
        <w:rPr>
          <w:rFonts w:ascii="楷体_GB2312" w:hAnsi="楷体_GB2312" w:eastAsia="楷体_GB2312"/>
          <w:b/>
          <w:sz w:val="32"/>
        </w:rPr>
        <w:t>（三）国有资产占用情况说明</w:t>
      </w:r>
    </w:p>
    <w:p w14:paraId="3145A094">
      <w:pPr>
        <w:spacing w:line="580" w:lineRule="exact"/>
        <w:ind w:firstLine="640"/>
        <w:jc w:val="both"/>
      </w:pPr>
      <w:r>
        <w:rPr>
          <w:rFonts w:ascii="仿宋_GB2312" w:hAnsi="仿宋_GB2312" w:eastAsia="仿宋_GB2312"/>
          <w:b w:val="0"/>
          <w:sz w:val="32"/>
        </w:rPr>
        <w:t>截至2024年12月31日，房屋9,038.40平方米，价值2,087.03万元。车辆1辆，价值14.30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3台（套）。</w:t>
      </w:r>
    </w:p>
    <w:p w14:paraId="7D3CB00F">
      <w:pPr>
        <w:spacing w:line="640" w:lineRule="exact"/>
        <w:ind w:firstLine="640"/>
        <w:jc w:val="both"/>
        <w:outlineLvl w:val="2"/>
      </w:pPr>
      <w:r>
        <w:rPr>
          <w:rFonts w:ascii="黑体" w:hAnsi="黑体" w:eastAsia="黑体"/>
          <w:sz w:val="32"/>
        </w:rPr>
        <w:t>十一、预算绩效的情况说明</w:t>
      </w:r>
    </w:p>
    <w:p w14:paraId="1272FDE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1,397.03万元，实际执行总额1,372.08万元；预算绩效评价项目3个，全年预算数804.80万元，全年执行数545.84万元。预算绩效管理取得的成效：一是资金配置精准化：对重大项目和民生领域资金开展事前绩效评估，科学论证项目必要性与可行性，大幅提高资金配置合理性。如在某大型基础设施建设项目评估中，通过严格审核项目规划、预期效益等关键指标，核减了不必要的预算开支，使得资金精准投入到核心建设环节，避免财政资源低效配置，保障项目顺利实施；二是管理流程标准化：构建了涵盖绩效目标设定、运行监控、结果评价等全过程的标准化管理流程，为预算绩效管理提供明确规范。各部门按照统一的指标体系和评价标准开展工作，实现了绩效目标与预算编制同步，执行过程实时监控。如在教育经费管理中，依据标准化流程，对资金使用效益、教学成果产出等进行量化考核，提升了教育资金管理的科学性与规范性；三是结果应用实效化：建立严格的绩效评价结果与预算安排挂钩机制，对绩效评价结果优秀的项目给予优先保障和资金追加，对绩效不佳的项目削减或暂停预算。例如，在医疗卫生领域，对绩效评价优秀的基层医疗服务项目加大资金支持，优化医疗资源配置；对个别绩效不达标的药品采购项目，暂停下一年度预算安排，督促其整改，切实提高财政资金使用效益。发现的问题及原因：一是部分单位对绩效目标与预算编制工作的重视程度不够，导致数据报送不及时或质量不高；二是部分项目绩效目标设定模糊、可衡量性不足，存在“重投入、轻产出”的倾向。对新准则、新制度的理解和掌握程度不够，影响了绩效的准确性和规范性；三是绩效评价结果与预算调整的挂钩机制执行不够彻底，“评价与应用两张皮”现象仍有存在。原因：一是部分地区和部门存在“重评价、轻应用”的惯性思维，对绩效不佳项目的预算削减或整改缺乏刚性约束，担心影响工作推进；二是绩效评价结果的公开透明度不足，社会监督和内部问责机制未能有效衔接，导致结果应用缺乏足够的压力和动力。下一步改进措施：一是强化绩效目标精准化管理：针对绩效目标模糊问题，一方面，推动各部门建立“目标—任务—指标”联动机制，要求项目申报时必须明确可量化、可考核的产出指标（如民生项目需细化服务覆盖人数、满意度等），并组织专家对目标科学性进行专项评审，未通过评审的项目不予安排预算；另一方面，分行业完善绩效指标库，针对教育、医疗等专业领域制定细分标准，明确核心指标的计算方法和数据来源，确保目标设定与实际成效可对标；二是健全绩效结果刚性应用机制：破解“评价与应用两张皮”问题，一是将绩效评价结果纳入部门年度考核硬指标，对连续两年评价不达标的项目，直接取消预算资格并启动问责程序；二是扩大评价结果公开范围，除涉密信息外，主动向社会公开项目绩效报告，接受公众监督；三是建立“整改—复核—反馈”闭环，对绩效不佳的项目，要求部门限期整改并提交复核申请，未完成整改的暂停同类项目审批，形成“评价促改进、改进优预算”的良性循环。具体附整体支出绩效自评表，项目支出绩效自评表和评价报告。</w:t>
      </w:r>
    </w:p>
    <w:p w14:paraId="759B07F0">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6E41D6E">
        <w:tblPrEx>
          <w:tblCellMar>
            <w:top w:w="0" w:type="dxa"/>
            <w:left w:w="108" w:type="dxa"/>
            <w:bottom w:w="0" w:type="dxa"/>
            <w:right w:w="108" w:type="dxa"/>
          </w:tblCellMar>
        </w:tblPrEx>
        <w:tc>
          <w:tcPr>
            <w:tcW w:w="8847" w:type="dxa"/>
            <w:gridSpan w:val="9"/>
            <w:vAlign w:val="center"/>
          </w:tcPr>
          <w:p w14:paraId="26A2971B">
            <w:pPr>
              <w:jc w:val="center"/>
            </w:pPr>
            <w:r>
              <w:rPr>
                <w:rFonts w:ascii="宋体" w:hAnsi="宋体" w:eastAsia="宋体"/>
                <w:sz w:val="24"/>
              </w:rPr>
              <w:t>单位整体支出绩效自评表</w:t>
            </w:r>
          </w:p>
        </w:tc>
      </w:tr>
      <w:tr w14:paraId="7D99C7C2">
        <w:tblPrEx>
          <w:tblCellMar>
            <w:top w:w="0" w:type="dxa"/>
            <w:left w:w="108" w:type="dxa"/>
            <w:bottom w:w="0" w:type="dxa"/>
            <w:right w:w="108" w:type="dxa"/>
          </w:tblCellMar>
        </w:tblPrEx>
        <w:tc>
          <w:tcPr>
            <w:tcW w:w="8847" w:type="dxa"/>
            <w:gridSpan w:val="9"/>
            <w:vAlign w:val="center"/>
          </w:tcPr>
          <w:p w14:paraId="20EDF944">
            <w:pPr>
              <w:jc w:val="center"/>
            </w:pPr>
            <w:r>
              <w:rPr>
                <w:rFonts w:ascii="宋体" w:hAnsi="宋体" w:eastAsia="宋体"/>
                <w:sz w:val="24"/>
              </w:rPr>
              <w:t>（2024年度）</w:t>
            </w:r>
          </w:p>
        </w:tc>
      </w:tr>
      <w:tr w14:paraId="3DCF5E0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809EA">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98F663F">
            <w:pPr>
              <w:jc w:val="center"/>
            </w:pPr>
            <w:r>
              <w:rPr>
                <w:rFonts w:ascii="宋体" w:hAnsi="宋体" w:eastAsia="宋体"/>
                <w:sz w:val="16"/>
              </w:rPr>
              <w:t>民丰县维吾尔医医院</w:t>
            </w:r>
          </w:p>
        </w:tc>
      </w:tr>
      <w:tr w14:paraId="235A2F4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88BA5B">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F2D79">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79AC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DEE8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06E296">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9644B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743B4B">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7AF38">
            <w:pPr>
              <w:jc w:val="center"/>
            </w:pPr>
            <w:r>
              <w:rPr>
                <w:rFonts w:ascii="宋体" w:hAnsi="宋体" w:eastAsia="宋体"/>
                <w:sz w:val="16"/>
              </w:rPr>
              <w:t>得分</w:t>
            </w:r>
          </w:p>
        </w:tc>
      </w:tr>
      <w:tr w14:paraId="62305C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A41BFC"/>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7FACDE">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1822D">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DD88D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7F509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82705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5183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8937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866F6">
            <w:pPr>
              <w:jc w:val="center"/>
            </w:pPr>
            <w:r>
              <w:rPr>
                <w:rFonts w:ascii="宋体" w:hAnsi="宋体" w:eastAsia="宋体"/>
                <w:sz w:val="16"/>
              </w:rPr>
              <w:t>-</w:t>
            </w:r>
          </w:p>
        </w:tc>
      </w:tr>
      <w:tr w14:paraId="407B0F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09DEE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73FAC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EF2C7">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2A2FBD">
            <w:pPr>
              <w:jc w:val="center"/>
            </w:pPr>
            <w:r>
              <w:rPr>
                <w:rFonts w:ascii="宋体" w:hAnsi="宋体" w:eastAsia="宋体"/>
                <w:sz w:val="16"/>
              </w:rPr>
              <w:t>453.77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71EBB">
            <w:pPr>
              <w:jc w:val="center"/>
            </w:pPr>
            <w:r>
              <w:rPr>
                <w:rFonts w:ascii="宋体" w:hAnsi="宋体" w:eastAsia="宋体"/>
                <w:sz w:val="16"/>
              </w:rPr>
              <w:t>482.14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2F1F2">
            <w:pPr>
              <w:jc w:val="center"/>
            </w:pPr>
            <w:r>
              <w:rPr>
                <w:rFonts w:ascii="宋体" w:hAnsi="宋体" w:eastAsia="宋体"/>
                <w:sz w:val="16"/>
              </w:rPr>
              <w:t>482.14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6A468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F23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B2B2B7">
            <w:pPr>
              <w:jc w:val="center"/>
            </w:pPr>
            <w:r>
              <w:rPr>
                <w:rFonts w:ascii="宋体" w:hAnsi="宋体" w:eastAsia="宋体"/>
                <w:sz w:val="16"/>
              </w:rPr>
              <w:t>-</w:t>
            </w:r>
          </w:p>
        </w:tc>
      </w:tr>
      <w:tr w14:paraId="39E3B47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E3D1DAC"/>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7C22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09C9E9">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C383A4">
            <w:pPr>
              <w:jc w:val="center"/>
            </w:pPr>
            <w:r>
              <w:rPr>
                <w:rFonts w:ascii="宋体" w:hAnsi="宋体" w:eastAsia="宋体"/>
                <w:sz w:val="16"/>
              </w:rPr>
              <w:t>724.80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22C1F">
            <w:pPr>
              <w:jc w:val="center"/>
            </w:pPr>
            <w:r>
              <w:rPr>
                <w:rFonts w:ascii="宋体" w:hAnsi="宋体" w:eastAsia="宋体"/>
                <w:sz w:val="16"/>
              </w:rPr>
              <w:t>914.89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8AE51E">
            <w:pPr>
              <w:jc w:val="center"/>
            </w:pPr>
            <w:r>
              <w:rPr>
                <w:rFonts w:ascii="宋体" w:hAnsi="宋体" w:eastAsia="宋体"/>
                <w:sz w:val="16"/>
              </w:rPr>
              <w:t>889.94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F3C6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A1C0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000798">
            <w:pPr>
              <w:jc w:val="center"/>
            </w:pPr>
            <w:r>
              <w:rPr>
                <w:rFonts w:ascii="宋体" w:hAnsi="宋体" w:eastAsia="宋体"/>
                <w:sz w:val="16"/>
              </w:rPr>
              <w:t>-</w:t>
            </w:r>
          </w:p>
        </w:tc>
      </w:tr>
      <w:tr w14:paraId="294E3BB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EAE53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1470C">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FB7A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E7F5D">
            <w:pPr>
              <w:jc w:val="center"/>
            </w:pPr>
            <w:r>
              <w:rPr>
                <w:rFonts w:ascii="宋体" w:hAnsi="宋体" w:eastAsia="宋体"/>
                <w:sz w:val="16"/>
              </w:rPr>
              <w:t>1,178.57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C25EB">
            <w:pPr>
              <w:jc w:val="center"/>
            </w:pPr>
            <w:r>
              <w:rPr>
                <w:rFonts w:ascii="宋体" w:hAnsi="宋体" w:eastAsia="宋体"/>
                <w:sz w:val="16"/>
              </w:rPr>
              <w:t>1,397.03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8FEE4">
            <w:pPr>
              <w:jc w:val="center"/>
            </w:pPr>
            <w:r>
              <w:rPr>
                <w:rFonts w:ascii="宋体" w:hAnsi="宋体" w:eastAsia="宋体"/>
                <w:sz w:val="16"/>
              </w:rPr>
              <w:t>1,372.08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7948A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0201A">
            <w:pPr>
              <w:jc w:val="center"/>
            </w:pPr>
            <w:r>
              <w:rPr>
                <w:rFonts w:ascii="宋体" w:hAnsi="宋体" w:eastAsia="宋体"/>
                <w:sz w:val="16"/>
              </w:rPr>
              <w:t>98.21%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087C2">
            <w:pPr>
              <w:jc w:val="center"/>
            </w:pPr>
            <w:r>
              <w:rPr>
                <w:rFonts w:ascii="宋体" w:hAnsi="宋体" w:eastAsia="宋体"/>
                <w:sz w:val="16"/>
              </w:rPr>
              <w:t>9.82</w:t>
            </w:r>
          </w:p>
        </w:tc>
      </w:tr>
      <w:tr w14:paraId="0A39CF6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57ABFA">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611D8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6736D9">
            <w:pPr>
              <w:jc w:val="center"/>
            </w:pPr>
            <w:r>
              <w:rPr>
                <w:rFonts w:ascii="宋体" w:hAnsi="宋体" w:eastAsia="宋体"/>
                <w:sz w:val="16"/>
              </w:rPr>
              <w:t>实际完成情况</w:t>
            </w:r>
          </w:p>
        </w:tc>
      </w:tr>
      <w:tr w14:paraId="50D896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DED14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9FD430D">
            <w:pPr>
              <w:jc w:val="both"/>
            </w:pPr>
            <w:r>
              <w:rPr>
                <w:rFonts w:ascii="宋体" w:hAnsi="宋体" w:eastAsia="宋体"/>
                <w:sz w:val="16"/>
              </w:rPr>
              <w:t>目标1:保障在职干部65人，全年门诊问诊患者8104人次，全年住院治疗患者2000人次；</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目标2：保障单位日常医疗工作正常运转；</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目标3：有效治愈患者，提高群众健康水平，减少各组患者远赶它地就医看病而增加的负担。</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7C70F42">
            <w:pPr>
              <w:jc w:val="both"/>
            </w:pPr>
            <w:r>
              <w:rPr>
                <w:rFonts w:ascii="宋体" w:hAnsi="宋体" w:eastAsia="宋体"/>
                <w:sz w:val="16"/>
              </w:rPr>
              <w:t>本项目</w:t>
            </w:r>
            <w:r>
              <w:rPr>
                <w:rFonts w:hint="eastAsia" w:ascii="宋体" w:hAnsi="宋体"/>
                <w:sz w:val="16"/>
                <w:lang w:eastAsia="zh-CN"/>
              </w:rPr>
              <w:t>截至</w:t>
            </w:r>
            <w:r>
              <w:rPr>
                <w:rFonts w:ascii="宋体" w:hAnsi="宋体" w:eastAsia="宋体"/>
                <w:sz w:val="16"/>
              </w:rPr>
              <w:t>自评时间，已完成保障在职干部65人，全年门诊患者9423人次，住院患者1920人次，药品网采率达到85%，保障单位日常医疗工作正常运转，有效治愈患者，提高了群众健康水平，减少各族患者远赴外地就医看病而增加的负担。</w:t>
            </w:r>
          </w:p>
        </w:tc>
      </w:tr>
      <w:tr w14:paraId="33632AA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60E99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BFD94">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7C8D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BF9A8">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154F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C05C4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18B055">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097202">
            <w:pPr>
              <w:jc w:val="center"/>
            </w:pPr>
            <w:r>
              <w:rPr>
                <w:rFonts w:ascii="宋体" w:hAnsi="宋体" w:eastAsia="宋体"/>
                <w:sz w:val="16"/>
              </w:rPr>
              <w:t>得分</w:t>
            </w:r>
          </w:p>
        </w:tc>
      </w:tr>
      <w:tr w14:paraId="2AA79C0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9B7E3">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D0AC93">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21A4">
            <w:pPr>
              <w:jc w:val="center"/>
            </w:pPr>
            <w:r>
              <w:rPr>
                <w:rFonts w:ascii="宋体" w:hAnsi="宋体" w:eastAsia="宋体"/>
                <w:sz w:val="16"/>
              </w:rPr>
              <w:t>在职干部保障人数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C65FB">
            <w:pPr>
              <w:jc w:val="center"/>
            </w:pPr>
            <w:r>
              <w:rPr>
                <w:rFonts w:ascii="宋体" w:hAnsi="宋体" w:eastAsia="宋体"/>
                <w:sz w:val="16"/>
              </w:rPr>
              <w:t>&gt;=65人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5D67A5">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9DF4F">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ADF1E">
            <w:pPr>
              <w:jc w:val="center"/>
            </w:pPr>
            <w:r>
              <w:rPr>
                <w:rFonts w:ascii="宋体" w:hAnsi="宋体" w:eastAsia="宋体"/>
                <w:sz w:val="16"/>
              </w:rPr>
              <w:t>65人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608886">
            <w:pPr>
              <w:jc w:val="center"/>
            </w:pPr>
            <w:r>
              <w:rPr>
                <w:rFonts w:ascii="宋体" w:hAnsi="宋体" w:eastAsia="宋体"/>
                <w:sz w:val="16"/>
              </w:rPr>
              <w:t>23</w:t>
            </w:r>
          </w:p>
        </w:tc>
      </w:tr>
      <w:tr w14:paraId="0A4B1F0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472A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6BE19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D2C0D0">
            <w:pPr>
              <w:jc w:val="center"/>
            </w:pPr>
            <w:r>
              <w:rPr>
                <w:rFonts w:ascii="宋体" w:hAnsi="宋体" w:eastAsia="宋体"/>
                <w:sz w:val="16"/>
              </w:rPr>
              <w:t>门诊问诊患者数量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97C34F">
            <w:pPr>
              <w:jc w:val="center"/>
            </w:pPr>
            <w:r>
              <w:rPr>
                <w:rFonts w:ascii="宋体" w:hAnsi="宋体" w:eastAsia="宋体"/>
                <w:sz w:val="16"/>
              </w:rPr>
              <w:t>&gt;=8104人次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38B6E7">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9F17B">
            <w:pPr>
              <w:jc w:val="center"/>
            </w:pPr>
            <w:r>
              <w:rPr>
                <w:rFonts w:ascii="宋体" w:hAnsi="宋体" w:eastAsia="宋体"/>
                <w:sz w:val="16"/>
              </w:rPr>
              <w:t>23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772A17">
            <w:pPr>
              <w:jc w:val="center"/>
            </w:pPr>
            <w:r>
              <w:rPr>
                <w:rFonts w:ascii="宋体" w:hAnsi="宋体" w:eastAsia="宋体"/>
                <w:sz w:val="16"/>
              </w:rPr>
              <w:t>9423人次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A2006">
            <w:pPr>
              <w:jc w:val="center"/>
            </w:pPr>
            <w:r>
              <w:rPr>
                <w:rFonts w:ascii="宋体" w:hAnsi="宋体" w:eastAsia="宋体"/>
                <w:sz w:val="16"/>
              </w:rPr>
              <w:t>23</w:t>
            </w:r>
          </w:p>
        </w:tc>
      </w:tr>
      <w:tr w14:paraId="3B1CA0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834B3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8E51AC"/>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5A5E6">
            <w:pPr>
              <w:jc w:val="center"/>
            </w:pPr>
            <w:r>
              <w:rPr>
                <w:rFonts w:ascii="宋体" w:hAnsi="宋体" w:eastAsia="宋体"/>
                <w:sz w:val="16"/>
              </w:rPr>
              <w:t>住院治疗患者数量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2E8939">
            <w:pPr>
              <w:jc w:val="center"/>
            </w:pPr>
            <w:r>
              <w:rPr>
                <w:rFonts w:ascii="宋体" w:hAnsi="宋体" w:eastAsia="宋体"/>
                <w:sz w:val="16"/>
              </w:rPr>
              <w:t>&gt;=2000人次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6881C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D0C19B">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152B32">
            <w:pPr>
              <w:jc w:val="center"/>
            </w:pPr>
            <w:r>
              <w:rPr>
                <w:rFonts w:ascii="宋体" w:hAnsi="宋体" w:eastAsia="宋体"/>
                <w:sz w:val="16"/>
              </w:rPr>
              <w:t>1920人次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9005E9">
            <w:pPr>
              <w:jc w:val="center"/>
            </w:pPr>
            <w:r>
              <w:rPr>
                <w:rFonts w:ascii="宋体" w:hAnsi="宋体" w:eastAsia="宋体"/>
                <w:sz w:val="16"/>
              </w:rPr>
              <w:t>21.12</w:t>
            </w:r>
          </w:p>
        </w:tc>
      </w:tr>
      <w:tr w14:paraId="767563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12A7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005533">
            <w:pPr>
              <w:jc w:val="center"/>
            </w:pPr>
            <w:r>
              <w:rPr>
                <w:rFonts w:ascii="宋体" w:hAnsi="宋体" w:eastAsia="宋体"/>
                <w:sz w:val="16"/>
              </w:rPr>
              <w:t>质量指标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9B576">
            <w:pPr>
              <w:jc w:val="center"/>
            </w:pPr>
            <w:r>
              <w:rPr>
                <w:rFonts w:ascii="宋体" w:hAnsi="宋体" w:eastAsia="宋体"/>
                <w:sz w:val="16"/>
              </w:rPr>
              <w:t>药品网采率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DFAB21">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0C0A0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398CB9">
            <w:pPr>
              <w:jc w:val="center"/>
            </w:pPr>
            <w:r>
              <w:rPr>
                <w:rFonts w:ascii="宋体" w:hAnsi="宋体" w:eastAsia="宋体"/>
                <w:sz w:val="16"/>
              </w:rPr>
              <w:t>22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3D42D9">
            <w:pPr>
              <w:jc w:val="center"/>
            </w:pPr>
            <w:r>
              <w:rPr>
                <w:rFonts w:ascii="宋体" w:hAnsi="宋体" w:eastAsia="宋体"/>
                <w:sz w:val="16"/>
              </w:rPr>
              <w:t>85%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675A8">
            <w:pPr>
              <w:jc w:val="center"/>
            </w:pPr>
            <w:r>
              <w:rPr>
                <w:rFonts w:ascii="宋体" w:hAnsi="宋体" w:eastAsia="宋体"/>
                <w:sz w:val="16"/>
              </w:rPr>
              <w:t>22</w:t>
            </w:r>
          </w:p>
        </w:tc>
      </w:tr>
    </w:tbl>
    <w:p w14:paraId="70EDB1F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690E1B6">
        <w:tblPrEx>
          <w:tblCellMar>
            <w:top w:w="0" w:type="dxa"/>
            <w:left w:w="108" w:type="dxa"/>
            <w:bottom w:w="0" w:type="dxa"/>
            <w:right w:w="108" w:type="dxa"/>
          </w:tblCellMar>
        </w:tblPrEx>
        <w:tc>
          <w:tcPr>
            <w:tcW w:w="8847" w:type="dxa"/>
            <w:gridSpan w:val="9"/>
            <w:vAlign w:val="center"/>
          </w:tcPr>
          <w:p w14:paraId="022211A3">
            <w:pPr>
              <w:jc w:val="center"/>
            </w:pPr>
            <w:r>
              <w:rPr>
                <w:rFonts w:ascii="宋体" w:hAnsi="宋体" w:eastAsia="宋体"/>
                <w:sz w:val="24"/>
              </w:rPr>
              <w:t>项目支出绩效自评表</w:t>
            </w:r>
          </w:p>
        </w:tc>
      </w:tr>
      <w:tr w14:paraId="0BF8B577">
        <w:tblPrEx>
          <w:tblCellMar>
            <w:top w:w="0" w:type="dxa"/>
            <w:left w:w="108" w:type="dxa"/>
            <w:bottom w:w="0" w:type="dxa"/>
            <w:right w:w="108" w:type="dxa"/>
          </w:tblCellMar>
        </w:tblPrEx>
        <w:tc>
          <w:tcPr>
            <w:tcW w:w="8847" w:type="dxa"/>
            <w:gridSpan w:val="9"/>
            <w:vAlign w:val="center"/>
          </w:tcPr>
          <w:p w14:paraId="587C199F">
            <w:pPr>
              <w:jc w:val="center"/>
            </w:pPr>
            <w:r>
              <w:rPr>
                <w:rFonts w:ascii="宋体" w:hAnsi="宋体" w:eastAsia="宋体"/>
                <w:sz w:val="24"/>
              </w:rPr>
              <w:t>(2024年度)</w:t>
            </w:r>
          </w:p>
        </w:tc>
      </w:tr>
      <w:tr w14:paraId="600A80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0BBD38">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1B4C8D0">
            <w:pPr>
              <w:jc w:val="center"/>
            </w:pPr>
            <w:r>
              <w:rPr>
                <w:rFonts w:ascii="宋体" w:hAnsi="宋体" w:eastAsia="宋体"/>
                <w:sz w:val="16"/>
              </w:rPr>
              <w:t>2024年民丰县维吾尔医医院医疗经营性收入资金</w:t>
            </w:r>
          </w:p>
        </w:tc>
      </w:tr>
      <w:tr w14:paraId="19B62AD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F3E75">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C687B02">
            <w:pPr>
              <w:jc w:val="center"/>
            </w:pPr>
            <w:r>
              <w:rPr>
                <w:rFonts w:ascii="宋体" w:hAnsi="宋体" w:eastAsia="宋体"/>
                <w:sz w:val="16"/>
              </w:rPr>
              <w:t>民丰县维吾尔医医院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A61DE0">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416AEEA">
            <w:pPr>
              <w:jc w:val="center"/>
            </w:pPr>
            <w:r>
              <w:rPr>
                <w:rFonts w:ascii="宋体" w:hAnsi="宋体" w:eastAsia="宋体"/>
                <w:sz w:val="16"/>
              </w:rPr>
              <w:t>民丰县维吾尔医医院</w:t>
            </w:r>
          </w:p>
        </w:tc>
      </w:tr>
      <w:tr w14:paraId="2711CAB3">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7C055">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032A9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EF4B9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B6074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EC6D20">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B21FC">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131F9">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FE3CFE">
            <w:pPr>
              <w:jc w:val="center"/>
            </w:pPr>
            <w:r>
              <w:rPr>
                <w:rFonts w:ascii="宋体" w:hAnsi="宋体" w:eastAsia="宋体"/>
                <w:sz w:val="16"/>
              </w:rPr>
              <w:t>得分</w:t>
            </w:r>
          </w:p>
        </w:tc>
      </w:tr>
      <w:tr w14:paraId="31EF5CB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10EBE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2025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4DC8C">
            <w:pPr>
              <w:jc w:val="center"/>
            </w:pPr>
            <w:r>
              <w:rPr>
                <w:rFonts w:ascii="宋体" w:hAnsi="宋体" w:eastAsia="宋体"/>
                <w:sz w:val="16"/>
              </w:rPr>
              <w:t>720.00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695BE1">
            <w:pPr>
              <w:jc w:val="center"/>
            </w:pPr>
            <w:r>
              <w:rPr>
                <w:rFonts w:ascii="宋体" w:hAnsi="宋体" w:eastAsia="宋体"/>
                <w:sz w:val="16"/>
              </w:rPr>
              <w:t>720.00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BD248">
            <w:pPr>
              <w:jc w:val="center"/>
            </w:pPr>
            <w:r>
              <w:rPr>
                <w:rFonts w:ascii="宋体" w:hAnsi="宋体" w:eastAsia="宋体"/>
                <w:sz w:val="16"/>
              </w:rPr>
              <w:t>461.04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26A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A700BF">
            <w:pPr>
              <w:jc w:val="center"/>
            </w:pPr>
            <w:r>
              <w:rPr>
                <w:rFonts w:ascii="宋体" w:hAnsi="宋体" w:eastAsia="宋体"/>
                <w:sz w:val="16"/>
              </w:rPr>
              <w:t xml:space="preserve">64.03%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243F2D">
            <w:pPr>
              <w:jc w:val="center"/>
            </w:pPr>
            <w:r>
              <w:rPr>
                <w:rFonts w:ascii="宋体" w:hAnsi="宋体" w:eastAsia="宋体"/>
                <w:sz w:val="16"/>
              </w:rPr>
              <w:t>1.01分</w:t>
            </w:r>
          </w:p>
        </w:tc>
      </w:tr>
      <w:tr w14:paraId="278E110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5C0B0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571D1">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F16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DDD7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1DC80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3D8B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C561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FDEE0C">
            <w:pPr>
              <w:jc w:val="center"/>
            </w:pPr>
            <w:r>
              <w:rPr>
                <w:rFonts w:ascii="宋体" w:hAnsi="宋体" w:eastAsia="宋体"/>
                <w:sz w:val="16"/>
              </w:rPr>
              <w:t>—</w:t>
            </w:r>
          </w:p>
        </w:tc>
      </w:tr>
      <w:tr w14:paraId="189E2B3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8172728"/>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E5A8A">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0DC29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5E8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4C0DC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D2DB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BAC8F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94FCF">
            <w:pPr>
              <w:jc w:val="center"/>
            </w:pPr>
            <w:r>
              <w:rPr>
                <w:rFonts w:ascii="宋体" w:hAnsi="宋体" w:eastAsia="宋体"/>
                <w:sz w:val="16"/>
              </w:rPr>
              <w:t>—</w:t>
            </w:r>
          </w:p>
        </w:tc>
      </w:tr>
      <w:tr w14:paraId="0E96CE4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A3275CF"/>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17C8A">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AC1C33">
            <w:pPr>
              <w:jc w:val="center"/>
            </w:pPr>
            <w:r>
              <w:rPr>
                <w:rFonts w:ascii="宋体" w:hAnsi="宋体" w:eastAsia="宋体"/>
                <w:sz w:val="16"/>
              </w:rPr>
              <w:t>720.00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5F2F3">
            <w:pPr>
              <w:jc w:val="center"/>
            </w:pPr>
            <w:r>
              <w:rPr>
                <w:rFonts w:ascii="宋体" w:hAnsi="宋体" w:eastAsia="宋体"/>
                <w:sz w:val="16"/>
              </w:rPr>
              <w:t>720.00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9FC0CA">
            <w:pPr>
              <w:jc w:val="center"/>
            </w:pPr>
            <w:r>
              <w:rPr>
                <w:rFonts w:ascii="宋体" w:hAnsi="宋体" w:eastAsia="宋体"/>
                <w:sz w:val="16"/>
              </w:rPr>
              <w:t>461.04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3F8384">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A02A8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A4AFB8">
            <w:pPr>
              <w:jc w:val="center"/>
            </w:pPr>
            <w:r>
              <w:rPr>
                <w:rFonts w:ascii="宋体" w:hAnsi="宋体" w:eastAsia="宋体"/>
                <w:sz w:val="16"/>
              </w:rPr>
              <w:t>—</w:t>
            </w:r>
          </w:p>
        </w:tc>
      </w:tr>
      <w:tr w14:paraId="129224A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3FBCB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6941D4">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5477A8">
            <w:pPr>
              <w:jc w:val="center"/>
            </w:pPr>
            <w:r>
              <w:rPr>
                <w:rFonts w:ascii="宋体" w:hAnsi="宋体" w:eastAsia="宋体"/>
                <w:sz w:val="16"/>
              </w:rPr>
              <w:t>实际完成情况</w:t>
            </w:r>
          </w:p>
        </w:tc>
      </w:tr>
      <w:tr w14:paraId="4D0856D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54B53E"/>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5D0274">
            <w:pPr>
              <w:jc w:val="both"/>
            </w:pPr>
            <w:r>
              <w:rPr>
                <w:rFonts w:ascii="宋体" w:hAnsi="宋体" w:eastAsia="宋体"/>
                <w:sz w:val="16"/>
              </w:rPr>
              <w:t>根据本项目实施方案，开展实施。主要内容：提供病床不少于80张，医生不少于13名，门诊问诊患者不少于8104人次，住院治疗患者不少于2000人次，药品网采率不低于80%，医生培训每人每月1次。通过项目实施，有效提升医疗服务能力，有效解决目前的现状，切实解决群众看病难，就医难的</w:t>
            </w:r>
            <w:r>
              <w:rPr>
                <w:rFonts w:hint="eastAsia" w:ascii="宋体" w:hAnsi="宋体"/>
                <w:sz w:val="16"/>
                <w:lang w:eastAsia="zh-CN"/>
              </w:rPr>
              <w:t>实际</w:t>
            </w:r>
            <w:r>
              <w:rPr>
                <w:rFonts w:ascii="宋体" w:hAnsi="宋体" w:eastAsia="宋体"/>
                <w:sz w:val="16"/>
              </w:rPr>
              <w:t>问题，为各族患者提</w:t>
            </w:r>
            <w:r>
              <w:rPr>
                <w:rFonts w:hint="eastAsia" w:ascii="宋体" w:hAnsi="宋体"/>
                <w:sz w:val="16"/>
                <w:lang w:eastAsia="zh-CN"/>
              </w:rPr>
              <w:t>供各</w:t>
            </w:r>
            <w:r>
              <w:rPr>
                <w:rFonts w:ascii="宋体" w:hAnsi="宋体" w:eastAsia="宋体"/>
                <w:sz w:val="16"/>
              </w:rPr>
              <w:t>方面服务，保证人民群众的生命，安全和身体健康需求。</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02F8D7A">
            <w:pPr>
              <w:jc w:val="both"/>
            </w:pPr>
            <w:r>
              <w:rPr>
                <w:rFonts w:ascii="宋体" w:hAnsi="宋体" w:eastAsia="宋体"/>
                <w:sz w:val="16"/>
              </w:rPr>
              <w:t>截至2024年12月底，本项目预算安排720万元，实际支出461.04万元，预算执行率64.03%。项目已经完成病床80张，医生13名，门诊问诊人次9423人次，住院人数1920人次，医生培训次数25次，采购基本药品物种20种，医院病人平均住院天数为8天，通过项目实施，有效提升医疗服务能力，有效解决目前的现状，切实解决群众看病难，就医难的</w:t>
            </w:r>
            <w:r>
              <w:rPr>
                <w:rFonts w:hint="eastAsia" w:ascii="宋体" w:hAnsi="宋体"/>
                <w:sz w:val="16"/>
                <w:lang w:eastAsia="zh-CN"/>
              </w:rPr>
              <w:t>实际</w:t>
            </w:r>
            <w:r>
              <w:rPr>
                <w:rFonts w:ascii="宋体" w:hAnsi="宋体" w:eastAsia="宋体"/>
                <w:sz w:val="16"/>
              </w:rPr>
              <w:t>问题，为各族患者提</w:t>
            </w:r>
            <w:r>
              <w:rPr>
                <w:rFonts w:hint="eastAsia" w:ascii="宋体" w:hAnsi="宋体"/>
                <w:sz w:val="16"/>
                <w:lang w:eastAsia="zh-CN"/>
              </w:rPr>
              <w:t>供各</w:t>
            </w:r>
            <w:r>
              <w:rPr>
                <w:rFonts w:ascii="宋体" w:hAnsi="宋体" w:eastAsia="宋体"/>
                <w:sz w:val="16"/>
              </w:rPr>
              <w:t>方面服务，保证人民群众的生命，安全和身体健康需求。</w:t>
            </w:r>
          </w:p>
        </w:tc>
      </w:tr>
      <w:tr w14:paraId="7F246A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EEA35C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88C5F9">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0FA8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36FE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DC0D87">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0D291">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0CD89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15F09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1A4BA9">
            <w:pPr>
              <w:jc w:val="center"/>
            </w:pPr>
            <w:r>
              <w:rPr>
                <w:rFonts w:ascii="宋体" w:hAnsi="宋体" w:eastAsia="宋体"/>
                <w:sz w:val="16"/>
              </w:rPr>
              <w:t>偏差原因分析及改进措施</w:t>
            </w:r>
          </w:p>
        </w:tc>
      </w:tr>
      <w:tr w14:paraId="43EDCD7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C0DF0">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76E8E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FBFB5D">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99F64C">
            <w:pPr>
              <w:jc w:val="center"/>
            </w:pPr>
            <w:r>
              <w:rPr>
                <w:rFonts w:ascii="宋体" w:hAnsi="宋体" w:eastAsia="宋体"/>
                <w:sz w:val="16"/>
              </w:rPr>
              <w:t>门诊问诊人次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8A6A2">
            <w:pPr>
              <w:jc w:val="center"/>
            </w:pPr>
            <w:r>
              <w:rPr>
                <w:rFonts w:ascii="宋体" w:hAnsi="宋体" w:eastAsia="宋体"/>
                <w:sz w:val="16"/>
              </w:rPr>
              <w:t>&gt;=8104人次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102B07">
            <w:pPr>
              <w:jc w:val="center"/>
            </w:pPr>
            <w:r>
              <w:rPr>
                <w:rFonts w:ascii="宋体" w:hAnsi="宋体" w:eastAsia="宋体"/>
                <w:sz w:val="16"/>
              </w:rPr>
              <w:t>=9423人次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B84B4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EFBCF7">
            <w:pPr>
              <w:jc w:val="center"/>
            </w:pPr>
            <w:r>
              <w:rPr>
                <w:rFonts w:ascii="宋体" w:hAnsi="宋体" w:eastAsia="宋体"/>
                <w:sz w:val="16"/>
              </w:rPr>
              <w:t>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CFB6D">
            <w:pPr>
              <w:jc w:val="center"/>
            </w:pPr>
            <w:r>
              <w:rPr>
                <w:rFonts w:ascii="宋体" w:hAnsi="宋体" w:eastAsia="宋体"/>
                <w:sz w:val="16"/>
              </w:rPr>
              <w:t>偏差原因：民族特色医院，因综合科室有限，所以接收病人种类有限。改进措施：后续加强管理。</w:t>
            </w:r>
          </w:p>
        </w:tc>
      </w:tr>
      <w:tr w14:paraId="0FEEC12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A2B1A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9E10AB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9847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61F004">
            <w:pPr>
              <w:jc w:val="center"/>
            </w:pPr>
            <w:r>
              <w:rPr>
                <w:rFonts w:ascii="宋体" w:hAnsi="宋体" w:eastAsia="宋体"/>
                <w:sz w:val="16"/>
              </w:rPr>
              <w:t>住院人次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9758BC">
            <w:pPr>
              <w:jc w:val="center"/>
            </w:pPr>
            <w:r>
              <w:rPr>
                <w:rFonts w:ascii="宋体" w:hAnsi="宋体" w:eastAsia="宋体"/>
                <w:sz w:val="16"/>
              </w:rPr>
              <w:t>&gt;=2000人次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BF6FF">
            <w:pPr>
              <w:jc w:val="center"/>
            </w:pPr>
            <w:r>
              <w:rPr>
                <w:rFonts w:ascii="宋体" w:hAnsi="宋体" w:eastAsia="宋体"/>
                <w:sz w:val="16"/>
              </w:rPr>
              <w:t>=1920人次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5C91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B34D0">
            <w:pPr>
              <w:jc w:val="center"/>
            </w:pPr>
            <w:r>
              <w:rPr>
                <w:rFonts w:ascii="宋体" w:hAnsi="宋体" w:eastAsia="宋体"/>
                <w:sz w:val="16"/>
              </w:rPr>
              <w:t>7.2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B2770F">
            <w:pPr>
              <w:jc w:val="center"/>
            </w:pPr>
            <w:r>
              <w:rPr>
                <w:rFonts w:ascii="宋体" w:hAnsi="宋体" w:eastAsia="宋体"/>
                <w:sz w:val="16"/>
              </w:rPr>
              <w:t>偏差原因：受医保资金影响，接收病人的能力有限。改进措施：后续加强管理。</w:t>
            </w:r>
          </w:p>
        </w:tc>
      </w:tr>
      <w:tr w14:paraId="2217318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F0C57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0726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066D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06268C">
            <w:pPr>
              <w:jc w:val="center"/>
            </w:pPr>
            <w:r>
              <w:rPr>
                <w:rFonts w:ascii="宋体" w:hAnsi="宋体" w:eastAsia="宋体"/>
                <w:sz w:val="16"/>
              </w:rPr>
              <w:t>基本药物品种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11D557">
            <w:pPr>
              <w:jc w:val="center"/>
            </w:pPr>
            <w:r>
              <w:rPr>
                <w:rFonts w:ascii="宋体" w:hAnsi="宋体" w:eastAsia="宋体"/>
                <w:sz w:val="16"/>
              </w:rPr>
              <w:t>&gt;=19种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5F254B">
            <w:pPr>
              <w:jc w:val="center"/>
            </w:pPr>
            <w:r>
              <w:rPr>
                <w:rFonts w:ascii="宋体" w:hAnsi="宋体" w:eastAsia="宋体"/>
                <w:sz w:val="16"/>
              </w:rPr>
              <w:t>=20种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C4642">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888180">
            <w:pPr>
              <w:jc w:val="center"/>
            </w:pPr>
            <w:r>
              <w:rPr>
                <w:rFonts w:ascii="宋体" w:hAnsi="宋体" w:eastAsia="宋体"/>
                <w:sz w:val="16"/>
              </w:rPr>
              <w:t>7.58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40F6FA">
            <w:pPr>
              <w:jc w:val="center"/>
            </w:pPr>
            <w:r>
              <w:rPr>
                <w:rFonts w:ascii="宋体" w:hAnsi="宋体" w:eastAsia="宋体"/>
                <w:sz w:val="16"/>
              </w:rPr>
              <w:t>偏差原因：目标设置不精准；改进措施：今后合理设置指标。</w:t>
            </w:r>
          </w:p>
        </w:tc>
      </w:tr>
      <w:tr w14:paraId="7085D12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0B27A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2E9E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89861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BBD783">
            <w:pPr>
              <w:jc w:val="center"/>
            </w:pPr>
            <w:r>
              <w:rPr>
                <w:rFonts w:ascii="宋体" w:hAnsi="宋体" w:eastAsia="宋体"/>
                <w:sz w:val="16"/>
              </w:rPr>
              <w:t>医生培训次数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66182">
            <w:pPr>
              <w:jc w:val="center"/>
            </w:pPr>
            <w:r>
              <w:rPr>
                <w:rFonts w:ascii="宋体" w:hAnsi="宋体" w:eastAsia="宋体"/>
                <w:sz w:val="16"/>
              </w:rPr>
              <w:t>&gt;=24次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63D099">
            <w:pPr>
              <w:jc w:val="center"/>
            </w:pPr>
            <w:r>
              <w:rPr>
                <w:rFonts w:ascii="宋体" w:hAnsi="宋体" w:eastAsia="宋体"/>
                <w:sz w:val="16"/>
              </w:rPr>
              <w:t>=25次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A630C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EBE0C7">
            <w:pPr>
              <w:jc w:val="center"/>
            </w:pPr>
            <w:r>
              <w:rPr>
                <w:rFonts w:ascii="宋体" w:hAnsi="宋体" w:eastAsia="宋体"/>
                <w:sz w:val="16"/>
              </w:rPr>
              <w:t>7.67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64E11">
            <w:pPr>
              <w:jc w:val="center"/>
            </w:pPr>
            <w:r>
              <w:rPr>
                <w:rFonts w:ascii="宋体" w:hAnsi="宋体" w:eastAsia="宋体"/>
                <w:sz w:val="16"/>
              </w:rPr>
              <w:t>偏差原因：目标设置不精准；改进措施：今后合理设置指标。</w:t>
            </w:r>
          </w:p>
        </w:tc>
      </w:tr>
      <w:tr w14:paraId="4A55CD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B0A1C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3410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64CA84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04DF8A">
            <w:pPr>
              <w:jc w:val="center"/>
            </w:pPr>
            <w:r>
              <w:rPr>
                <w:rFonts w:ascii="宋体" w:hAnsi="宋体" w:eastAsia="宋体"/>
                <w:sz w:val="16"/>
              </w:rPr>
              <w:t>医院病人平均住院日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BEC95E">
            <w:pPr>
              <w:jc w:val="center"/>
            </w:pPr>
            <w:r>
              <w:rPr>
                <w:rFonts w:ascii="宋体" w:hAnsi="宋体" w:eastAsia="宋体"/>
                <w:sz w:val="16"/>
              </w:rPr>
              <w:t>&lt;=13天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E3925">
            <w:pPr>
              <w:jc w:val="center"/>
            </w:pPr>
            <w:r>
              <w:rPr>
                <w:rFonts w:ascii="宋体" w:hAnsi="宋体" w:eastAsia="宋体"/>
                <w:sz w:val="16"/>
              </w:rPr>
              <w:t>=8天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D747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C089A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E9B2CA">
            <w:pPr>
              <w:jc w:val="center"/>
            </w:pPr>
          </w:p>
        </w:tc>
      </w:tr>
      <w:tr w14:paraId="5533E3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7588B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286DF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AE22E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A70D1">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DC313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48BD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2D999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D4DD0">
            <w:pPr>
              <w:jc w:val="center"/>
            </w:pPr>
            <w:r>
              <w:rPr>
                <w:rFonts w:ascii="宋体" w:hAnsi="宋体" w:eastAsia="宋体"/>
                <w:sz w:val="16"/>
              </w:rPr>
              <w:t>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52AD35">
            <w:pPr>
              <w:jc w:val="center"/>
            </w:pPr>
            <w:r>
              <w:rPr>
                <w:rFonts w:ascii="宋体" w:hAnsi="宋体" w:eastAsia="宋体"/>
                <w:sz w:val="16"/>
              </w:rPr>
              <w:t>偏差原因：资金正在办理支付手续；改进措施：手续下达及时支付。</w:t>
            </w:r>
          </w:p>
        </w:tc>
      </w:tr>
      <w:tr w14:paraId="25D7DF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40F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14012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D85FA">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3A72D">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0FE3E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C3239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9381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C5542">
            <w:pPr>
              <w:jc w:val="center"/>
            </w:pPr>
            <w:r>
              <w:rPr>
                <w:rFonts w:ascii="宋体" w:hAnsi="宋体" w:eastAsia="宋体"/>
                <w:sz w:val="16"/>
              </w:rPr>
              <w:t>0.6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42EBC">
            <w:pPr>
              <w:jc w:val="center"/>
            </w:pPr>
            <w:r>
              <w:rPr>
                <w:rFonts w:ascii="宋体" w:hAnsi="宋体" w:eastAsia="宋体"/>
                <w:sz w:val="16"/>
              </w:rPr>
              <w:t>偏差原因：资金正在办理支付手续；改进措施：手续下达及时支付。</w:t>
            </w:r>
          </w:p>
        </w:tc>
      </w:tr>
      <w:tr w14:paraId="7504894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A31B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4055B6">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224C80">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BC88C3">
            <w:pPr>
              <w:jc w:val="center"/>
            </w:pPr>
            <w:r>
              <w:rPr>
                <w:rFonts w:ascii="宋体" w:hAnsi="宋体" w:eastAsia="宋体"/>
                <w:sz w:val="16"/>
              </w:rPr>
              <w:t>提升医疗服务能力</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DDA53">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DA8C7D">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A2E1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34BAF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E59F4">
            <w:pPr>
              <w:jc w:val="center"/>
            </w:pPr>
          </w:p>
        </w:tc>
      </w:tr>
      <w:tr w14:paraId="56AB61A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0EA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14510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3AE4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FBBDF3">
            <w:pPr>
              <w:jc w:val="center"/>
            </w:pPr>
            <w:r>
              <w:rPr>
                <w:rFonts w:ascii="宋体" w:hAnsi="宋体" w:eastAsia="宋体"/>
                <w:sz w:val="16"/>
              </w:rPr>
              <w:t>就诊患者满意度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D1C5EA">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70BE0E">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C4F8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2D200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8A3283">
            <w:pPr>
              <w:jc w:val="center"/>
            </w:pPr>
          </w:p>
        </w:tc>
      </w:tr>
      <w:tr w14:paraId="5494DBE0">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C7A6DC0">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D339C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5DA3A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78A2F4">
            <w:pPr>
              <w:jc w:val="center"/>
            </w:pPr>
            <w:r>
              <w:rPr>
                <w:rFonts w:ascii="宋体" w:hAnsi="宋体" w:eastAsia="宋体"/>
                <w:sz w:val="16"/>
              </w:rPr>
              <w:t>77.36分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459D57E3"/>
        </w:tc>
      </w:tr>
    </w:tbl>
    <w:p w14:paraId="461DF304">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4FCD749">
        <w:tblPrEx>
          <w:tblCellMar>
            <w:top w:w="0" w:type="dxa"/>
            <w:left w:w="108" w:type="dxa"/>
            <w:bottom w:w="0" w:type="dxa"/>
            <w:right w:w="108" w:type="dxa"/>
          </w:tblCellMar>
        </w:tblPrEx>
        <w:tc>
          <w:tcPr>
            <w:tcW w:w="8847" w:type="dxa"/>
            <w:gridSpan w:val="9"/>
            <w:vAlign w:val="center"/>
          </w:tcPr>
          <w:p w14:paraId="4894A7BB">
            <w:pPr>
              <w:jc w:val="center"/>
            </w:pPr>
            <w:r>
              <w:rPr>
                <w:rFonts w:ascii="宋体" w:hAnsi="宋体" w:eastAsia="宋体"/>
                <w:sz w:val="24"/>
              </w:rPr>
              <w:t>项目支出绩效自评表</w:t>
            </w:r>
          </w:p>
        </w:tc>
      </w:tr>
      <w:tr w14:paraId="01E0AD3C">
        <w:tblPrEx>
          <w:tblCellMar>
            <w:top w:w="0" w:type="dxa"/>
            <w:left w:w="108" w:type="dxa"/>
            <w:bottom w:w="0" w:type="dxa"/>
            <w:right w:w="108" w:type="dxa"/>
          </w:tblCellMar>
        </w:tblPrEx>
        <w:tc>
          <w:tcPr>
            <w:tcW w:w="8847" w:type="dxa"/>
            <w:gridSpan w:val="9"/>
            <w:vAlign w:val="center"/>
          </w:tcPr>
          <w:p w14:paraId="7146950E">
            <w:pPr>
              <w:jc w:val="center"/>
            </w:pPr>
            <w:r>
              <w:rPr>
                <w:rFonts w:ascii="宋体" w:hAnsi="宋体" w:eastAsia="宋体"/>
                <w:sz w:val="24"/>
              </w:rPr>
              <w:t>(2024年度)</w:t>
            </w:r>
          </w:p>
        </w:tc>
      </w:tr>
      <w:tr w14:paraId="284DF77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BFCA15">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33046A22">
            <w:pPr>
              <w:jc w:val="center"/>
            </w:pPr>
            <w:r>
              <w:rPr>
                <w:rFonts w:ascii="宋体" w:hAnsi="宋体" w:eastAsia="宋体"/>
                <w:sz w:val="16"/>
              </w:rPr>
              <w:t>民丰县维吾尔医医院结余资金</w:t>
            </w:r>
          </w:p>
        </w:tc>
      </w:tr>
      <w:tr w14:paraId="432CB770">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8FD0B">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9CF2990">
            <w:pPr>
              <w:jc w:val="center"/>
            </w:pPr>
            <w:r>
              <w:rPr>
                <w:rFonts w:ascii="宋体" w:hAnsi="宋体" w:eastAsia="宋体"/>
                <w:sz w:val="16"/>
              </w:rPr>
              <w:t>民丰县维吾尔医医院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394238">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188EEB">
            <w:pPr>
              <w:jc w:val="center"/>
            </w:pPr>
            <w:r>
              <w:rPr>
                <w:rFonts w:ascii="宋体" w:hAnsi="宋体" w:eastAsia="宋体"/>
                <w:sz w:val="16"/>
              </w:rPr>
              <w:t>民丰县维吾尔医医院</w:t>
            </w:r>
          </w:p>
        </w:tc>
      </w:tr>
      <w:tr w14:paraId="62078B8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2AE4D">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346E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1310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8EE8D">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9E15E">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5E237">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834C4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A38D2">
            <w:pPr>
              <w:jc w:val="center"/>
            </w:pPr>
            <w:r>
              <w:rPr>
                <w:rFonts w:ascii="宋体" w:hAnsi="宋体" w:eastAsia="宋体"/>
                <w:sz w:val="16"/>
              </w:rPr>
              <w:t>得分</w:t>
            </w:r>
          </w:p>
        </w:tc>
      </w:tr>
      <w:tr w14:paraId="7D031A3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93D5CB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EFC76">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8A1C15">
            <w:pPr>
              <w:jc w:val="center"/>
            </w:pPr>
            <w:r>
              <w:rPr>
                <w:rFonts w:ascii="宋体" w:hAnsi="宋体" w:eastAsia="宋体"/>
                <w:sz w:val="16"/>
              </w:rPr>
              <w:t>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9ED34">
            <w:pPr>
              <w:jc w:val="center"/>
            </w:pPr>
            <w:r>
              <w:rPr>
                <w:rFonts w:ascii="宋体" w:hAnsi="宋体" w:eastAsia="宋体"/>
                <w:sz w:val="16"/>
              </w:rPr>
              <w:t>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2AF45">
            <w:pPr>
              <w:jc w:val="center"/>
            </w:pPr>
            <w:r>
              <w:rPr>
                <w:rFonts w:ascii="宋体" w:hAnsi="宋体" w:eastAsia="宋体"/>
                <w:sz w:val="16"/>
              </w:rPr>
              <w:t>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7B1BB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3011CE">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38AF48">
            <w:pPr>
              <w:jc w:val="center"/>
            </w:pPr>
            <w:r>
              <w:rPr>
                <w:rFonts w:ascii="宋体" w:hAnsi="宋体" w:eastAsia="宋体"/>
                <w:sz w:val="16"/>
              </w:rPr>
              <w:t>10.00分</w:t>
            </w:r>
          </w:p>
        </w:tc>
      </w:tr>
      <w:tr w14:paraId="149DE05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442CE4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94DBE">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E7475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5700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B52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5C21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4DC8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A58CEB">
            <w:pPr>
              <w:jc w:val="center"/>
            </w:pPr>
            <w:r>
              <w:rPr>
                <w:rFonts w:ascii="宋体" w:hAnsi="宋体" w:eastAsia="宋体"/>
                <w:sz w:val="16"/>
              </w:rPr>
              <w:t>—</w:t>
            </w:r>
          </w:p>
        </w:tc>
      </w:tr>
      <w:tr w14:paraId="2A592B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2F475"/>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CEDDD1">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2D35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55E58">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303B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ADC68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E11F7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AC31F">
            <w:pPr>
              <w:jc w:val="center"/>
            </w:pPr>
            <w:r>
              <w:rPr>
                <w:rFonts w:ascii="宋体" w:hAnsi="宋体" w:eastAsia="宋体"/>
                <w:sz w:val="16"/>
              </w:rPr>
              <w:t>—</w:t>
            </w:r>
          </w:p>
        </w:tc>
      </w:tr>
      <w:tr w14:paraId="1F393AC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EB3114"/>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8F9BC">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CD0E59">
            <w:pPr>
              <w:jc w:val="center"/>
            </w:pPr>
            <w:r>
              <w:rPr>
                <w:rFonts w:ascii="宋体" w:hAnsi="宋体" w:eastAsia="宋体"/>
                <w:sz w:val="16"/>
              </w:rPr>
              <w:t>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0F3C0">
            <w:pPr>
              <w:jc w:val="center"/>
            </w:pPr>
            <w:r>
              <w:rPr>
                <w:rFonts w:ascii="宋体" w:hAnsi="宋体" w:eastAsia="宋体"/>
                <w:sz w:val="16"/>
              </w:rPr>
              <w:t>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A3CA3">
            <w:pPr>
              <w:jc w:val="center"/>
            </w:pPr>
            <w:r>
              <w:rPr>
                <w:rFonts w:ascii="宋体" w:hAnsi="宋体" w:eastAsia="宋体"/>
                <w:sz w:val="16"/>
              </w:rPr>
              <w:t>4.80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0FCA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FF41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5FF4C">
            <w:pPr>
              <w:jc w:val="center"/>
            </w:pPr>
            <w:r>
              <w:rPr>
                <w:rFonts w:ascii="宋体" w:hAnsi="宋体" w:eastAsia="宋体"/>
                <w:sz w:val="16"/>
              </w:rPr>
              <w:t>—</w:t>
            </w:r>
          </w:p>
        </w:tc>
      </w:tr>
      <w:tr w14:paraId="06CBCAF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7C36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96F192">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DD153D7">
            <w:pPr>
              <w:jc w:val="center"/>
            </w:pPr>
            <w:r>
              <w:rPr>
                <w:rFonts w:ascii="宋体" w:hAnsi="宋体" w:eastAsia="宋体"/>
                <w:sz w:val="16"/>
              </w:rPr>
              <w:t>实际完成情况</w:t>
            </w:r>
          </w:p>
        </w:tc>
      </w:tr>
      <w:tr w14:paraId="10658B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CD897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A4E6E6">
            <w:pPr>
              <w:jc w:val="both"/>
            </w:pPr>
            <w:r>
              <w:rPr>
                <w:rFonts w:ascii="宋体" w:hAnsi="宋体" w:eastAsia="宋体"/>
                <w:sz w:val="16"/>
              </w:rPr>
              <w:t>该笔资金为上年结余资金，本年度计划用于支付单位暖气费。供热建筑面积8731</w:t>
            </w:r>
            <w:r>
              <w:rPr>
                <w:rFonts w:hint="eastAsia" w:ascii="宋体" w:hAnsi="宋体"/>
                <w:sz w:val="16"/>
                <w:lang w:eastAsia="zh-CN"/>
              </w:rPr>
              <w:t>平方</w:t>
            </w:r>
            <w:r>
              <w:rPr>
                <w:rFonts w:ascii="宋体" w:hAnsi="宋体" w:eastAsia="宋体"/>
                <w:sz w:val="16"/>
              </w:rPr>
              <w:t>米,每</w:t>
            </w:r>
            <w:r>
              <w:rPr>
                <w:rFonts w:hint="eastAsia" w:ascii="宋体" w:hAnsi="宋体"/>
                <w:sz w:val="16"/>
                <w:lang w:eastAsia="zh-CN"/>
              </w:rPr>
              <w:t>平方</w:t>
            </w:r>
            <w:r>
              <w:rPr>
                <w:rFonts w:ascii="宋体" w:hAnsi="宋体" w:eastAsia="宋体"/>
                <w:sz w:val="16"/>
              </w:rPr>
              <w:t>米24元,保障城镇供暖工作的正常开展。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E4C445">
            <w:pPr>
              <w:jc w:val="both"/>
            </w:pPr>
            <w:r>
              <w:rPr>
                <w:rFonts w:ascii="宋体" w:hAnsi="宋体" w:eastAsia="宋体"/>
                <w:sz w:val="16"/>
              </w:rPr>
              <w:t>截至2024年12月底，本项目预算安排4.8万元，实际支出4.8万元，预算执行率100%。项目已经完成</w:t>
            </w:r>
            <w:r>
              <w:rPr>
                <w:rFonts w:ascii="宋体" w:hAnsi="宋体" w:eastAsia="宋体"/>
                <w:sz w:val="16"/>
              </w:rPr>
              <w:tab/>
            </w:r>
            <w:r>
              <w:rPr>
                <w:rFonts w:ascii="宋体" w:hAnsi="宋体" w:eastAsia="宋体"/>
                <w:sz w:val="16"/>
              </w:rPr>
              <w:t>供暖面积6450平方米、保障单位供暖期限4个月，通过项目实施，达到了保障单位舒适的工作环境、满足特殊场所需求、展现人文关怀、增进单位凝聚力，促进单位稳定发展的效果。</w:t>
            </w:r>
          </w:p>
        </w:tc>
      </w:tr>
      <w:tr w14:paraId="134E46B3">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37AA54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023F4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7F044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0A3A9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0B3AF2">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724CD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E1B74">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9E138A">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227F3">
            <w:pPr>
              <w:jc w:val="center"/>
            </w:pPr>
            <w:r>
              <w:rPr>
                <w:rFonts w:ascii="宋体" w:hAnsi="宋体" w:eastAsia="宋体"/>
                <w:sz w:val="16"/>
              </w:rPr>
              <w:t>偏差原因分析及改进措施</w:t>
            </w:r>
          </w:p>
        </w:tc>
      </w:tr>
      <w:tr w14:paraId="6154EF0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DCCFA5">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F6EAD">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A1FE8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5F84CF">
            <w:pPr>
              <w:jc w:val="center"/>
            </w:pPr>
            <w:r>
              <w:rPr>
                <w:rFonts w:ascii="宋体" w:hAnsi="宋体" w:eastAsia="宋体"/>
                <w:sz w:val="16"/>
              </w:rPr>
              <w:t>供暖面积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0A934D">
            <w:pPr>
              <w:jc w:val="center"/>
            </w:pPr>
            <w:r>
              <w:rPr>
                <w:rFonts w:ascii="宋体" w:hAnsi="宋体" w:eastAsia="宋体"/>
                <w:sz w:val="16"/>
              </w:rPr>
              <w:t>=8731平方米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1B597C">
            <w:pPr>
              <w:jc w:val="center"/>
            </w:pPr>
            <w:r>
              <w:rPr>
                <w:rFonts w:ascii="宋体" w:hAnsi="宋体" w:eastAsia="宋体"/>
                <w:sz w:val="16"/>
              </w:rPr>
              <w:t>=6450平方米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11613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7A2B6A">
            <w:pPr>
              <w:jc w:val="center"/>
            </w:pPr>
            <w:r>
              <w:rPr>
                <w:rFonts w:ascii="宋体" w:hAnsi="宋体" w:eastAsia="宋体"/>
                <w:sz w:val="16"/>
              </w:rPr>
              <w:t>3.47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26C266">
            <w:pPr>
              <w:jc w:val="center"/>
            </w:pPr>
            <w:r>
              <w:rPr>
                <w:rFonts w:ascii="宋体" w:hAnsi="宋体" w:eastAsia="宋体"/>
                <w:sz w:val="16"/>
              </w:rPr>
              <w:t>偏差原因：目标设置不精准；改进措施：今后合理设置指标。</w:t>
            </w:r>
          </w:p>
        </w:tc>
      </w:tr>
      <w:tr w14:paraId="268280D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9A9A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36BEC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E0434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C9EC2C">
            <w:pPr>
              <w:jc w:val="center"/>
            </w:pPr>
            <w:r>
              <w:rPr>
                <w:rFonts w:ascii="宋体" w:hAnsi="宋体" w:eastAsia="宋体"/>
                <w:sz w:val="16"/>
              </w:rPr>
              <w:t>保障单位供暖期限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9214E">
            <w:pPr>
              <w:jc w:val="center"/>
            </w:pPr>
            <w:r>
              <w:rPr>
                <w:rFonts w:ascii="宋体" w:hAnsi="宋体" w:eastAsia="宋体"/>
                <w:sz w:val="16"/>
              </w:rPr>
              <w:t>=4个月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506AD">
            <w:pPr>
              <w:jc w:val="center"/>
            </w:pPr>
            <w:r>
              <w:rPr>
                <w:rFonts w:ascii="宋体" w:hAnsi="宋体" w:eastAsia="宋体"/>
                <w:sz w:val="16"/>
              </w:rPr>
              <w:t>=4个月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3066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F5443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D4656">
            <w:pPr>
              <w:jc w:val="center"/>
            </w:pPr>
          </w:p>
        </w:tc>
      </w:tr>
      <w:tr w14:paraId="08FB3C5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387CB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804D18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00A99">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F48E45">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95A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73F38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CE3F7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3220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E7BDC">
            <w:pPr>
              <w:jc w:val="center"/>
            </w:pPr>
          </w:p>
        </w:tc>
      </w:tr>
      <w:tr w14:paraId="715208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212C0C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07662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E74112">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608C5">
            <w:pPr>
              <w:jc w:val="center"/>
            </w:pPr>
            <w:r>
              <w:rPr>
                <w:rFonts w:ascii="宋体" w:hAnsi="宋体" w:eastAsia="宋体"/>
                <w:sz w:val="16"/>
              </w:rPr>
              <w:t>资金发放及时率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D7AA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DFCD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1B48F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B265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E1781A">
            <w:pPr>
              <w:jc w:val="center"/>
            </w:pPr>
          </w:p>
        </w:tc>
      </w:tr>
      <w:tr w14:paraId="49E603B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944F0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56176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23CCB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0706DA">
            <w:pPr>
              <w:jc w:val="center"/>
            </w:pPr>
            <w:r>
              <w:rPr>
                <w:rFonts w:ascii="宋体" w:hAnsi="宋体" w:eastAsia="宋体"/>
                <w:sz w:val="16"/>
              </w:rPr>
              <w:t>项目完成及时率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9073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C6A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0C759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0D741">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4F355">
            <w:pPr>
              <w:jc w:val="center"/>
            </w:pPr>
          </w:p>
        </w:tc>
      </w:tr>
      <w:tr w14:paraId="7E2340A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297C48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73584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D6E0A">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B5D18">
            <w:pPr>
              <w:jc w:val="center"/>
            </w:pPr>
            <w:r>
              <w:rPr>
                <w:rFonts w:ascii="宋体" w:hAnsi="宋体" w:eastAsia="宋体"/>
                <w:sz w:val="16"/>
              </w:rPr>
              <w:t>保障采暖正常运行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BB223">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0DBC49">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660AF">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7A5DA3">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57644F">
            <w:pPr>
              <w:jc w:val="center"/>
            </w:pPr>
          </w:p>
        </w:tc>
      </w:tr>
      <w:tr w14:paraId="0656A0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C933D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A0AB1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43689">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D4512">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5D4E8">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689A19">
            <w:pPr>
              <w:jc w:val="center"/>
            </w:pPr>
            <w:r>
              <w:rPr>
                <w:rFonts w:ascii="宋体" w:hAnsi="宋体" w:eastAsia="宋体"/>
                <w:sz w:val="16"/>
              </w:rPr>
              <w: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13909">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11D4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E40F3">
            <w:pPr>
              <w:jc w:val="center"/>
            </w:pPr>
          </w:p>
        </w:tc>
      </w:tr>
      <w:tr w14:paraId="4DFB1F25">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A2E33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639A63F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6950B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47F538">
            <w:pPr>
              <w:jc w:val="center"/>
            </w:pPr>
            <w:r>
              <w:rPr>
                <w:rFonts w:ascii="宋体" w:hAnsi="宋体" w:eastAsia="宋体"/>
                <w:sz w:val="16"/>
              </w:rPr>
              <w:t>93.47分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FB07831"/>
        </w:tc>
      </w:tr>
    </w:tbl>
    <w:p w14:paraId="3390197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CAD7949">
        <w:tblPrEx>
          <w:tblCellMar>
            <w:top w:w="0" w:type="dxa"/>
            <w:left w:w="108" w:type="dxa"/>
            <w:bottom w:w="0" w:type="dxa"/>
            <w:right w:w="108" w:type="dxa"/>
          </w:tblCellMar>
        </w:tblPrEx>
        <w:tc>
          <w:tcPr>
            <w:tcW w:w="8847" w:type="dxa"/>
            <w:gridSpan w:val="9"/>
            <w:vAlign w:val="center"/>
          </w:tcPr>
          <w:p w14:paraId="264554B1">
            <w:pPr>
              <w:jc w:val="center"/>
            </w:pPr>
            <w:r>
              <w:rPr>
                <w:rFonts w:ascii="宋体" w:hAnsi="宋体" w:eastAsia="宋体"/>
                <w:sz w:val="24"/>
              </w:rPr>
              <w:t>项目支出绩效自评表</w:t>
            </w:r>
          </w:p>
        </w:tc>
      </w:tr>
      <w:tr w14:paraId="57AC0EEE">
        <w:tblPrEx>
          <w:tblCellMar>
            <w:top w:w="0" w:type="dxa"/>
            <w:left w:w="108" w:type="dxa"/>
            <w:bottom w:w="0" w:type="dxa"/>
            <w:right w:w="108" w:type="dxa"/>
          </w:tblCellMar>
        </w:tblPrEx>
        <w:tc>
          <w:tcPr>
            <w:tcW w:w="8847" w:type="dxa"/>
            <w:gridSpan w:val="9"/>
            <w:vAlign w:val="center"/>
          </w:tcPr>
          <w:p w14:paraId="5C8F7715">
            <w:pPr>
              <w:jc w:val="center"/>
            </w:pPr>
            <w:r>
              <w:rPr>
                <w:rFonts w:ascii="宋体" w:hAnsi="宋体" w:eastAsia="宋体"/>
                <w:sz w:val="24"/>
              </w:rPr>
              <w:t>(2024年度)</w:t>
            </w:r>
          </w:p>
        </w:tc>
      </w:tr>
      <w:tr w14:paraId="169ABD5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F24427">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B3BCFB2">
            <w:pPr>
              <w:jc w:val="center"/>
            </w:pPr>
            <w:r>
              <w:rPr>
                <w:rFonts w:ascii="宋体" w:hAnsi="宋体" w:eastAsia="宋体"/>
                <w:sz w:val="16"/>
              </w:rPr>
              <w:t>民丰县维吾尔医医院药品款</w:t>
            </w:r>
          </w:p>
        </w:tc>
      </w:tr>
      <w:tr w14:paraId="5D36B7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EDA78A">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5C98D62">
            <w:pPr>
              <w:jc w:val="center"/>
            </w:pPr>
            <w:r>
              <w:rPr>
                <w:rFonts w:ascii="宋体" w:hAnsi="宋体" w:eastAsia="宋体"/>
                <w:sz w:val="16"/>
              </w:rPr>
              <w:t>民丰县维吾尔医医院</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DDB1A">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2795A1F">
            <w:pPr>
              <w:jc w:val="center"/>
            </w:pPr>
            <w:r>
              <w:rPr>
                <w:rFonts w:ascii="宋体" w:hAnsi="宋体" w:eastAsia="宋体"/>
                <w:sz w:val="16"/>
              </w:rPr>
              <w:t>民丰县维吾尔医医院</w:t>
            </w:r>
          </w:p>
        </w:tc>
      </w:tr>
      <w:tr w14:paraId="1A995F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EB141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C2B9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096E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D8B37">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B4D56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AAB9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A4CAD">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23771A">
            <w:pPr>
              <w:jc w:val="center"/>
            </w:pPr>
            <w:r>
              <w:rPr>
                <w:rFonts w:ascii="宋体" w:hAnsi="宋体" w:eastAsia="宋体"/>
                <w:sz w:val="16"/>
              </w:rPr>
              <w:t>得分</w:t>
            </w:r>
          </w:p>
        </w:tc>
      </w:tr>
      <w:tr w14:paraId="5B4410F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093AFD"/>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41DBF">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14B77">
            <w:pPr>
              <w:jc w:val="center"/>
            </w:pPr>
            <w:r>
              <w:rPr>
                <w:rFonts w:ascii="宋体" w:hAnsi="宋体" w:eastAsia="宋体"/>
                <w:sz w:val="16"/>
              </w:rPr>
              <w:t>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E4D42">
            <w:pPr>
              <w:jc w:val="center"/>
            </w:pPr>
            <w:r>
              <w:rPr>
                <w:rFonts w:ascii="宋体" w:hAnsi="宋体" w:eastAsia="宋体"/>
                <w:sz w:val="16"/>
              </w:rPr>
              <w:t>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941FCC">
            <w:pPr>
              <w:jc w:val="center"/>
            </w:pPr>
            <w:r>
              <w:rPr>
                <w:rFonts w:ascii="宋体" w:hAnsi="宋体" w:eastAsia="宋体"/>
                <w:sz w:val="16"/>
              </w:rPr>
              <w:t>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119D4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37D914">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24EC3A">
            <w:pPr>
              <w:jc w:val="center"/>
            </w:pPr>
            <w:r>
              <w:rPr>
                <w:rFonts w:ascii="宋体" w:hAnsi="宋体" w:eastAsia="宋体"/>
                <w:sz w:val="16"/>
              </w:rPr>
              <w:t>10.00分</w:t>
            </w:r>
          </w:p>
        </w:tc>
      </w:tr>
      <w:tr w14:paraId="3F9805D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039DF2"/>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22553">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5D4CD">
            <w:pPr>
              <w:jc w:val="center"/>
            </w:pPr>
            <w:r>
              <w:rPr>
                <w:rFonts w:ascii="宋体" w:hAnsi="宋体" w:eastAsia="宋体"/>
                <w:sz w:val="16"/>
              </w:rPr>
              <w:t>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02B62">
            <w:pPr>
              <w:jc w:val="center"/>
            </w:pPr>
            <w:r>
              <w:rPr>
                <w:rFonts w:ascii="宋体" w:hAnsi="宋体" w:eastAsia="宋体"/>
                <w:sz w:val="16"/>
              </w:rPr>
              <w:t>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4D323D">
            <w:pPr>
              <w:jc w:val="center"/>
            </w:pPr>
            <w:r>
              <w:rPr>
                <w:rFonts w:ascii="宋体" w:hAnsi="宋体" w:eastAsia="宋体"/>
                <w:sz w:val="16"/>
              </w:rPr>
              <w:t>80.00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88DF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6D9C3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4EA76">
            <w:pPr>
              <w:jc w:val="center"/>
            </w:pPr>
            <w:r>
              <w:rPr>
                <w:rFonts w:ascii="宋体" w:hAnsi="宋体" w:eastAsia="宋体"/>
                <w:sz w:val="16"/>
              </w:rPr>
              <w:t>—</w:t>
            </w:r>
          </w:p>
        </w:tc>
      </w:tr>
      <w:tr w14:paraId="2039B2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08B776"/>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9B64F3">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09E5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CBCA10">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AA1A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4A12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FF14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39939D">
            <w:pPr>
              <w:jc w:val="center"/>
            </w:pPr>
            <w:r>
              <w:rPr>
                <w:rFonts w:ascii="宋体" w:hAnsi="宋体" w:eastAsia="宋体"/>
                <w:sz w:val="16"/>
              </w:rPr>
              <w:t>—</w:t>
            </w:r>
          </w:p>
        </w:tc>
      </w:tr>
      <w:tr w14:paraId="7267C58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3083663"/>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E986DE">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E12A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15FE8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5333B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3B70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3510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C6C71A">
            <w:pPr>
              <w:jc w:val="center"/>
            </w:pPr>
            <w:r>
              <w:rPr>
                <w:rFonts w:ascii="宋体" w:hAnsi="宋体" w:eastAsia="宋体"/>
                <w:sz w:val="16"/>
              </w:rPr>
              <w:t>—</w:t>
            </w:r>
          </w:p>
        </w:tc>
      </w:tr>
      <w:tr w14:paraId="2646A85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A4B46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B9629B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F9D23FA">
            <w:pPr>
              <w:jc w:val="center"/>
            </w:pPr>
            <w:r>
              <w:rPr>
                <w:rFonts w:ascii="宋体" w:hAnsi="宋体" w:eastAsia="宋体"/>
                <w:sz w:val="16"/>
              </w:rPr>
              <w:t>实际完成情况</w:t>
            </w:r>
          </w:p>
        </w:tc>
      </w:tr>
      <w:tr w14:paraId="46FDE5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0CD2BF"/>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22CF2E1">
            <w:pPr>
              <w:jc w:val="both"/>
            </w:pPr>
            <w:r>
              <w:rPr>
                <w:rFonts w:ascii="宋体" w:hAnsi="宋体" w:eastAsia="宋体"/>
                <w:sz w:val="16"/>
              </w:rPr>
              <w:t>维吾尔医医院药品款采购中草药种类100种，采购中草药1批，有效保障单位正常运行。</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E1B564C">
            <w:pPr>
              <w:jc w:val="both"/>
            </w:pPr>
            <w:r>
              <w:rPr>
                <w:rFonts w:ascii="宋体" w:hAnsi="宋体" w:eastAsia="宋体"/>
                <w:sz w:val="16"/>
              </w:rPr>
              <w:t>截至2024年12月底，本项目预算安排80万元，实际支出80万元，预算执行率100%。项目已经完成采购中草药种类192种，采购中草药1批成本80万元，通过购买中草药的项目实施，达到了治疗疾病，调理身体，保证医院正常运行的效果。</w:t>
            </w:r>
          </w:p>
        </w:tc>
      </w:tr>
      <w:tr w14:paraId="7B0540FF">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4CB2B7C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57C8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254DD3">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5894B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024F00">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E96C3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D10E79">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A73BCB">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0E34D">
            <w:pPr>
              <w:jc w:val="center"/>
            </w:pPr>
            <w:r>
              <w:rPr>
                <w:rFonts w:ascii="宋体" w:hAnsi="宋体" w:eastAsia="宋体"/>
                <w:sz w:val="16"/>
              </w:rPr>
              <w:t>偏差原因分析及改进措施</w:t>
            </w:r>
          </w:p>
        </w:tc>
      </w:tr>
      <w:tr w14:paraId="62076B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7302E3">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3DBD1C">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71D1C9">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ECA11">
            <w:pPr>
              <w:jc w:val="center"/>
            </w:pPr>
            <w:r>
              <w:rPr>
                <w:rFonts w:ascii="宋体" w:hAnsi="宋体" w:eastAsia="宋体"/>
                <w:sz w:val="16"/>
              </w:rPr>
              <w:t>采购中草药种类</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230D29">
            <w:pPr>
              <w:jc w:val="center"/>
            </w:pPr>
            <w:r>
              <w:rPr>
                <w:rFonts w:ascii="宋体" w:hAnsi="宋体" w:eastAsia="宋体"/>
                <w:sz w:val="16"/>
              </w:rPr>
              <w:t>&gt;=100种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B5016">
            <w:pPr>
              <w:jc w:val="center"/>
            </w:pPr>
            <w:r>
              <w:rPr>
                <w:rFonts w:ascii="宋体" w:hAnsi="宋体" w:eastAsia="宋体"/>
                <w:sz w:val="16"/>
              </w:rPr>
              <w:t>=192种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8B10A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166C6">
            <w:pPr>
              <w:jc w:val="center"/>
            </w:pPr>
            <w:r>
              <w:rPr>
                <w:rFonts w:ascii="宋体" w:hAnsi="宋体" w:eastAsia="宋体"/>
                <w:sz w:val="16"/>
              </w:rPr>
              <w:t>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FA5D56">
            <w:pPr>
              <w:jc w:val="center"/>
            </w:pPr>
            <w:r>
              <w:rPr>
                <w:rFonts w:ascii="宋体" w:hAnsi="宋体" w:eastAsia="宋体"/>
                <w:sz w:val="16"/>
              </w:rPr>
              <w:t>偏差原因：年初采购计划估计不精准，导致实际采购种类与计划偏差较大；改进措施：今后合理设置指标。</w:t>
            </w:r>
          </w:p>
        </w:tc>
      </w:tr>
      <w:tr w14:paraId="2FB24C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8F4A3A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63E0D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42767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288240">
            <w:pPr>
              <w:jc w:val="center"/>
            </w:pPr>
            <w:r>
              <w:rPr>
                <w:rFonts w:ascii="宋体" w:hAnsi="宋体" w:eastAsia="宋体"/>
                <w:sz w:val="16"/>
              </w:rPr>
              <w:t>采购中草药数量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D2EE7">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66CC06">
            <w:pPr>
              <w:jc w:val="center"/>
            </w:pPr>
            <w:r>
              <w:rPr>
                <w:rFonts w:ascii="宋体" w:hAnsi="宋体" w:eastAsia="宋体"/>
                <w:sz w:val="16"/>
              </w:rPr>
              <w:t>=1批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27301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01E7B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61332A">
            <w:pPr>
              <w:jc w:val="center"/>
            </w:pPr>
          </w:p>
        </w:tc>
      </w:tr>
      <w:tr w14:paraId="7F5E031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1EEAF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57322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AF2A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DD02A">
            <w:pPr>
              <w:jc w:val="center"/>
            </w:pPr>
            <w:r>
              <w:rPr>
                <w:rFonts w:ascii="宋体" w:hAnsi="宋体" w:eastAsia="宋体"/>
                <w:sz w:val="16"/>
              </w:rPr>
              <w:t>采购药材验收合格率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2768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DAA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2CC4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B30B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AE2BA">
            <w:pPr>
              <w:jc w:val="center"/>
            </w:pPr>
          </w:p>
        </w:tc>
      </w:tr>
      <w:tr w14:paraId="532F2BD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97B38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37F3F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8C0B10">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0ED2E">
            <w:pPr>
              <w:jc w:val="center"/>
            </w:pPr>
            <w:r>
              <w:rPr>
                <w:rFonts w:ascii="宋体" w:hAnsi="宋体" w:eastAsia="宋体"/>
                <w:sz w:val="16"/>
              </w:rPr>
              <w:t>资金支付及时率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59D6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F2D0B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B5474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DF510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A835D6">
            <w:pPr>
              <w:jc w:val="center"/>
            </w:pPr>
          </w:p>
        </w:tc>
      </w:tr>
      <w:tr w14:paraId="1FF0AE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24D68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A7602B">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480883">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87F7AA">
            <w:pPr>
              <w:jc w:val="center"/>
            </w:pPr>
            <w:r>
              <w:rPr>
                <w:rFonts w:ascii="宋体" w:hAnsi="宋体" w:eastAsia="宋体"/>
                <w:sz w:val="16"/>
              </w:rPr>
              <w:t>采购中草药每批次成本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4CB371">
            <w:pPr>
              <w:jc w:val="center"/>
            </w:pPr>
            <w:r>
              <w:rPr>
                <w:rFonts w:ascii="宋体" w:hAnsi="宋体" w:eastAsia="宋体"/>
                <w:sz w:val="16"/>
              </w:rPr>
              <w:t>&lt;=80万元/批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21F38">
            <w:pPr>
              <w:jc w:val="center"/>
            </w:pPr>
            <w:r>
              <w:rPr>
                <w:rFonts w:ascii="宋体" w:hAnsi="宋体" w:eastAsia="宋体"/>
                <w:sz w:val="16"/>
              </w:rPr>
              <w:t>=80万元/批</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ADED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E5BE0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88A6B">
            <w:pPr>
              <w:jc w:val="center"/>
            </w:pPr>
          </w:p>
        </w:tc>
      </w:tr>
      <w:tr w14:paraId="39E10A8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FD2EF4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DF92FE">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56A2E4">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85363">
            <w:pPr>
              <w:jc w:val="center"/>
            </w:pPr>
            <w:r>
              <w:rPr>
                <w:rFonts w:ascii="宋体" w:hAnsi="宋体" w:eastAsia="宋体"/>
                <w:sz w:val="16"/>
              </w:rPr>
              <w:t>有效保障单位正常运行</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71597">
            <w:pPr>
              <w:jc w:val="center"/>
            </w:pPr>
            <w:r>
              <w:rPr>
                <w:rFonts w:ascii="宋体" w:hAnsi="宋体" w:eastAsia="宋体"/>
                <w:sz w:val="16"/>
              </w:rPr>
              <w:t>有效保障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278B6">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A77A9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A25D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1A8D74">
            <w:pPr>
              <w:jc w:val="center"/>
            </w:pPr>
          </w:p>
        </w:tc>
      </w:tr>
      <w:tr w14:paraId="2CAE1E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B915E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85F05">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0AFB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500AE">
            <w:pPr>
              <w:jc w:val="center"/>
            </w:pPr>
            <w:r>
              <w:rPr>
                <w:rFonts w:ascii="宋体" w:hAnsi="宋体" w:eastAsia="宋体"/>
                <w:sz w:val="16"/>
              </w:rPr>
              <w:t>受益群众满意度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914555">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94550C">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3FD67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13C7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2FE3D">
            <w:pPr>
              <w:jc w:val="center"/>
            </w:pPr>
          </w:p>
        </w:tc>
      </w:tr>
      <w:tr w14:paraId="321D7941">
        <w:tblPrEx>
          <w:tblCellMar>
            <w:top w:w="0" w:type="dxa"/>
            <w:left w:w="108" w:type="dxa"/>
            <w:bottom w:w="0" w:type="dxa"/>
            <w:right w:w="108" w:type="dxa"/>
          </w:tblCellMar>
        </w:tblPrEx>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57320F">
            <w:pPr>
              <w:jc w:val="center"/>
            </w:pPr>
            <w:r>
              <w:rPr>
                <w:rFonts w:ascii="宋体" w:hAnsi="宋体" w:eastAsia="宋体"/>
                <w:sz w:val="16"/>
              </w:rPr>
              <w:t>总分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70036E8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9299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9980C7">
            <w:pPr>
              <w:jc w:val="center"/>
            </w:pPr>
            <w:r>
              <w:rPr>
                <w:rFonts w:ascii="宋体" w:hAnsi="宋体" w:eastAsia="宋体"/>
                <w:sz w:val="16"/>
              </w:rPr>
              <w:t>90.8分</w:t>
            </w:r>
          </w:p>
        </w:tc>
        <w:tc>
          <w:tcPr>
            <w:tcW w:w="983" w:type="dxa"/>
            <w:tcBorders>
              <w:top w:val="single" w:color="auto" w:sz="10" w:space="0"/>
              <w:left w:val="single" w:color="auto" w:sz="10" w:space="0"/>
              <w:bottom w:val="single" w:color="auto" w:sz="10" w:space="0"/>
              <w:right w:val="single" w:color="auto" w:sz="10" w:space="0"/>
              <w:insideV w:val="single" w:sz="10" w:space="0"/>
            </w:tcBorders>
          </w:tcPr>
          <w:p w14:paraId="3B300603"/>
        </w:tc>
      </w:tr>
    </w:tbl>
    <w:p w14:paraId="7CB27273">
      <w:r>
        <w:br w:type="page"/>
      </w:r>
    </w:p>
    <w:p w14:paraId="3043ABA4">
      <w:pPr>
        <w:spacing w:line="640" w:lineRule="exact"/>
        <w:ind w:firstLine="640"/>
        <w:jc w:val="both"/>
        <w:outlineLvl w:val="2"/>
      </w:pPr>
      <w:r>
        <w:rPr>
          <w:rFonts w:ascii="黑体" w:hAnsi="黑体" w:eastAsia="黑体"/>
          <w:sz w:val="32"/>
        </w:rPr>
        <w:t>十二、其他需说明的事项</w:t>
      </w:r>
    </w:p>
    <w:p w14:paraId="61E22798">
      <w:pPr>
        <w:spacing w:line="580" w:lineRule="exact"/>
        <w:ind w:firstLine="640"/>
        <w:jc w:val="both"/>
      </w:pPr>
      <w:r>
        <w:rPr>
          <w:rFonts w:ascii="仿宋_GB2312" w:hAnsi="仿宋_GB2312" w:eastAsia="仿宋_GB2312"/>
          <w:b w:val="0"/>
          <w:sz w:val="32"/>
        </w:rPr>
        <w:t>本单位无其他需说明的事项。</w:t>
      </w:r>
    </w:p>
    <w:p w14:paraId="5420BFB4">
      <w:r>
        <w:br w:type="page"/>
      </w:r>
    </w:p>
    <w:p w14:paraId="28A04B91">
      <w:pPr>
        <w:spacing w:line="240" w:lineRule="auto"/>
        <w:jc w:val="center"/>
        <w:outlineLvl w:val="1"/>
      </w:pPr>
      <w:r>
        <w:rPr>
          <w:rFonts w:ascii="黑体" w:hAnsi="黑体" w:eastAsia="黑体"/>
          <w:sz w:val="32"/>
        </w:rPr>
        <w:t>第三部分 专业名词解释</w:t>
      </w:r>
    </w:p>
    <w:p w14:paraId="655F46A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75317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7635DCC">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6DA4D6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3F49FE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C528DA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0BA12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B8910EA">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392343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5A8FFF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A306B8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17FC29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C2D483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02CE62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37BD90C">
      <w:r>
        <w:br w:type="page"/>
      </w:r>
    </w:p>
    <w:p w14:paraId="6B8DE54A">
      <w:pPr>
        <w:spacing w:line="240" w:lineRule="auto"/>
        <w:jc w:val="center"/>
        <w:outlineLvl w:val="1"/>
      </w:pPr>
      <w:r>
        <w:rPr>
          <w:rFonts w:ascii="黑体" w:hAnsi="黑体" w:eastAsia="黑体"/>
          <w:sz w:val="32"/>
        </w:rPr>
        <w:t>第四部分 部门决算报表（见附表）</w:t>
      </w:r>
    </w:p>
    <w:p w14:paraId="085017B4">
      <w:pPr>
        <w:spacing w:line="240" w:lineRule="auto"/>
        <w:ind w:firstLine="640"/>
        <w:jc w:val="both"/>
      </w:pPr>
      <w:r>
        <w:rPr>
          <w:rFonts w:ascii="仿宋_GB2312" w:hAnsi="仿宋_GB2312" w:eastAsia="仿宋_GB2312"/>
          <w:b w:val="0"/>
          <w:sz w:val="32"/>
        </w:rPr>
        <w:t>一、《收入支出决算总表》</w:t>
      </w:r>
    </w:p>
    <w:p w14:paraId="75603283">
      <w:pPr>
        <w:spacing w:line="240" w:lineRule="auto"/>
        <w:ind w:firstLine="640"/>
        <w:jc w:val="both"/>
      </w:pPr>
      <w:r>
        <w:rPr>
          <w:rFonts w:ascii="仿宋_GB2312" w:hAnsi="仿宋_GB2312" w:eastAsia="仿宋_GB2312"/>
          <w:b w:val="0"/>
          <w:sz w:val="32"/>
        </w:rPr>
        <w:t>二、《收入决算表》</w:t>
      </w:r>
    </w:p>
    <w:p w14:paraId="712862B4">
      <w:pPr>
        <w:spacing w:line="240" w:lineRule="auto"/>
        <w:ind w:firstLine="640"/>
        <w:jc w:val="both"/>
      </w:pPr>
      <w:r>
        <w:rPr>
          <w:rFonts w:ascii="仿宋_GB2312" w:hAnsi="仿宋_GB2312" w:eastAsia="仿宋_GB2312"/>
          <w:b w:val="0"/>
          <w:sz w:val="32"/>
        </w:rPr>
        <w:t>三、《支出决算表》</w:t>
      </w:r>
    </w:p>
    <w:p w14:paraId="1D9489F2">
      <w:pPr>
        <w:spacing w:line="240" w:lineRule="auto"/>
        <w:ind w:firstLine="640"/>
        <w:jc w:val="both"/>
      </w:pPr>
      <w:r>
        <w:rPr>
          <w:rFonts w:ascii="仿宋_GB2312" w:hAnsi="仿宋_GB2312" w:eastAsia="仿宋_GB2312"/>
          <w:b w:val="0"/>
          <w:sz w:val="32"/>
        </w:rPr>
        <w:t>四、《财政拨款收入支出决算总表》</w:t>
      </w:r>
    </w:p>
    <w:p w14:paraId="06942EA7">
      <w:pPr>
        <w:spacing w:line="240" w:lineRule="auto"/>
        <w:ind w:firstLine="640"/>
        <w:jc w:val="both"/>
      </w:pPr>
      <w:r>
        <w:rPr>
          <w:rFonts w:ascii="仿宋_GB2312" w:hAnsi="仿宋_GB2312" w:eastAsia="仿宋_GB2312"/>
          <w:b w:val="0"/>
          <w:sz w:val="32"/>
        </w:rPr>
        <w:t>五、《一般公共预算财政拨款支出决算表》</w:t>
      </w:r>
    </w:p>
    <w:p w14:paraId="162BA960">
      <w:pPr>
        <w:spacing w:line="240" w:lineRule="auto"/>
        <w:ind w:firstLine="640"/>
        <w:jc w:val="both"/>
      </w:pPr>
      <w:r>
        <w:rPr>
          <w:rFonts w:ascii="仿宋_GB2312" w:hAnsi="仿宋_GB2312" w:eastAsia="仿宋_GB2312"/>
          <w:b w:val="0"/>
          <w:sz w:val="32"/>
        </w:rPr>
        <w:t>六、《一般公共预算财政拨款基本支出决算表》</w:t>
      </w:r>
    </w:p>
    <w:p w14:paraId="6D38E807">
      <w:pPr>
        <w:spacing w:line="240" w:lineRule="auto"/>
        <w:ind w:firstLine="640"/>
        <w:jc w:val="both"/>
      </w:pPr>
      <w:r>
        <w:rPr>
          <w:rFonts w:ascii="仿宋_GB2312" w:hAnsi="仿宋_GB2312" w:eastAsia="仿宋_GB2312"/>
          <w:b w:val="0"/>
          <w:sz w:val="32"/>
        </w:rPr>
        <w:t>七、《政府性基金预算财政拨款收入支出决算表》</w:t>
      </w:r>
    </w:p>
    <w:p w14:paraId="0562367A">
      <w:pPr>
        <w:spacing w:line="240" w:lineRule="auto"/>
        <w:ind w:firstLine="640"/>
        <w:jc w:val="both"/>
      </w:pPr>
      <w:r>
        <w:rPr>
          <w:rFonts w:ascii="仿宋_GB2312" w:hAnsi="仿宋_GB2312" w:eastAsia="仿宋_GB2312"/>
          <w:b w:val="0"/>
          <w:sz w:val="32"/>
        </w:rPr>
        <w:t>八、《国有资本经营预算财政拨款收入支出决算表》</w:t>
      </w:r>
    </w:p>
    <w:p w14:paraId="1606E555">
      <w:pPr>
        <w:spacing w:line="240" w:lineRule="auto"/>
        <w:ind w:firstLine="640"/>
        <w:jc w:val="both"/>
      </w:pPr>
      <w:r>
        <w:rPr>
          <w:rFonts w:ascii="仿宋_GB2312" w:hAnsi="仿宋_GB2312" w:eastAsia="仿宋_GB2312"/>
          <w:b w:val="0"/>
          <w:sz w:val="32"/>
        </w:rPr>
        <w:t>九、《财政拨款“三公”经费支出决算表》</w:t>
      </w:r>
    </w:p>
    <w:p w14:paraId="744F528C">
      <w:pPr>
        <w:spacing w:line="240" w:lineRule="auto"/>
        <w:ind w:firstLine="640"/>
        <w:jc w:val="both"/>
      </w:pPr>
    </w:p>
    <w:p w14:paraId="3A1C8127">
      <w:pPr>
        <w:spacing w:line="240" w:lineRule="auto"/>
        <w:ind w:firstLine="640"/>
        <w:jc w:val="both"/>
      </w:pPr>
    </w:p>
    <w:p w14:paraId="2B6E3D9F">
      <w:pPr>
        <w:spacing w:line="240" w:lineRule="auto"/>
        <w:ind w:firstLine="640"/>
        <w:jc w:val="both"/>
      </w:pPr>
    </w:p>
    <w:p w14:paraId="1F5AA55A">
      <w:pPr>
        <w:spacing w:line="240" w:lineRule="auto"/>
        <w:ind w:firstLine="640"/>
        <w:jc w:val="both"/>
      </w:pPr>
    </w:p>
    <w:p w14:paraId="2BBC886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170328"/>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86C3204"/>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6209</Words>
  <Characters>7112</Characters>
  <Lines>0</Lines>
  <Paragraphs>0</Paragraphs>
  <TotalTime>5</TotalTime>
  <ScaleCrop>false</ScaleCrop>
  <LinksUpToDate>false</LinksUpToDate>
  <CharactersWithSpaces>7120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2025-09-25T02:32:06Z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