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EA25BB1">
      <w:r>
        <w:br w:type="page"/>
      </w:r>
    </w:p>
    <w:p w14:paraId="54EA1834">
      <w:pPr>
        <w:spacing w:line="640" w:lineRule="exact"/>
        <w:jc w:val="center"/>
        <w:outlineLvl w:val="1"/>
      </w:pPr>
      <w:r>
        <w:rPr>
          <w:rFonts w:ascii="黑体" w:hAnsi="黑体" w:eastAsia="黑体"/>
          <w:sz w:val="32"/>
        </w:rPr>
        <w:t>第一部分 单位概况</w:t>
      </w:r>
    </w:p>
    <w:p w14:paraId="2E95AFB2">
      <w:pPr>
        <w:spacing w:line="640" w:lineRule="exact"/>
        <w:ind w:firstLine="640"/>
        <w:jc w:val="both"/>
        <w:outlineLvl w:val="2"/>
      </w:pPr>
      <w:r>
        <w:rPr>
          <w:rFonts w:ascii="黑体" w:hAnsi="黑体" w:eastAsia="黑体"/>
          <w:sz w:val="32"/>
        </w:rPr>
        <w:t>一、主要职能</w:t>
      </w:r>
    </w:p>
    <w:p w14:paraId="2B206599">
      <w:pPr>
        <w:spacing w:line="580" w:lineRule="exact"/>
        <w:ind w:firstLine="640"/>
        <w:jc w:val="both"/>
      </w:pPr>
      <w:r>
        <w:rPr>
          <w:rFonts w:ascii="仿宋_GB2312" w:hAnsi="仿宋_GB2312" w:eastAsia="仿宋_GB2312"/>
          <w:sz w:val="32"/>
        </w:rPr>
        <w:t>水利局负责贯彻落实党中央关于</w:t>
      </w:r>
      <w:r>
        <w:rPr>
          <w:rFonts w:hint="eastAsia" w:ascii="仿宋_GB2312" w:hAnsi="仿宋_GB2312" w:eastAsia="仿宋_GB2312"/>
          <w:sz w:val="32"/>
          <w:lang w:eastAsia="zh-CN"/>
        </w:rPr>
        <w:t>“三农”工作</w:t>
      </w:r>
      <w:r>
        <w:rPr>
          <w:rFonts w:ascii="仿宋_GB2312" w:hAnsi="仿宋_GB2312" w:eastAsia="仿宋_GB2312"/>
          <w:sz w:val="32"/>
        </w:rPr>
        <w:t>的方针政策、自治区党委决策部署、地委工作要求和县委工作安排，把坚持和加强党对</w:t>
      </w:r>
      <w:r>
        <w:rPr>
          <w:rFonts w:hint="eastAsia" w:ascii="仿宋_GB2312" w:hAnsi="仿宋_GB2312" w:eastAsia="仿宋_GB2312"/>
          <w:sz w:val="32"/>
          <w:lang w:eastAsia="zh-CN"/>
        </w:rPr>
        <w:t>“</w:t>
      </w:r>
      <w:r>
        <w:rPr>
          <w:rFonts w:ascii="仿宋_GB2312" w:hAnsi="仿宋_GB2312" w:eastAsia="仿宋_GB2312"/>
          <w:sz w:val="32"/>
        </w:rPr>
        <w:t>水利</w:t>
      </w:r>
      <w:r>
        <w:rPr>
          <w:rFonts w:hint="eastAsia" w:ascii="仿宋_GB2312" w:hAnsi="仿宋_GB2312" w:eastAsia="仿宋_GB2312"/>
          <w:sz w:val="32"/>
          <w:lang w:eastAsia="zh-CN"/>
        </w:rPr>
        <w:t>”</w:t>
      </w:r>
      <w:r>
        <w:rPr>
          <w:rFonts w:ascii="仿宋_GB2312" w:hAnsi="仿宋_GB2312" w:eastAsia="仿宋_GB2312"/>
          <w:sz w:val="32"/>
        </w:rPr>
        <w:t>工作的集中统一领导落实到履行职责过程中。主要职责是。</w:t>
      </w:r>
    </w:p>
    <w:p w14:paraId="02A26934">
      <w:pPr>
        <w:spacing w:line="580" w:lineRule="exact"/>
        <w:ind w:firstLine="640"/>
        <w:jc w:val="both"/>
      </w:pPr>
      <w:r>
        <w:rPr>
          <w:rFonts w:ascii="仿宋_GB2312" w:hAnsi="仿宋_GB2312" w:eastAsia="仿宋_GB2312"/>
          <w:sz w:val="32"/>
        </w:rPr>
        <w:t>1.政策法规执行与规划制定：贯彻执行国家有关水利工作的法律法规和方针政策，拟定地方水利工作的方针政策、发展战略和中长期规划，组织起草相关政策并监督实施。</w:t>
      </w:r>
    </w:p>
    <w:p w14:paraId="5D769126">
      <w:pPr>
        <w:spacing w:line="580" w:lineRule="exact"/>
        <w:ind w:firstLine="640"/>
        <w:jc w:val="both"/>
      </w:pPr>
      <w:r>
        <w:rPr>
          <w:rFonts w:ascii="仿宋_GB2312" w:hAnsi="仿宋_GB2312" w:eastAsia="仿宋_GB2312"/>
          <w:sz w:val="32"/>
        </w:rPr>
        <w:t>2.水资源管理：统一管理区域内水资源，组织拟定水中长期供求计划、水量分配方案并监督实施，组织水资源和防洪论证，实施取水许可证和水资源费征收制度，发布水资源公报。</w:t>
      </w:r>
    </w:p>
    <w:p w14:paraId="3D05B1BA">
      <w:pPr>
        <w:spacing w:line="580" w:lineRule="exact"/>
        <w:ind w:firstLine="640"/>
        <w:jc w:val="both"/>
      </w:pPr>
      <w:r>
        <w:rPr>
          <w:rFonts w:ascii="仿宋_GB2312" w:hAnsi="仿宋_GB2312" w:eastAsia="仿宋_GB2312"/>
          <w:sz w:val="32"/>
        </w:rPr>
        <w:t>3.节约用水管理：拟定节约用水政策，编制节约用水规划，制定有关标准，组织、指导和监督节约用水工作，指导和监督城乡供水、采水等相关工作。</w:t>
      </w:r>
    </w:p>
    <w:p w14:paraId="6F071BDD">
      <w:pPr>
        <w:spacing w:line="580" w:lineRule="exact"/>
        <w:ind w:firstLine="640"/>
        <w:jc w:val="both"/>
      </w:pPr>
      <w:r>
        <w:rPr>
          <w:rFonts w:ascii="仿宋_GB2312" w:hAnsi="仿宋_GB2312" w:eastAsia="仿宋_GB2312"/>
          <w:sz w:val="32"/>
        </w:rPr>
        <w:t>4.水资源保护：拟定水资源保护规划，组织水功能区划分和排污控制，监测江河湖库水量、水质，审定水域纳污能力，提出限制排污总量意见。</w:t>
      </w:r>
    </w:p>
    <w:p w14:paraId="5A268ED5">
      <w:pPr>
        <w:spacing w:line="580" w:lineRule="exact"/>
        <w:ind w:firstLine="640"/>
        <w:jc w:val="both"/>
      </w:pPr>
      <w:r>
        <w:rPr>
          <w:rFonts w:ascii="仿宋_GB2312" w:hAnsi="仿宋_GB2312" w:eastAsia="仿宋_GB2312"/>
          <w:sz w:val="32"/>
        </w:rPr>
        <w:t>5.水政监察与执法：组织、指导水政监察和水行政执法，协调并仲裁部门和地区间的水事纠纷。</w:t>
      </w:r>
    </w:p>
    <w:p w14:paraId="3EFCFFBF">
      <w:pPr>
        <w:spacing w:line="580" w:lineRule="exact"/>
        <w:ind w:firstLine="640"/>
        <w:jc w:val="both"/>
      </w:pPr>
      <w:r>
        <w:rPr>
          <w:rFonts w:ascii="仿宋_GB2312" w:hAnsi="仿宋_GB2312" w:eastAsia="仿宋_GB2312"/>
          <w:sz w:val="32"/>
        </w:rPr>
        <w:t>6.水利经济调节：拟定水利行业的经济调节措施，对水利资金使用进行宏观调节，指导水利行业供水、水电及多种经营工作，提出相关经济调节意见。</w:t>
      </w:r>
    </w:p>
    <w:p w14:paraId="23E3AD81">
      <w:pPr>
        <w:spacing w:line="580" w:lineRule="exact"/>
        <w:ind w:firstLine="640"/>
        <w:jc w:val="both"/>
      </w:pPr>
      <w:r>
        <w:rPr>
          <w:rFonts w:ascii="仿宋_GB2312" w:hAnsi="仿宋_GB2312" w:eastAsia="仿宋_GB2312"/>
          <w:sz w:val="32"/>
        </w:rPr>
        <w:t>7.水利工程管理：编制、审查水利相关工程的项目建议书等文件，按程序办理审批手续，组织重大水利科学研究和技术推广，实施水利行业技术质量标准和工程规范。</w:t>
      </w:r>
    </w:p>
    <w:p w14:paraId="727F0E64">
      <w:pPr>
        <w:spacing w:line="580" w:lineRule="exact"/>
        <w:ind w:firstLine="640"/>
        <w:jc w:val="both"/>
      </w:pPr>
      <w:r>
        <w:rPr>
          <w:rFonts w:ascii="仿宋_GB2312" w:hAnsi="仿宋_GB2312" w:eastAsia="仿宋_GB2312"/>
          <w:sz w:val="32"/>
        </w:rPr>
        <w:t>8.水利设施维护：组织、指导水利设施、水域及其岸线的管理与保护，组织江河及河口的治理和开发，负责防洪堤建设管理和堤防维护费征管，管理水利工程建设，监管水库、水电站大坝安全。</w:t>
      </w:r>
    </w:p>
    <w:p w14:paraId="0040BBE8">
      <w:pPr>
        <w:spacing w:line="580" w:lineRule="exact"/>
        <w:ind w:firstLine="640"/>
        <w:jc w:val="both"/>
      </w:pPr>
      <w:r>
        <w:rPr>
          <w:rFonts w:ascii="仿宋_GB2312" w:hAnsi="仿宋_GB2312" w:eastAsia="仿宋_GB2312"/>
          <w:sz w:val="32"/>
        </w:rPr>
        <w:t>9.农村水利工作：组织协调农田水利基本建设，指导乡镇供水和农村节水工作。</w:t>
      </w:r>
    </w:p>
    <w:p w14:paraId="1BA01F1A">
      <w:pPr>
        <w:spacing w:line="580" w:lineRule="exact"/>
        <w:ind w:firstLine="640"/>
        <w:jc w:val="both"/>
      </w:pPr>
      <w:r>
        <w:rPr>
          <w:rFonts w:ascii="仿宋_GB2312" w:hAnsi="仿宋_GB2312" w:eastAsia="仿宋_GB2312"/>
          <w:sz w:val="32"/>
        </w:rPr>
        <w:t>10.水土保持工作：组织全市水土保持工作，制定水土保持工程措施规划，组织水土流失监测和综合防治。</w:t>
      </w:r>
    </w:p>
    <w:p w14:paraId="13CA5CE4">
      <w:pPr>
        <w:spacing w:line="580" w:lineRule="exact"/>
        <w:ind w:firstLine="640"/>
        <w:jc w:val="both"/>
      </w:pPr>
      <w:r>
        <w:rPr>
          <w:rFonts w:ascii="仿宋_GB2312" w:hAnsi="仿宋_GB2312" w:eastAsia="仿宋_GB2312"/>
          <w:sz w:val="32"/>
        </w:rPr>
        <w:t>11.水利队伍建设：指导水利队伍建设，负责水利方面的科技和外经、外事工作。</w:t>
      </w:r>
    </w:p>
    <w:p w14:paraId="01B1FA01">
      <w:pPr>
        <w:spacing w:line="580" w:lineRule="exact"/>
        <w:ind w:firstLine="640"/>
        <w:jc w:val="both"/>
      </w:pPr>
      <w:r>
        <w:rPr>
          <w:rFonts w:ascii="仿宋_GB2312" w:hAnsi="仿宋_GB2312" w:eastAsia="仿宋_GB2312"/>
          <w:sz w:val="32"/>
        </w:rPr>
        <w:t>12.水电工作管理：指导水利行业的水电工作，组织实施农村水电电气化工作，负责流域水能资源开发规划及监督管理。</w:t>
      </w:r>
    </w:p>
    <w:p w14:paraId="66606BF1">
      <w:pPr>
        <w:spacing w:line="580" w:lineRule="exact"/>
        <w:ind w:firstLine="640"/>
        <w:jc w:val="both"/>
      </w:pPr>
      <w:r>
        <w:rPr>
          <w:rFonts w:ascii="仿宋_GB2312" w:hAnsi="仿宋_GB2312" w:eastAsia="仿宋_GB2312"/>
          <w:sz w:val="32"/>
        </w:rPr>
        <w:t>13.防汛抗旱工作：承担政府防汛抗旱指挥部的日常事务工作，水利水电工程实施防汛抗旱调度，编制防汛抗旱工作计划，组织制定防汛抗旱预案。</w:t>
      </w:r>
    </w:p>
    <w:p w14:paraId="21FC9834">
      <w:pPr>
        <w:spacing w:line="640" w:lineRule="exact"/>
        <w:ind w:firstLine="640"/>
        <w:jc w:val="both"/>
        <w:outlineLvl w:val="2"/>
      </w:pPr>
      <w:r>
        <w:rPr>
          <w:rFonts w:ascii="黑体" w:hAnsi="黑体" w:eastAsia="黑体"/>
          <w:sz w:val="32"/>
        </w:rPr>
        <w:t>二、机构设置及人员情况</w:t>
      </w:r>
    </w:p>
    <w:p w14:paraId="1A57977A">
      <w:pPr>
        <w:spacing w:line="580" w:lineRule="exact"/>
        <w:ind w:firstLine="640"/>
        <w:jc w:val="both"/>
      </w:pPr>
      <w:r>
        <w:rPr>
          <w:rFonts w:ascii="仿宋_GB2312" w:hAnsi="仿宋_GB2312" w:eastAsia="仿宋_GB2312"/>
          <w:sz w:val="32"/>
        </w:rPr>
        <w:t>民丰县水利局2024年度，实有人数30人，其中：在职人员17人，增加17人；离休人员0人，增加0人；退休人员13人,增加13人。</w:t>
      </w:r>
    </w:p>
    <w:p w14:paraId="34EFA0AE">
      <w:pPr>
        <w:spacing w:line="580" w:lineRule="exact"/>
        <w:ind w:firstLine="640"/>
        <w:jc w:val="both"/>
      </w:pPr>
      <w:r>
        <w:rPr>
          <w:rFonts w:ascii="仿宋_GB2312" w:hAnsi="仿宋_GB2312" w:eastAsia="仿宋_GB2312"/>
          <w:sz w:val="32"/>
        </w:rPr>
        <w:t>民丰县水利局无下属预算单位，下设</w:t>
      </w:r>
      <w:r>
        <w:rPr>
          <w:rFonts w:hint="eastAsia" w:ascii="仿宋_GB2312" w:hAnsi="仿宋_GB2312" w:eastAsia="仿宋_GB2312"/>
          <w:sz w:val="32"/>
          <w:lang w:val="en-US" w:eastAsia="zh-CN"/>
        </w:rPr>
        <w:t>7</w:t>
      </w:r>
      <w:r>
        <w:rPr>
          <w:rFonts w:ascii="仿宋_GB2312" w:hAnsi="仿宋_GB2312" w:eastAsia="仿宋_GB2312"/>
          <w:sz w:val="32"/>
        </w:rPr>
        <w:t>个科室，分别是：综合科、秘书科、财务科、专用通讯科、档案馆、饮水安全服务中心、水厂。</w:t>
      </w:r>
    </w:p>
    <w:p w14:paraId="6FDFB57B">
      <w:r>
        <w:br w:type="page"/>
      </w:r>
    </w:p>
    <w:p w14:paraId="7571E325">
      <w:pPr>
        <w:spacing w:line="240" w:lineRule="auto"/>
        <w:jc w:val="center"/>
        <w:outlineLvl w:val="1"/>
      </w:pPr>
      <w:r>
        <w:rPr>
          <w:rFonts w:ascii="黑体" w:hAnsi="黑体" w:eastAsia="黑体"/>
          <w:sz w:val="32"/>
        </w:rPr>
        <w:t>第二部分 部门决算情况说明</w:t>
      </w:r>
    </w:p>
    <w:p w14:paraId="3580A8AA">
      <w:pPr>
        <w:spacing w:line="640" w:lineRule="exact"/>
        <w:ind w:firstLine="640"/>
        <w:jc w:val="both"/>
        <w:outlineLvl w:val="2"/>
      </w:pPr>
      <w:r>
        <w:rPr>
          <w:rFonts w:ascii="黑体" w:hAnsi="黑体" w:eastAsia="黑体"/>
          <w:sz w:val="32"/>
        </w:rPr>
        <w:t>一、收入支出决算总体情况说明</w:t>
      </w:r>
    </w:p>
    <w:p w14:paraId="1478B297">
      <w:pPr>
        <w:spacing w:line="580" w:lineRule="exact"/>
        <w:ind w:firstLine="640"/>
        <w:jc w:val="both"/>
      </w:pPr>
      <w:r>
        <w:rPr>
          <w:rFonts w:ascii="仿宋_GB2312" w:hAnsi="仿宋_GB2312" w:eastAsia="仿宋_GB2312"/>
          <w:b/>
          <w:sz w:val="32"/>
        </w:rPr>
        <w:t>2024年度收入总计65,337.86万元，</w:t>
      </w:r>
      <w:r>
        <w:rPr>
          <w:rFonts w:ascii="仿宋_GB2312" w:hAnsi="仿宋_GB2312" w:eastAsia="仿宋_GB2312"/>
          <w:b w:val="0"/>
          <w:sz w:val="32"/>
        </w:rPr>
        <w:t>其中：本年收入合计65,337.86万元，使用非财政拨款结余（含专用结余）0.00万元，年初结转和结余0.00万元。</w:t>
      </w:r>
    </w:p>
    <w:p w14:paraId="49985299">
      <w:pPr>
        <w:spacing w:line="580" w:lineRule="exact"/>
        <w:ind w:firstLine="640"/>
        <w:jc w:val="both"/>
      </w:pPr>
      <w:r>
        <w:rPr>
          <w:rFonts w:ascii="仿宋_GB2312" w:hAnsi="仿宋_GB2312" w:eastAsia="仿宋_GB2312"/>
          <w:b/>
          <w:sz w:val="32"/>
        </w:rPr>
        <w:t>2024年度支出总计65,337.86万元，</w:t>
      </w:r>
      <w:r>
        <w:rPr>
          <w:rFonts w:ascii="仿宋_GB2312" w:hAnsi="仿宋_GB2312" w:eastAsia="仿宋_GB2312"/>
          <w:b w:val="0"/>
          <w:sz w:val="32"/>
        </w:rPr>
        <w:t>其中：本年支出合计65,337.86万元，结余分配0.00万元，年末结转和结余0.00万元。</w:t>
      </w:r>
    </w:p>
    <w:p w14:paraId="13003EC9">
      <w:pPr>
        <w:spacing w:line="580" w:lineRule="exact"/>
        <w:ind w:firstLine="640"/>
        <w:jc w:val="both"/>
      </w:pPr>
      <w:r>
        <w:rPr>
          <w:rFonts w:ascii="仿宋_GB2312" w:hAnsi="仿宋_GB2312" w:eastAsia="仿宋_GB2312"/>
          <w:b w:val="0"/>
          <w:sz w:val="32"/>
        </w:rPr>
        <w:t>收入支出总体与上年相比，增加65,337.86万元，增长100.00%，主要原因是：本年机构改革，2024年8月份新成立单位，无上年对比数据。</w:t>
      </w:r>
    </w:p>
    <w:p w14:paraId="2734DF97">
      <w:pPr>
        <w:spacing w:line="640" w:lineRule="exact"/>
        <w:ind w:firstLine="640"/>
        <w:jc w:val="both"/>
        <w:outlineLvl w:val="2"/>
      </w:pPr>
      <w:r>
        <w:rPr>
          <w:rFonts w:ascii="黑体" w:hAnsi="黑体" w:eastAsia="黑体"/>
          <w:sz w:val="32"/>
        </w:rPr>
        <w:t>二、收入决算情况说明</w:t>
      </w:r>
    </w:p>
    <w:p w14:paraId="637900C5">
      <w:pPr>
        <w:spacing w:line="580" w:lineRule="exact"/>
        <w:ind w:firstLine="640"/>
        <w:jc w:val="both"/>
      </w:pPr>
      <w:r>
        <w:rPr>
          <w:rFonts w:ascii="仿宋_GB2312" w:hAnsi="仿宋_GB2312" w:eastAsia="仿宋_GB2312"/>
          <w:b/>
          <w:sz w:val="32"/>
        </w:rPr>
        <w:t>本年收入65,337.86万元，</w:t>
      </w:r>
      <w:r>
        <w:rPr>
          <w:rFonts w:ascii="仿宋_GB2312" w:hAnsi="仿宋_GB2312" w:eastAsia="仿宋_GB2312"/>
          <w:b w:val="0"/>
          <w:sz w:val="32"/>
        </w:rPr>
        <w:t>其中：财政拨款收入35,115.38万元，占53.74%；上级补助收入0.00万元，占0.00%；事业收入0.00万元，占0.00%；经营收入0.00万元，占0.00%；附属单位上缴收入0.00万元，占0.00%；其他收入30,222.48万元，占46.26%。</w:t>
      </w:r>
    </w:p>
    <w:p w14:paraId="30357195">
      <w:pPr>
        <w:spacing w:line="640" w:lineRule="exact"/>
        <w:ind w:firstLine="640"/>
        <w:jc w:val="both"/>
        <w:outlineLvl w:val="2"/>
      </w:pPr>
      <w:r>
        <w:rPr>
          <w:rFonts w:ascii="黑体" w:hAnsi="黑体" w:eastAsia="黑体"/>
          <w:sz w:val="32"/>
        </w:rPr>
        <w:t>三、支出决算情况说明</w:t>
      </w:r>
    </w:p>
    <w:p w14:paraId="4FEF30C1">
      <w:pPr>
        <w:spacing w:line="580" w:lineRule="exact"/>
        <w:ind w:firstLine="640"/>
        <w:jc w:val="both"/>
      </w:pPr>
      <w:r>
        <w:rPr>
          <w:rFonts w:ascii="仿宋_GB2312" w:hAnsi="仿宋_GB2312" w:eastAsia="仿宋_GB2312"/>
          <w:b/>
          <w:sz w:val="32"/>
        </w:rPr>
        <w:t>本年支出65,337.86万元，</w:t>
      </w:r>
      <w:r>
        <w:rPr>
          <w:rFonts w:ascii="仿宋_GB2312" w:hAnsi="仿宋_GB2312" w:eastAsia="仿宋_GB2312"/>
          <w:b w:val="0"/>
          <w:sz w:val="32"/>
        </w:rPr>
        <w:t>其中：基本支出284.31万元，占0.44%；项目支出65,053.56万元，占99.56%；上缴上级支出0.00万元，占0.00%；经营支出0.00万元，占0.00%；对附属单位补助支出0.00万元，占0.00%。</w:t>
      </w:r>
    </w:p>
    <w:p w14:paraId="5E795775">
      <w:pPr>
        <w:spacing w:line="640" w:lineRule="exact"/>
        <w:ind w:firstLine="640"/>
        <w:jc w:val="both"/>
        <w:outlineLvl w:val="2"/>
      </w:pPr>
      <w:r>
        <w:rPr>
          <w:rFonts w:ascii="黑体" w:hAnsi="黑体" w:eastAsia="黑体"/>
          <w:sz w:val="32"/>
        </w:rPr>
        <w:t>四、财政拨款收入支出决算总体情况说明</w:t>
      </w:r>
    </w:p>
    <w:p w14:paraId="4090AB73">
      <w:pPr>
        <w:spacing w:line="580" w:lineRule="exact"/>
        <w:ind w:firstLine="640"/>
        <w:jc w:val="both"/>
      </w:pPr>
      <w:r>
        <w:rPr>
          <w:rFonts w:ascii="仿宋_GB2312" w:hAnsi="仿宋_GB2312" w:eastAsia="仿宋_GB2312"/>
          <w:b/>
          <w:sz w:val="32"/>
        </w:rPr>
        <w:t>2024年度财政拨款收入总计35,115.38万元，</w:t>
      </w:r>
      <w:r>
        <w:rPr>
          <w:rFonts w:ascii="仿宋_GB2312" w:hAnsi="仿宋_GB2312" w:eastAsia="仿宋_GB2312"/>
          <w:b w:val="0"/>
          <w:sz w:val="32"/>
        </w:rPr>
        <w:t>其中：年初财政拨款结转和结余0.00万元，本年财政拨款收入35,115.38万元。</w:t>
      </w:r>
      <w:r>
        <w:rPr>
          <w:rFonts w:ascii="仿宋_GB2312" w:hAnsi="仿宋_GB2312" w:eastAsia="仿宋_GB2312"/>
          <w:b/>
          <w:sz w:val="32"/>
        </w:rPr>
        <w:t>财政拨款支出总计35,115.38万元，</w:t>
      </w:r>
      <w:r>
        <w:rPr>
          <w:rFonts w:ascii="仿宋_GB2312" w:hAnsi="仿宋_GB2312" w:eastAsia="仿宋_GB2312"/>
          <w:b w:val="0"/>
          <w:sz w:val="32"/>
        </w:rPr>
        <w:t>其中：年末财政拨款结转和结余0.00万元，本年财政拨款支出35,115.38万元。</w:t>
      </w:r>
    </w:p>
    <w:p w14:paraId="31C4176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增加35,115.38万元，增长100.00%，主要原因是：本年机构改革，2024年8月份新成立单位，无上年对比数据。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年初预算数0.00万元，决算数35,115.38万元，预决算差异率100.00%，主要原因是：本年机构改革，2024年8月份新成立单位，经费均为年中追加，导致预决算存在差异。</w:t>
      </w:r>
    </w:p>
    <w:p w14:paraId="687F3C5E">
      <w:pPr>
        <w:spacing w:line="640" w:lineRule="exact"/>
        <w:ind w:firstLine="640"/>
        <w:jc w:val="both"/>
        <w:outlineLvl w:val="2"/>
      </w:pPr>
      <w:r>
        <w:rPr>
          <w:rFonts w:ascii="黑体" w:hAnsi="黑体" w:eastAsia="黑体"/>
          <w:sz w:val="32"/>
        </w:rPr>
        <w:t>五、一般公共预算财政拨款支出决算情况说明</w:t>
      </w:r>
    </w:p>
    <w:p w14:paraId="338BEAE5">
      <w:pPr>
        <w:spacing w:line="640" w:lineRule="exact"/>
        <w:ind w:firstLine="640"/>
        <w:jc w:val="both"/>
        <w:outlineLvl w:val="3"/>
      </w:pPr>
      <w:r>
        <w:rPr>
          <w:rFonts w:ascii="楷体_GB2312" w:hAnsi="楷体_GB2312" w:eastAsia="楷体_GB2312"/>
          <w:b/>
          <w:sz w:val="32"/>
        </w:rPr>
        <w:t>（一）一般公共预算财政拨款支出决算总体情况</w:t>
      </w:r>
    </w:p>
    <w:p w14:paraId="07F46F99">
      <w:pPr>
        <w:spacing w:line="580" w:lineRule="exact"/>
        <w:ind w:firstLine="640"/>
        <w:jc w:val="both"/>
      </w:pPr>
      <w:r>
        <w:rPr>
          <w:rFonts w:ascii="仿宋_GB2312" w:hAnsi="仿宋_GB2312" w:eastAsia="仿宋_GB2312"/>
          <w:b/>
          <w:sz w:val="32"/>
        </w:rPr>
        <w:t>2024年度一般公共预算财政拨款支出35,115.38万元，</w:t>
      </w:r>
      <w:r>
        <w:rPr>
          <w:rFonts w:ascii="仿宋_GB2312" w:hAnsi="仿宋_GB2312" w:eastAsia="仿宋_GB2312"/>
          <w:b w:val="0"/>
          <w:sz w:val="32"/>
        </w:rPr>
        <w:t>占本年支出合计的53.74%。</w:t>
      </w:r>
      <w:r>
        <w:rPr>
          <w:rFonts w:ascii="仿宋_GB2312" w:hAnsi="仿宋_GB2312" w:eastAsia="仿宋_GB2312"/>
          <w:b/>
          <w:sz w:val="32"/>
        </w:rPr>
        <w:t>与上年相比，</w:t>
      </w:r>
      <w:r>
        <w:rPr>
          <w:rFonts w:ascii="仿宋_GB2312" w:hAnsi="仿宋_GB2312" w:eastAsia="仿宋_GB2312"/>
          <w:b w:val="0"/>
          <w:sz w:val="32"/>
        </w:rPr>
        <w:t>增加35,115.38万元，增长100.00%，主要原因是：本年机构改革，2024年8月份新成立单位，无上年对比数据。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年初预算数0.00万元，决算数35,115.38万元，预决算差异率100.00%，主要原因是：本年机构改革，2024年8月份新成立单位，经费均为年中追加，导致预决算存在差异。</w:t>
      </w:r>
    </w:p>
    <w:p w14:paraId="6CA10DC8">
      <w:pPr>
        <w:spacing w:line="640" w:lineRule="exact"/>
        <w:ind w:firstLine="640"/>
        <w:jc w:val="both"/>
        <w:outlineLvl w:val="3"/>
      </w:pPr>
      <w:r>
        <w:rPr>
          <w:rFonts w:ascii="楷体_GB2312" w:hAnsi="楷体_GB2312" w:eastAsia="楷体_GB2312"/>
          <w:b/>
          <w:sz w:val="32"/>
        </w:rPr>
        <w:t>（二）一般公共预算财政拨款支出决算结构情况</w:t>
      </w:r>
    </w:p>
    <w:p w14:paraId="30CAB79C">
      <w:pPr>
        <w:spacing w:line="580" w:lineRule="exact"/>
        <w:ind w:firstLine="640"/>
        <w:jc w:val="both"/>
      </w:pPr>
      <w:r>
        <w:rPr>
          <w:rFonts w:ascii="仿宋_GB2312" w:hAnsi="仿宋_GB2312" w:eastAsia="仿宋_GB2312"/>
          <w:b w:val="0"/>
          <w:sz w:val="32"/>
        </w:rPr>
        <w:t>1.社会保障和就业支出(类)58.13万元,占0.17%。</w:t>
      </w:r>
    </w:p>
    <w:p w14:paraId="1BF48EF4">
      <w:pPr>
        <w:spacing w:line="580" w:lineRule="exact"/>
        <w:ind w:firstLine="640"/>
        <w:jc w:val="both"/>
      </w:pPr>
      <w:r>
        <w:rPr>
          <w:rFonts w:ascii="仿宋_GB2312" w:hAnsi="仿宋_GB2312" w:eastAsia="仿宋_GB2312"/>
          <w:b w:val="0"/>
          <w:sz w:val="32"/>
        </w:rPr>
        <w:t>2.卫生健康支出(类)10.19万元,占0.03%。</w:t>
      </w:r>
    </w:p>
    <w:p w14:paraId="24E744DD">
      <w:pPr>
        <w:spacing w:line="580" w:lineRule="exact"/>
        <w:ind w:firstLine="640"/>
        <w:jc w:val="both"/>
      </w:pPr>
      <w:r>
        <w:rPr>
          <w:rFonts w:ascii="仿宋_GB2312" w:hAnsi="仿宋_GB2312" w:eastAsia="仿宋_GB2312"/>
          <w:b w:val="0"/>
          <w:sz w:val="32"/>
        </w:rPr>
        <w:t>3.节能环保支出(类)1.01万元,占0.003%。</w:t>
      </w:r>
    </w:p>
    <w:p w14:paraId="554DBF16">
      <w:pPr>
        <w:spacing w:line="580" w:lineRule="exact"/>
        <w:ind w:firstLine="640"/>
        <w:jc w:val="both"/>
      </w:pPr>
      <w:r>
        <w:rPr>
          <w:rFonts w:ascii="仿宋_GB2312" w:hAnsi="仿宋_GB2312" w:eastAsia="仿宋_GB2312"/>
          <w:b w:val="0"/>
          <w:sz w:val="32"/>
        </w:rPr>
        <w:t>4.农林水支出(类)35,029.41万元,占99.76%。</w:t>
      </w:r>
    </w:p>
    <w:p w14:paraId="7DDE784E">
      <w:pPr>
        <w:spacing w:line="580" w:lineRule="exact"/>
        <w:ind w:firstLine="640"/>
        <w:jc w:val="both"/>
      </w:pPr>
      <w:r>
        <w:rPr>
          <w:rFonts w:ascii="仿宋_GB2312" w:hAnsi="仿宋_GB2312" w:eastAsia="仿宋_GB2312"/>
          <w:b w:val="0"/>
          <w:sz w:val="32"/>
        </w:rPr>
        <w:t>5.住房保障支出(类)16.64万元,占0.05%。</w:t>
      </w:r>
    </w:p>
    <w:p w14:paraId="67A1E83E">
      <w:pPr>
        <w:spacing w:line="640" w:lineRule="exact"/>
        <w:ind w:firstLine="640"/>
        <w:jc w:val="both"/>
        <w:outlineLvl w:val="3"/>
      </w:pPr>
      <w:r>
        <w:rPr>
          <w:rFonts w:ascii="楷体_GB2312" w:hAnsi="楷体_GB2312" w:eastAsia="楷体_GB2312"/>
          <w:b/>
          <w:sz w:val="32"/>
        </w:rPr>
        <w:t>（三）一般公共预算财政拨款支出决算具体情况</w:t>
      </w:r>
    </w:p>
    <w:p w14:paraId="4621B2E9">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1.社会保障和就业支出(类)行政事业单位养老支出(款)行政单位离退休(项):支出决算数为5.28万元，比上年决算增加5.28万元，增长100.00%,主要原因是：本年机构改革，2024年8月份新成立单位，无上年对比数据。</w:t>
      </w:r>
    </w:p>
    <w:p w14:paraId="2B3B63D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26.61万元，比上年决算增加26.61万元，增长100.00%,主要原因是：本年机构改革，2024年8月份新成立单位，无上年对比数据。</w:t>
      </w:r>
    </w:p>
    <w:p w14:paraId="25744E7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26.25万元，比上年决算增加26.25万元，增长100.00%,主要原因是：本年机构改革，2024年8月份新成立单位，无上年对比数据。</w:t>
      </w:r>
    </w:p>
    <w:p w14:paraId="625E8E8A">
      <w:pPr>
        <w:spacing w:line="580" w:lineRule="exact"/>
        <w:ind w:firstLine="640"/>
        <w:jc w:val="both"/>
      </w:pPr>
      <w:r>
        <w:rPr>
          <w:rFonts w:ascii="仿宋_GB2312" w:hAnsi="仿宋_GB2312" w:eastAsia="仿宋_GB2312"/>
          <w:b w:val="0"/>
          <w:sz w:val="32"/>
        </w:rPr>
        <w:t>4.卫生健康支出(类)行政事业单位医疗(款)行政单位医疗(项):支出决算数为7.43万元，比上年决算增加7.43万元，增长100.00%,主要原因是：本年机构改革，2024年8月份新成立单位，无上年对比数据。</w:t>
      </w:r>
    </w:p>
    <w:p w14:paraId="172A27DA">
      <w:pPr>
        <w:spacing w:line="580" w:lineRule="exact"/>
        <w:ind w:firstLine="640"/>
        <w:jc w:val="both"/>
      </w:pPr>
      <w:r>
        <w:rPr>
          <w:rFonts w:ascii="仿宋_GB2312" w:hAnsi="仿宋_GB2312" w:eastAsia="仿宋_GB2312"/>
          <w:b w:val="0"/>
          <w:sz w:val="32"/>
        </w:rPr>
        <w:t>5.卫生健康支出(类)行政事业单位医疗(款)公务员医疗补助(项):支出决算数为1.43万元，比上年决算增加1.43万元，增长100.00%,主要原因是：本年机构改革，2024年8月份新成立单位，无上年对比数据。</w:t>
      </w:r>
    </w:p>
    <w:p w14:paraId="174F0D0D">
      <w:pPr>
        <w:spacing w:line="580" w:lineRule="exact"/>
        <w:ind w:firstLine="640"/>
        <w:jc w:val="both"/>
      </w:pPr>
      <w:r>
        <w:rPr>
          <w:rFonts w:ascii="仿宋_GB2312" w:hAnsi="仿宋_GB2312" w:eastAsia="仿宋_GB2312"/>
          <w:b w:val="0"/>
          <w:sz w:val="32"/>
        </w:rPr>
        <w:t>6.卫生健康支出(类)行政事业单位医疗(款)其他行政事业单位医疗支出(项):支出决算数为1.34万元，比上年决算增加1.34万元，增长100.00%,主要原因是：本年机构改革，2024年8月份新成立单位，无上年对比数据。</w:t>
      </w:r>
    </w:p>
    <w:p w14:paraId="63AC793E">
      <w:pPr>
        <w:spacing w:line="580" w:lineRule="exact"/>
        <w:ind w:firstLine="640"/>
        <w:jc w:val="both"/>
      </w:pPr>
      <w:r>
        <w:rPr>
          <w:rFonts w:ascii="仿宋_GB2312" w:hAnsi="仿宋_GB2312" w:eastAsia="仿宋_GB2312"/>
          <w:b w:val="0"/>
          <w:sz w:val="32"/>
        </w:rPr>
        <w:t>7.节能环保支出(类)自然生态保护(款)农村环境保护(项):支出决算数为1.01万元，比上年决算增加1.01万元，增长100.00%,主要原因是：本年机构改革，2024年8月份新成立单位，无上年对比数据。</w:t>
      </w:r>
    </w:p>
    <w:p w14:paraId="4BD007D3">
      <w:pPr>
        <w:spacing w:line="580" w:lineRule="exact"/>
        <w:ind w:firstLine="640"/>
        <w:jc w:val="both"/>
      </w:pPr>
      <w:r>
        <w:rPr>
          <w:rFonts w:ascii="仿宋_GB2312" w:hAnsi="仿宋_GB2312" w:eastAsia="仿宋_GB2312"/>
          <w:b w:val="0"/>
          <w:sz w:val="32"/>
        </w:rPr>
        <w:t>8.农林水支出(类)水利(款)行政运行(项):支出决算数为193.67万元，比上年决算增加193.67万元，增长100.00%,主要原因是：本年机构改革，2024年8月份新成立单位，无上年对比数据。</w:t>
      </w:r>
    </w:p>
    <w:p w14:paraId="080D2EED">
      <w:pPr>
        <w:spacing w:line="580" w:lineRule="exact"/>
        <w:ind w:firstLine="640"/>
        <w:jc w:val="both"/>
      </w:pPr>
      <w:r>
        <w:rPr>
          <w:rFonts w:ascii="仿宋_GB2312" w:hAnsi="仿宋_GB2312" w:eastAsia="仿宋_GB2312"/>
          <w:b w:val="0"/>
          <w:sz w:val="32"/>
        </w:rPr>
        <w:t>9.农林水支出(类)水利(款)水利工程建设(项):支出决算数为34,309.62万元，比上年决算增加34,309.62万元，增长100.00%,主要原因是：本年机构改革，2024年8月份新成立单位，无上年对比数据。</w:t>
      </w:r>
    </w:p>
    <w:p w14:paraId="360B80A4">
      <w:pPr>
        <w:spacing w:line="580" w:lineRule="exact"/>
        <w:ind w:firstLine="640"/>
        <w:jc w:val="both"/>
      </w:pPr>
      <w:r>
        <w:rPr>
          <w:rFonts w:ascii="仿宋_GB2312" w:hAnsi="仿宋_GB2312" w:eastAsia="仿宋_GB2312"/>
          <w:b w:val="0"/>
          <w:sz w:val="32"/>
        </w:rPr>
        <w:t>10.农林水支出(类)水利(款)水利工程运行与维护(项):支出决算数为29.69万元，比上年决算增加29.69万元，增长100.00%,主要原因是：本年机构改革，2024年8月份新成立单位，无上年对比数据。</w:t>
      </w:r>
    </w:p>
    <w:p w14:paraId="4F02ED56">
      <w:pPr>
        <w:spacing w:line="580" w:lineRule="exact"/>
        <w:ind w:firstLine="640"/>
        <w:jc w:val="both"/>
      </w:pPr>
      <w:r>
        <w:rPr>
          <w:rFonts w:ascii="仿宋_GB2312" w:hAnsi="仿宋_GB2312" w:eastAsia="仿宋_GB2312"/>
          <w:b w:val="0"/>
          <w:sz w:val="32"/>
        </w:rPr>
        <w:t>11.农林水支出(类)水利(款)水资源节约管理与保护(项):支出决算数为19.95万元，比上年决算增加19.95万元，增长100.00%,主要原因是：本年机构改革，2024年8月份新成立单位，无上年对比数据。</w:t>
      </w:r>
    </w:p>
    <w:p w14:paraId="2A3C8D83">
      <w:pPr>
        <w:spacing w:line="580" w:lineRule="exact"/>
        <w:ind w:firstLine="640"/>
        <w:jc w:val="both"/>
      </w:pPr>
      <w:r>
        <w:rPr>
          <w:rFonts w:ascii="仿宋_GB2312" w:hAnsi="仿宋_GB2312" w:eastAsia="仿宋_GB2312"/>
          <w:b w:val="0"/>
          <w:sz w:val="32"/>
        </w:rPr>
        <w:t>12.农林水支出(类)水利(款)防汛(项):支出决算数为7.90万元，比上年决算增加7.90万元，增长100.00%,主要原因是：本年机构改革，2024年8月份新成立单位，无上年对比数据。</w:t>
      </w:r>
    </w:p>
    <w:p w14:paraId="0E78287D">
      <w:pPr>
        <w:spacing w:line="580" w:lineRule="exact"/>
        <w:ind w:firstLine="640"/>
        <w:jc w:val="both"/>
      </w:pPr>
      <w:r>
        <w:rPr>
          <w:rFonts w:ascii="仿宋_GB2312" w:hAnsi="仿宋_GB2312" w:eastAsia="仿宋_GB2312"/>
          <w:b w:val="0"/>
          <w:sz w:val="32"/>
        </w:rPr>
        <w:t>13.农林水支出(类)水利(款)农村供水(项):支出决算数为216.19万元，比上年决算增加216.19万元，增长100.00%,主要原因是：本年机构改革，2024年8月份新成立单位，无上年对比数据。</w:t>
      </w:r>
    </w:p>
    <w:p w14:paraId="68252ED6">
      <w:pPr>
        <w:spacing w:line="580" w:lineRule="exact"/>
        <w:ind w:firstLine="640"/>
        <w:jc w:val="both"/>
      </w:pPr>
      <w:r>
        <w:rPr>
          <w:rFonts w:ascii="仿宋_GB2312" w:hAnsi="仿宋_GB2312" w:eastAsia="仿宋_GB2312"/>
          <w:b w:val="0"/>
          <w:sz w:val="32"/>
        </w:rPr>
        <w:t>14.农林水支出(类)巩固脱贫攻坚成果衔接乡村振兴(款)农村基础设施建设(项):支出决算数为246.60万元，比上年决算增加246.60万元，增长100.00%,主要原因是：本年机构改革，2024年8月份新成立单位，无上年对比数据。</w:t>
      </w:r>
    </w:p>
    <w:p w14:paraId="2EAA4312">
      <w:pPr>
        <w:spacing w:line="580" w:lineRule="exact"/>
        <w:ind w:firstLine="640"/>
        <w:jc w:val="both"/>
      </w:pPr>
      <w:r>
        <w:rPr>
          <w:rFonts w:ascii="仿宋_GB2312" w:hAnsi="仿宋_GB2312" w:eastAsia="仿宋_GB2312"/>
          <w:b w:val="0"/>
          <w:sz w:val="32"/>
        </w:rPr>
        <w:t>15.农林水支出(类)农村综合改革(款)对村级公益事业建设的补助(项):支出决算数为5.68万元，比上年决算增加5.68万元，增长100.00%,主要原因是：本年机构改革，2024年8月份新成立单位，无上年对比数据。</w:t>
      </w:r>
    </w:p>
    <w:p w14:paraId="12C33CE9">
      <w:pPr>
        <w:spacing w:line="580" w:lineRule="exact"/>
        <w:ind w:firstLine="640"/>
        <w:jc w:val="both"/>
      </w:pPr>
      <w:r>
        <w:rPr>
          <w:rFonts w:ascii="仿宋_GB2312" w:hAnsi="仿宋_GB2312" w:eastAsia="仿宋_GB2312"/>
          <w:b w:val="0"/>
          <w:sz w:val="32"/>
        </w:rPr>
        <w:t>16.农林水支出(类)农村综合改革(款)其他农村综合改革支出(项):支出决算数为0.12万元，比上年决算增加0.12万元，增长100.00%,主要原因是：本年机构改革，2024年8月份新成立单位，无上年对比数据。</w:t>
      </w:r>
    </w:p>
    <w:p w14:paraId="233A456F">
      <w:pPr>
        <w:spacing w:line="580" w:lineRule="exact"/>
        <w:ind w:firstLine="640"/>
        <w:jc w:val="both"/>
      </w:pPr>
      <w:r>
        <w:rPr>
          <w:rFonts w:ascii="仿宋_GB2312" w:hAnsi="仿宋_GB2312" w:eastAsia="仿宋_GB2312"/>
          <w:b w:val="0"/>
          <w:sz w:val="32"/>
        </w:rPr>
        <w:t>17.住房保障支出(类)住房改革支出(款)住房公积金(项):支出决算数为16.64万元，比上年决算增加16.64万元，增长100.00%,主要原因是：本年机构改革，2024年8月份新成立单位，无上年对比数据。</w:t>
      </w:r>
    </w:p>
    <w:p w14:paraId="55B524F5">
      <w:pPr>
        <w:spacing w:line="640" w:lineRule="exact"/>
        <w:ind w:firstLine="640"/>
        <w:jc w:val="both"/>
        <w:outlineLvl w:val="2"/>
      </w:pPr>
      <w:r>
        <w:rPr>
          <w:rFonts w:ascii="黑体" w:hAnsi="黑体" w:eastAsia="黑体"/>
          <w:sz w:val="32"/>
        </w:rPr>
        <w:t>六、一般公共预算财政拨款基本支出决算情况说明</w:t>
      </w:r>
    </w:p>
    <w:p w14:paraId="574A2B64">
      <w:pPr>
        <w:spacing w:line="580" w:lineRule="exact"/>
        <w:ind w:firstLine="640"/>
        <w:jc w:val="both"/>
      </w:pPr>
      <w:r>
        <w:rPr>
          <w:rFonts w:ascii="仿宋_GB2312" w:hAnsi="仿宋_GB2312" w:eastAsia="仿宋_GB2312"/>
          <w:b w:val="0"/>
          <w:sz w:val="32"/>
        </w:rPr>
        <w:t>2024年度一般公共预算财政拨款基本支出284.31万元，其中：</w:t>
      </w:r>
      <w:r>
        <w:rPr>
          <w:rFonts w:ascii="仿宋_GB2312" w:hAnsi="仿宋_GB2312" w:eastAsia="仿宋_GB2312"/>
          <w:b/>
          <w:sz w:val="32"/>
        </w:rPr>
        <w:t>人员经费274.15万元，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459DD545">
      <w:pPr>
        <w:spacing w:line="580" w:lineRule="exact"/>
        <w:ind w:firstLine="640"/>
        <w:jc w:val="both"/>
      </w:pPr>
      <w:r>
        <w:rPr>
          <w:rFonts w:ascii="仿宋_GB2312" w:hAnsi="仿宋_GB2312" w:eastAsia="仿宋_GB2312"/>
          <w:b/>
          <w:sz w:val="32"/>
        </w:rPr>
        <w:t>公用经费10.15万元，</w:t>
      </w:r>
      <w:r>
        <w:rPr>
          <w:rFonts w:ascii="仿宋_GB2312" w:hAnsi="仿宋_GB2312" w:eastAsia="仿宋_GB2312"/>
          <w:b w:val="0"/>
          <w:sz w:val="32"/>
        </w:rPr>
        <w:t>包括：办公费、水费、电费、取暖费、差旅费、维修（护）费、其他交通费用、其他商品和服务支出。</w:t>
      </w:r>
    </w:p>
    <w:p w14:paraId="162DF4AC">
      <w:pPr>
        <w:spacing w:line="640" w:lineRule="exact"/>
        <w:ind w:firstLine="640"/>
        <w:jc w:val="both"/>
        <w:outlineLvl w:val="2"/>
      </w:pPr>
      <w:r>
        <w:rPr>
          <w:rFonts w:ascii="黑体" w:hAnsi="黑体" w:eastAsia="黑体"/>
          <w:sz w:val="32"/>
        </w:rPr>
        <w:t>七、政府性基金预算财政拨款收入支出决算情况说明</w:t>
      </w:r>
    </w:p>
    <w:p w14:paraId="555F6B3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BE73DAA">
      <w:pPr>
        <w:spacing w:line="640" w:lineRule="exact"/>
        <w:ind w:firstLine="640"/>
        <w:jc w:val="both"/>
        <w:outlineLvl w:val="2"/>
      </w:pPr>
      <w:r>
        <w:rPr>
          <w:rFonts w:ascii="黑体" w:hAnsi="黑体" w:eastAsia="黑体"/>
          <w:sz w:val="32"/>
        </w:rPr>
        <w:t>八、国有资本经营预算财政拨款收入支出决算情况说明</w:t>
      </w:r>
    </w:p>
    <w:p w14:paraId="5F67AAC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33ABF7">
      <w:pPr>
        <w:spacing w:line="640" w:lineRule="exact"/>
        <w:ind w:firstLine="640"/>
        <w:jc w:val="both"/>
        <w:outlineLvl w:val="2"/>
      </w:pPr>
      <w:r>
        <w:rPr>
          <w:rFonts w:ascii="黑体" w:hAnsi="黑体" w:eastAsia="黑体"/>
          <w:sz w:val="32"/>
        </w:rPr>
        <w:t>九、财政拨款“三公”经费支出决算情况说明</w:t>
      </w:r>
    </w:p>
    <w:p w14:paraId="146D466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5239B849">
      <w:pPr>
        <w:spacing w:line="580" w:lineRule="exact"/>
        <w:ind w:firstLine="640"/>
        <w:jc w:val="both"/>
      </w:pPr>
      <w:r>
        <w:rPr>
          <w:rFonts w:ascii="仿宋_GB2312" w:hAnsi="仿宋_GB2312" w:eastAsia="仿宋_GB2312"/>
          <w:b/>
          <w:sz w:val="32"/>
        </w:rPr>
        <w:t>具体情况如下：</w:t>
      </w:r>
    </w:p>
    <w:p w14:paraId="78CF804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96CCD0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C8AA56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FE75A7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839D26A">
      <w:pPr>
        <w:spacing w:line="640" w:lineRule="exact"/>
        <w:ind w:firstLine="640"/>
        <w:jc w:val="both"/>
        <w:outlineLvl w:val="2"/>
      </w:pPr>
      <w:r>
        <w:rPr>
          <w:rFonts w:ascii="黑体" w:hAnsi="黑体" w:eastAsia="黑体"/>
          <w:sz w:val="32"/>
        </w:rPr>
        <w:t>十、其他重要事项的情况说明</w:t>
      </w:r>
    </w:p>
    <w:p w14:paraId="6B7BB903">
      <w:pPr>
        <w:spacing w:line="640" w:lineRule="exact"/>
        <w:ind w:firstLine="640"/>
        <w:jc w:val="both"/>
        <w:outlineLvl w:val="3"/>
      </w:pPr>
      <w:r>
        <w:rPr>
          <w:rFonts w:ascii="楷体_GB2312" w:hAnsi="楷体_GB2312" w:eastAsia="楷体_GB2312"/>
          <w:b/>
          <w:sz w:val="32"/>
        </w:rPr>
        <w:t>（一）机关运行经费及公用经费支出情况</w:t>
      </w:r>
    </w:p>
    <w:p w14:paraId="3BA5B68F">
      <w:pPr>
        <w:spacing w:line="580" w:lineRule="exact"/>
        <w:ind w:firstLine="640"/>
        <w:jc w:val="both"/>
      </w:pPr>
      <w:r>
        <w:rPr>
          <w:rFonts w:ascii="仿宋_GB2312" w:hAnsi="仿宋_GB2312" w:eastAsia="仿宋_GB2312"/>
          <w:b w:val="0"/>
          <w:sz w:val="32"/>
        </w:rPr>
        <w:t>2024年度民丰县水利局（行政单位和参照公务员法管理事业单位）机关运行经费支出10.15万元，比上年增加10.15万元，增长100.00%，主要原因是：本年机构改革，2024年8月份新成立单位，无上年对比数据。</w:t>
      </w:r>
    </w:p>
    <w:p w14:paraId="2B4346B4">
      <w:pPr>
        <w:spacing w:line="640" w:lineRule="exact"/>
        <w:ind w:firstLine="640"/>
        <w:jc w:val="both"/>
        <w:outlineLvl w:val="3"/>
      </w:pPr>
      <w:r>
        <w:rPr>
          <w:rFonts w:ascii="楷体_GB2312" w:hAnsi="楷体_GB2312" w:eastAsia="楷体_GB2312"/>
          <w:b/>
          <w:sz w:val="32"/>
        </w:rPr>
        <w:t>（二）政府采购情况</w:t>
      </w:r>
    </w:p>
    <w:p w14:paraId="3A8CEC81">
      <w:pPr>
        <w:spacing w:line="580" w:lineRule="exact"/>
        <w:ind w:firstLine="640"/>
        <w:jc w:val="both"/>
      </w:pPr>
      <w:r>
        <w:rPr>
          <w:rFonts w:ascii="仿宋_GB2312" w:hAnsi="仿宋_GB2312" w:eastAsia="仿宋_GB2312"/>
          <w:b w:val="0"/>
          <w:sz w:val="32"/>
        </w:rPr>
        <w:t>2024年度政府采购支出总额4.41万元，其中：政府采购货物支出1.49万元、政府采购工程支出2.09万元、政府采购服务支出0.83万元。</w:t>
      </w:r>
    </w:p>
    <w:p w14:paraId="3483F029">
      <w:pPr>
        <w:spacing w:line="580" w:lineRule="exact"/>
        <w:ind w:firstLine="640"/>
        <w:jc w:val="both"/>
      </w:pPr>
      <w:r>
        <w:rPr>
          <w:rFonts w:ascii="仿宋_GB2312" w:hAnsi="仿宋_GB2312" w:eastAsia="仿宋_GB2312"/>
          <w:b w:val="0"/>
          <w:sz w:val="32"/>
        </w:rPr>
        <w:t>授予中小企业合同金额4.41万元，占政府采购支出总额的100.00%，其中：授予小微企业合同金额4.41万元，占政府采购支出总额的100.00%。</w:t>
      </w:r>
    </w:p>
    <w:p w14:paraId="04A8701A">
      <w:pPr>
        <w:spacing w:line="640" w:lineRule="exact"/>
        <w:ind w:firstLine="640"/>
        <w:jc w:val="both"/>
        <w:outlineLvl w:val="3"/>
      </w:pPr>
      <w:r>
        <w:rPr>
          <w:rFonts w:ascii="楷体_GB2312" w:hAnsi="楷体_GB2312" w:eastAsia="楷体_GB2312"/>
          <w:b/>
          <w:sz w:val="32"/>
        </w:rPr>
        <w:t>（三）国有资产占用情况说明</w:t>
      </w:r>
    </w:p>
    <w:p w14:paraId="7DFA739E">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B1BED75">
      <w:pPr>
        <w:spacing w:line="640" w:lineRule="exact"/>
        <w:ind w:firstLine="640"/>
        <w:jc w:val="both"/>
        <w:outlineLvl w:val="2"/>
      </w:pPr>
      <w:r>
        <w:rPr>
          <w:rFonts w:ascii="黑体" w:hAnsi="黑体" w:eastAsia="黑体"/>
          <w:sz w:val="32"/>
        </w:rPr>
        <w:t>十一、预算绩效的情况说明</w:t>
      </w:r>
    </w:p>
    <w:p w14:paraId="554CA4AB">
      <w:pPr>
        <w:spacing w:line="580" w:lineRule="exact"/>
        <w:ind w:firstLine="640"/>
        <w:jc w:val="both"/>
      </w:pPr>
      <w:r>
        <w:rPr>
          <w:rFonts w:ascii="仿宋_GB2312" w:hAnsi="仿宋_GB2312" w:eastAsia="仿宋_GB2312"/>
          <w:b w:val="0"/>
          <w:sz w:val="32"/>
        </w:rPr>
        <w:t>根据预算绩效管理要求，本单位预算绩效评价项目6个，全年预算数63,097.83万元，全年执行数38,089.87万元。预算绩效管理取得的成效：一是预算编制更精准，通过绩效目标设定，结合工作实际细化支出，资金投向更贴合需求，浪费现象减少。二是资金使用效率提升，绩效监控及时发现并纠正偏差，确保经费花在刀刃上，行政运行成本降低。三是管理责任强化，明确各环节职责，考核结果与后续预算挂钩，倒逼规范用钱。四是透明度提高，绩效信息公开接受监督，提升了公众对办公经费使用的信任度，为高效行政提供有力支撑。发现的问题及原因：一是绩效目标设定不够科学，部分目标与实际工作关联度低，量化指标少，难以有效衡量成效。二是绩效监控力度不足，多为事后评价，过程中动态调整机制不健全，难以及时纠偏。三是评价结果应用不充分，与预算分配、责任人考核的挂钩不够紧密，激励约束作用弱化。四是部分人员绩效意识薄弱，重支出执行、轻效益评估，影响管理成效提升。下一步改进措施：一是优化绩效目标设定，结合工作实际细化量化指标，增强目标与业务的关联性和可衡量性。二是强化全流程绩效监控，建立动态跟踪机制，定期分析预算执行与绩效目标偏差，及时采取调整措施。三是深化评价结果应用，将评价结果与预算分配、部门考核、责任人奖惩直接挂钩，形成激励约束闭环。四是加强绩效管理培训，提升全员绩效意识和专业能力，推动从“重支出”向“重效益”转变，提升办公经费管理水平。具体附项目支出绩效自评表和评价报告。</w:t>
      </w:r>
    </w:p>
    <w:p w14:paraId="4617EED6">
      <w:r>
        <w:br w:type="page"/>
      </w:r>
    </w:p>
    <w:tbl>
      <w:tblPr>
        <w:tblStyle w:val="9"/>
        <w:tblW w:w="0" w:type="auto"/>
        <w:tblInd w:w="-425" w:type="dxa"/>
        <w:tblLayout w:type="fixed"/>
        <w:tblCellMar>
          <w:top w:w="0" w:type="dxa"/>
          <w:left w:w="108" w:type="dxa"/>
          <w:bottom w:w="0" w:type="dxa"/>
          <w:right w:w="108" w:type="dxa"/>
        </w:tblCellMar>
      </w:tblPr>
      <w:tblGrid>
        <w:gridCol w:w="953"/>
        <w:gridCol w:w="1249"/>
        <w:gridCol w:w="1176"/>
        <w:gridCol w:w="1175"/>
        <w:gridCol w:w="940"/>
        <w:gridCol w:w="977"/>
        <w:gridCol w:w="836"/>
        <w:gridCol w:w="983"/>
        <w:gridCol w:w="983"/>
      </w:tblGrid>
      <w:tr w14:paraId="02C17117">
        <w:tblPrEx>
          <w:tblCellMar>
            <w:top w:w="0" w:type="dxa"/>
            <w:left w:w="108" w:type="dxa"/>
            <w:bottom w:w="0" w:type="dxa"/>
            <w:right w:w="108" w:type="dxa"/>
          </w:tblCellMar>
        </w:tblPrEx>
        <w:tc>
          <w:tcPr>
            <w:tcW w:w="9272" w:type="dxa"/>
            <w:gridSpan w:val="9"/>
            <w:vAlign w:val="center"/>
          </w:tcPr>
          <w:p w14:paraId="741D8632">
            <w:pPr>
              <w:jc w:val="center"/>
            </w:pPr>
            <w:r>
              <w:rPr>
                <w:rFonts w:ascii="宋体" w:hAnsi="宋体" w:eastAsia="宋体"/>
                <w:sz w:val="24"/>
              </w:rPr>
              <w:t>项目支出绩效自评表</w:t>
            </w:r>
          </w:p>
        </w:tc>
      </w:tr>
      <w:tr w14:paraId="2D4F8CDB">
        <w:tblPrEx>
          <w:tblCellMar>
            <w:top w:w="0" w:type="dxa"/>
            <w:left w:w="108" w:type="dxa"/>
            <w:bottom w:w="0" w:type="dxa"/>
            <w:right w:w="108" w:type="dxa"/>
          </w:tblCellMar>
        </w:tblPrEx>
        <w:tc>
          <w:tcPr>
            <w:tcW w:w="9272" w:type="dxa"/>
            <w:gridSpan w:val="9"/>
            <w:vAlign w:val="center"/>
          </w:tcPr>
          <w:p w14:paraId="3C9B9DCF">
            <w:pPr>
              <w:jc w:val="center"/>
            </w:pPr>
            <w:r>
              <w:rPr>
                <w:rFonts w:ascii="宋体" w:hAnsi="宋体" w:eastAsia="宋体"/>
                <w:sz w:val="24"/>
              </w:rPr>
              <w:t>(2024年度)</w:t>
            </w:r>
          </w:p>
        </w:tc>
      </w:tr>
      <w:tr w14:paraId="4AFEC6FF">
        <w:tblPrEx>
          <w:tblCellMar>
            <w:top w:w="0" w:type="dxa"/>
            <w:left w:w="108" w:type="dxa"/>
            <w:bottom w:w="0" w:type="dxa"/>
            <w:right w:w="108" w:type="dxa"/>
          </w:tblCellMar>
        </w:tblPrEx>
        <w:tc>
          <w:tcPr>
            <w:tcW w:w="953" w:type="dxa"/>
            <w:tcBorders>
              <w:top w:val="single" w:color="auto" w:sz="10" w:space="0"/>
              <w:left w:val="single" w:color="auto" w:sz="10" w:space="0"/>
              <w:bottom w:val="single" w:color="auto" w:sz="10" w:space="0"/>
              <w:right w:val="single" w:color="auto" w:sz="10" w:space="0"/>
              <w:insideV w:val="single" w:sz="10" w:space="0"/>
            </w:tcBorders>
            <w:vAlign w:val="center"/>
          </w:tcPr>
          <w:p w14:paraId="341EECB5">
            <w:pPr>
              <w:jc w:val="center"/>
            </w:pPr>
            <w:r>
              <w:rPr>
                <w:rFonts w:ascii="宋体" w:hAnsi="宋体" w:eastAsia="宋体"/>
                <w:sz w:val="16"/>
              </w:rPr>
              <w:t>项目名称</w:t>
            </w:r>
          </w:p>
        </w:tc>
        <w:tc>
          <w:tcPr>
            <w:tcW w:w="8319"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C4D5EE">
            <w:pPr>
              <w:jc w:val="center"/>
            </w:pPr>
            <w:r>
              <w:rPr>
                <w:rFonts w:ascii="宋体" w:hAnsi="宋体" w:eastAsia="宋体"/>
                <w:sz w:val="16"/>
              </w:rPr>
              <w:t>和田地区民丰县安迪尔中型灌区续建配套与节水改造工程</w:t>
            </w:r>
          </w:p>
        </w:tc>
      </w:tr>
      <w:tr w14:paraId="1AED121E">
        <w:tblPrEx>
          <w:tblCellMar>
            <w:top w:w="0" w:type="dxa"/>
            <w:left w:w="108" w:type="dxa"/>
            <w:bottom w:w="0" w:type="dxa"/>
            <w:right w:w="108" w:type="dxa"/>
          </w:tblCellMar>
        </w:tblPrEx>
        <w:tc>
          <w:tcPr>
            <w:tcW w:w="953" w:type="dxa"/>
            <w:tcBorders>
              <w:top w:val="single" w:color="auto" w:sz="10" w:space="0"/>
              <w:left w:val="single" w:color="auto" w:sz="10" w:space="0"/>
              <w:bottom w:val="single" w:color="auto" w:sz="10" w:space="0"/>
              <w:right w:val="single" w:color="auto" w:sz="10" w:space="0"/>
              <w:insideV w:val="single" w:sz="10" w:space="0"/>
            </w:tcBorders>
            <w:vAlign w:val="center"/>
          </w:tcPr>
          <w:p w14:paraId="229F9C62">
            <w:pPr>
              <w:jc w:val="center"/>
            </w:pPr>
            <w:r>
              <w:rPr>
                <w:rFonts w:ascii="宋体" w:hAnsi="宋体" w:eastAsia="宋体"/>
                <w:sz w:val="16"/>
              </w:rPr>
              <w:t>主管部门</w:t>
            </w:r>
          </w:p>
        </w:tc>
        <w:tc>
          <w:tcPr>
            <w:tcW w:w="360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9D804B">
            <w:pPr>
              <w:jc w:val="center"/>
            </w:pPr>
            <w:r>
              <w:rPr>
                <w:rFonts w:ascii="宋体" w:hAnsi="宋体" w:eastAsia="宋体"/>
                <w:sz w:val="16"/>
              </w:rPr>
              <w:t>民丰县水利局</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044B79D5">
            <w:pPr>
              <w:jc w:val="center"/>
            </w:pPr>
            <w:r>
              <w:rPr>
                <w:rFonts w:ascii="宋体" w:hAnsi="宋体" w:eastAsia="宋体"/>
                <w:sz w:val="16"/>
              </w:rPr>
              <w:t>实施单位</w:t>
            </w:r>
          </w:p>
        </w:tc>
        <w:tc>
          <w:tcPr>
            <w:tcW w:w="377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7EFB97">
            <w:pPr>
              <w:jc w:val="center"/>
            </w:pPr>
            <w:r>
              <w:rPr>
                <w:rFonts w:ascii="宋体" w:hAnsi="宋体" w:eastAsia="宋体"/>
                <w:sz w:val="16"/>
              </w:rPr>
              <w:t>民丰县水利局</w:t>
            </w:r>
          </w:p>
        </w:tc>
      </w:tr>
      <w:tr w14:paraId="32AA6B63">
        <w:tblPrEx>
          <w:tblCellMar>
            <w:top w:w="0" w:type="dxa"/>
            <w:left w:w="108" w:type="dxa"/>
            <w:bottom w:w="0" w:type="dxa"/>
            <w:right w:w="108" w:type="dxa"/>
          </w:tblCellMar>
        </w:tblPrEx>
        <w:tc>
          <w:tcPr>
            <w:tcW w:w="95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B90F6">
            <w:pPr>
              <w:jc w:val="center"/>
            </w:pPr>
            <w:r>
              <w:rPr>
                <w:rFonts w:ascii="宋体" w:hAnsi="宋体" w:eastAsia="宋体"/>
                <w:sz w:val="16"/>
              </w:rPr>
              <w:t>项目资金 （万元）</w:t>
            </w:r>
          </w:p>
        </w:tc>
        <w:tc>
          <w:tcPr>
            <w:tcW w:w="24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73BB9">
            <w:pPr>
              <w:jc w:val="center"/>
            </w:pPr>
          </w:p>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43DDAB02">
            <w:pPr>
              <w:jc w:val="center"/>
            </w:pPr>
            <w:r>
              <w:rPr>
                <w:rFonts w:ascii="宋体" w:hAnsi="宋体" w:eastAsia="宋体"/>
                <w:sz w:val="16"/>
              </w:rPr>
              <w:t>年初预算数</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3957F07A">
            <w:pPr>
              <w:jc w:val="center"/>
            </w:pPr>
            <w:r>
              <w:rPr>
                <w:rFonts w:ascii="宋体" w:hAnsi="宋体" w:eastAsia="宋体"/>
                <w:sz w:val="16"/>
              </w:rPr>
              <w:t>全年预算数</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77C0BBF0">
            <w:pPr>
              <w:jc w:val="center"/>
            </w:pPr>
            <w:r>
              <w:rPr>
                <w:rFonts w:ascii="宋体" w:hAnsi="宋体" w:eastAsia="宋体"/>
                <w:sz w:val="16"/>
              </w:rPr>
              <w:t>全年执行数</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31450B1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A22A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D8C8C">
            <w:pPr>
              <w:jc w:val="center"/>
            </w:pPr>
            <w:r>
              <w:rPr>
                <w:rFonts w:ascii="宋体" w:hAnsi="宋体" w:eastAsia="宋体"/>
                <w:sz w:val="16"/>
              </w:rPr>
              <w:t>得分</w:t>
            </w:r>
          </w:p>
        </w:tc>
      </w:tr>
      <w:tr w14:paraId="71D2BC2F">
        <w:tblPrEx>
          <w:tblCellMar>
            <w:top w:w="0" w:type="dxa"/>
            <w:left w:w="108" w:type="dxa"/>
            <w:bottom w:w="0" w:type="dxa"/>
            <w:right w:w="108" w:type="dxa"/>
          </w:tblCellMar>
        </w:tblPrEx>
        <w:tc>
          <w:tcPr>
            <w:tcW w:w="953" w:type="dxa"/>
            <w:vMerge w:val="continue"/>
            <w:tcBorders>
              <w:top w:val="single" w:color="auto" w:sz="10" w:space="0"/>
              <w:left w:val="single" w:color="auto" w:sz="10" w:space="0"/>
              <w:bottom w:val="single" w:color="auto" w:sz="10" w:space="0"/>
              <w:right w:val="single" w:color="auto" w:sz="10" w:space="0"/>
              <w:insideV w:val="single" w:sz="10" w:space="0"/>
            </w:tcBorders>
          </w:tcPr>
          <w:p w14:paraId="1159E38E"/>
        </w:tc>
        <w:tc>
          <w:tcPr>
            <w:tcW w:w="24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4BF1F">
            <w:pPr>
              <w:jc w:val="center"/>
            </w:pPr>
            <w:r>
              <w:rPr>
                <w:rFonts w:ascii="宋体" w:hAnsi="宋体" w:eastAsia="宋体"/>
                <w:sz w:val="16"/>
              </w:rPr>
              <w:t>年度资金总额</w:t>
            </w:r>
          </w:p>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3E474106">
            <w:pPr>
              <w:jc w:val="center"/>
            </w:pPr>
            <w:r>
              <w:rPr>
                <w:rFonts w:ascii="宋体" w:hAnsi="宋体" w:eastAsia="宋体"/>
                <w:sz w:val="16"/>
              </w:rPr>
              <w:t>6,390.00</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7C38D73D">
            <w:pPr>
              <w:jc w:val="center"/>
            </w:pPr>
            <w:r>
              <w:rPr>
                <w:rFonts w:ascii="宋体" w:hAnsi="宋体" w:eastAsia="宋体"/>
                <w:sz w:val="16"/>
              </w:rPr>
              <w:t>6,390.00</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3F17816B">
            <w:pPr>
              <w:jc w:val="center"/>
            </w:pPr>
            <w:r>
              <w:rPr>
                <w:rFonts w:ascii="宋体" w:hAnsi="宋体" w:eastAsia="宋体"/>
                <w:sz w:val="16"/>
              </w:rPr>
              <w:t>5,600.00</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61C353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5FACD">
            <w:pPr>
              <w:jc w:val="center"/>
            </w:pPr>
            <w:r>
              <w:rPr>
                <w:rFonts w:ascii="宋体" w:hAnsi="宋体" w:eastAsia="宋体"/>
                <w:sz w:val="16"/>
              </w:rPr>
              <w:t xml:space="preserve">87.64%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C8FA2">
            <w:pPr>
              <w:jc w:val="center"/>
            </w:pPr>
            <w:r>
              <w:rPr>
                <w:rFonts w:ascii="宋体" w:hAnsi="宋体" w:eastAsia="宋体"/>
                <w:sz w:val="16"/>
              </w:rPr>
              <w:t>6.91分</w:t>
            </w:r>
          </w:p>
        </w:tc>
      </w:tr>
      <w:tr w14:paraId="76BE84AA">
        <w:tblPrEx>
          <w:tblCellMar>
            <w:top w:w="0" w:type="dxa"/>
            <w:left w:w="108" w:type="dxa"/>
            <w:bottom w:w="0" w:type="dxa"/>
            <w:right w:w="108" w:type="dxa"/>
          </w:tblCellMar>
        </w:tblPrEx>
        <w:tc>
          <w:tcPr>
            <w:tcW w:w="953" w:type="dxa"/>
            <w:vMerge w:val="continue"/>
            <w:tcBorders>
              <w:top w:val="single" w:color="auto" w:sz="10" w:space="0"/>
              <w:left w:val="single" w:color="auto" w:sz="10" w:space="0"/>
              <w:bottom w:val="single" w:color="auto" w:sz="10" w:space="0"/>
              <w:right w:val="single" w:color="auto" w:sz="10" w:space="0"/>
              <w:insideV w:val="single" w:sz="10" w:space="0"/>
            </w:tcBorders>
          </w:tcPr>
          <w:p w14:paraId="6D0FBC0D"/>
        </w:tc>
        <w:tc>
          <w:tcPr>
            <w:tcW w:w="24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0E238">
            <w:pPr>
              <w:jc w:val="center"/>
            </w:pPr>
            <w:r>
              <w:rPr>
                <w:rFonts w:ascii="宋体" w:hAnsi="宋体" w:eastAsia="宋体"/>
                <w:sz w:val="16"/>
              </w:rPr>
              <w:t>其中：当年财政拨款</w:t>
            </w:r>
          </w:p>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438B4265">
            <w:pPr>
              <w:jc w:val="center"/>
            </w:pPr>
            <w:r>
              <w:rPr>
                <w:rFonts w:ascii="宋体" w:hAnsi="宋体" w:eastAsia="宋体"/>
                <w:sz w:val="16"/>
              </w:rPr>
              <w:t>6,390.00</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314C8FFA">
            <w:pPr>
              <w:jc w:val="center"/>
            </w:pPr>
            <w:r>
              <w:rPr>
                <w:rFonts w:ascii="宋体" w:hAnsi="宋体" w:eastAsia="宋体"/>
                <w:sz w:val="16"/>
              </w:rPr>
              <w:t>6,390.00</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24E6DF99">
            <w:pPr>
              <w:jc w:val="center"/>
            </w:pPr>
            <w:r>
              <w:rPr>
                <w:rFonts w:ascii="宋体" w:hAnsi="宋体" w:eastAsia="宋体"/>
                <w:sz w:val="16"/>
              </w:rPr>
              <w:t>5,600.00</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02AA2B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DB86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FC51B">
            <w:pPr>
              <w:jc w:val="center"/>
            </w:pPr>
            <w:r>
              <w:rPr>
                <w:rFonts w:ascii="宋体" w:hAnsi="宋体" w:eastAsia="宋体"/>
                <w:sz w:val="16"/>
              </w:rPr>
              <w:t>—</w:t>
            </w:r>
          </w:p>
        </w:tc>
      </w:tr>
      <w:tr w14:paraId="6865F504">
        <w:tblPrEx>
          <w:tblCellMar>
            <w:top w:w="0" w:type="dxa"/>
            <w:left w:w="108" w:type="dxa"/>
            <w:bottom w:w="0" w:type="dxa"/>
            <w:right w:w="108" w:type="dxa"/>
          </w:tblCellMar>
        </w:tblPrEx>
        <w:tc>
          <w:tcPr>
            <w:tcW w:w="953" w:type="dxa"/>
            <w:vMerge w:val="continue"/>
            <w:tcBorders>
              <w:top w:val="single" w:color="auto" w:sz="10" w:space="0"/>
              <w:left w:val="single" w:color="auto" w:sz="10" w:space="0"/>
              <w:bottom w:val="single" w:color="auto" w:sz="10" w:space="0"/>
              <w:right w:val="single" w:color="auto" w:sz="10" w:space="0"/>
              <w:insideV w:val="single" w:sz="10" w:space="0"/>
            </w:tcBorders>
          </w:tcPr>
          <w:p w14:paraId="087348BB"/>
        </w:tc>
        <w:tc>
          <w:tcPr>
            <w:tcW w:w="24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B9A59">
            <w:pPr>
              <w:jc w:val="center"/>
            </w:pPr>
            <w:r>
              <w:rPr>
                <w:rFonts w:ascii="宋体" w:hAnsi="宋体" w:eastAsia="宋体"/>
                <w:sz w:val="16"/>
              </w:rPr>
              <w:t xml:space="preserve">      上年结转资金</w:t>
            </w:r>
          </w:p>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2AB60A82">
            <w:pPr>
              <w:jc w:val="center"/>
            </w:pPr>
            <w:r>
              <w:rPr>
                <w:rFonts w:ascii="宋体" w:hAnsi="宋体" w:eastAsia="宋体"/>
                <w:sz w:val="16"/>
              </w:rPr>
              <w:t>0.00</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3823D11E">
            <w:pPr>
              <w:jc w:val="center"/>
            </w:pPr>
            <w:r>
              <w:rPr>
                <w:rFonts w:ascii="宋体" w:hAnsi="宋体" w:eastAsia="宋体"/>
                <w:sz w:val="16"/>
              </w:rPr>
              <w:t>0.00</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7AF75F54">
            <w:pPr>
              <w:jc w:val="center"/>
            </w:pPr>
            <w:r>
              <w:rPr>
                <w:rFonts w:ascii="宋体" w:hAnsi="宋体" w:eastAsia="宋体"/>
                <w:sz w:val="16"/>
              </w:rPr>
              <w:t>0.00</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0271C4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682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06BF9">
            <w:pPr>
              <w:jc w:val="center"/>
            </w:pPr>
            <w:r>
              <w:rPr>
                <w:rFonts w:ascii="宋体" w:hAnsi="宋体" w:eastAsia="宋体"/>
                <w:sz w:val="16"/>
              </w:rPr>
              <w:t>—</w:t>
            </w:r>
          </w:p>
        </w:tc>
      </w:tr>
      <w:tr w14:paraId="33F2022F">
        <w:tblPrEx>
          <w:tblCellMar>
            <w:top w:w="0" w:type="dxa"/>
            <w:left w:w="108" w:type="dxa"/>
            <w:bottom w:w="0" w:type="dxa"/>
            <w:right w:w="108" w:type="dxa"/>
          </w:tblCellMar>
        </w:tblPrEx>
        <w:tc>
          <w:tcPr>
            <w:tcW w:w="953" w:type="dxa"/>
            <w:vMerge w:val="continue"/>
            <w:tcBorders>
              <w:top w:val="single" w:color="auto" w:sz="10" w:space="0"/>
              <w:left w:val="single" w:color="auto" w:sz="10" w:space="0"/>
              <w:bottom w:val="single" w:color="auto" w:sz="10" w:space="0"/>
              <w:right w:val="single" w:color="auto" w:sz="10" w:space="0"/>
              <w:insideV w:val="single" w:sz="10" w:space="0"/>
            </w:tcBorders>
          </w:tcPr>
          <w:p w14:paraId="21FE1DED"/>
        </w:tc>
        <w:tc>
          <w:tcPr>
            <w:tcW w:w="24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E50E8">
            <w:pPr>
              <w:jc w:val="center"/>
            </w:pPr>
            <w:r>
              <w:rPr>
                <w:rFonts w:ascii="宋体" w:hAnsi="宋体" w:eastAsia="宋体"/>
                <w:sz w:val="16"/>
              </w:rPr>
              <w:t xml:space="preserve">  其他资金</w:t>
            </w:r>
          </w:p>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36D45D8F">
            <w:pPr>
              <w:jc w:val="center"/>
            </w:pPr>
            <w:r>
              <w:rPr>
                <w:rFonts w:ascii="宋体" w:hAnsi="宋体" w:eastAsia="宋体"/>
                <w:sz w:val="16"/>
              </w:rPr>
              <w:t>0.00</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4C0A3DB7">
            <w:pPr>
              <w:jc w:val="center"/>
            </w:pPr>
            <w:r>
              <w:rPr>
                <w:rFonts w:ascii="宋体" w:hAnsi="宋体" w:eastAsia="宋体"/>
                <w:sz w:val="16"/>
              </w:rPr>
              <w:t>0.00</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0DAF514D">
            <w:pPr>
              <w:jc w:val="center"/>
            </w:pPr>
            <w:r>
              <w:rPr>
                <w:rFonts w:ascii="宋体" w:hAnsi="宋体" w:eastAsia="宋体"/>
                <w:sz w:val="16"/>
              </w:rPr>
              <w:t>0.00</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66BEF9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A5D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59244">
            <w:pPr>
              <w:jc w:val="center"/>
            </w:pPr>
            <w:r>
              <w:rPr>
                <w:rFonts w:ascii="宋体" w:hAnsi="宋体" w:eastAsia="宋体"/>
                <w:sz w:val="16"/>
              </w:rPr>
              <w:t>—</w:t>
            </w:r>
          </w:p>
        </w:tc>
      </w:tr>
      <w:tr w14:paraId="34110701">
        <w:tblPrEx>
          <w:tblCellMar>
            <w:top w:w="0" w:type="dxa"/>
            <w:left w:w="108" w:type="dxa"/>
            <w:bottom w:w="0" w:type="dxa"/>
            <w:right w:w="108" w:type="dxa"/>
          </w:tblCellMar>
        </w:tblPrEx>
        <w:tc>
          <w:tcPr>
            <w:tcW w:w="95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443B2">
            <w:pPr>
              <w:jc w:val="center"/>
            </w:pPr>
            <w:r>
              <w:rPr>
                <w:rFonts w:ascii="宋体" w:hAnsi="宋体" w:eastAsia="宋体"/>
                <w:sz w:val="16"/>
              </w:rPr>
              <w:t>年度总体目标</w:t>
            </w:r>
          </w:p>
        </w:tc>
        <w:tc>
          <w:tcPr>
            <w:tcW w:w="360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B66BAE">
            <w:pPr>
              <w:jc w:val="center"/>
            </w:pPr>
            <w:r>
              <w:rPr>
                <w:rFonts w:ascii="宋体" w:hAnsi="宋体" w:eastAsia="宋体"/>
                <w:sz w:val="16"/>
              </w:rPr>
              <w:t>预期目标</w:t>
            </w:r>
          </w:p>
        </w:tc>
        <w:tc>
          <w:tcPr>
            <w:tcW w:w="471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3A9CE0">
            <w:pPr>
              <w:jc w:val="center"/>
            </w:pPr>
            <w:r>
              <w:rPr>
                <w:rFonts w:ascii="宋体" w:hAnsi="宋体" w:eastAsia="宋体"/>
                <w:sz w:val="16"/>
              </w:rPr>
              <w:t>实际完成情况</w:t>
            </w:r>
          </w:p>
        </w:tc>
      </w:tr>
      <w:tr w14:paraId="05A4D225">
        <w:tblPrEx>
          <w:tblCellMar>
            <w:top w:w="0" w:type="dxa"/>
            <w:left w:w="108" w:type="dxa"/>
            <w:bottom w:w="0" w:type="dxa"/>
            <w:right w:w="108" w:type="dxa"/>
          </w:tblCellMar>
        </w:tblPrEx>
        <w:tc>
          <w:tcPr>
            <w:tcW w:w="953" w:type="dxa"/>
            <w:vMerge w:val="continue"/>
            <w:tcBorders>
              <w:top w:val="single" w:color="auto" w:sz="10" w:space="0"/>
              <w:left w:val="single" w:color="auto" w:sz="10" w:space="0"/>
              <w:bottom w:val="single" w:color="auto" w:sz="10" w:space="0"/>
              <w:right w:val="single" w:color="auto" w:sz="10" w:space="0"/>
              <w:insideV w:val="single" w:sz="10" w:space="0"/>
            </w:tcBorders>
          </w:tcPr>
          <w:p w14:paraId="2F009D92"/>
        </w:tc>
        <w:tc>
          <w:tcPr>
            <w:tcW w:w="360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0152A1">
            <w:pPr>
              <w:jc w:val="both"/>
            </w:pPr>
            <w:r>
              <w:rPr>
                <w:rFonts w:ascii="宋体" w:hAnsi="宋体" w:eastAsia="宋体"/>
                <w:sz w:val="16"/>
              </w:rPr>
              <w:t>根据项目实施方案实施本项目。本次工程任务是实现民丰县安迪尔灌区农业灌溉管道化，提高安迪尔灌区地表水水资源配置能力，节水节能。骨干输水工程：新建输水管道 3 条，新建灌区输水干管长度27.91公里。加强水权交易平台和制度建设</w:t>
            </w:r>
          </w:p>
        </w:tc>
        <w:tc>
          <w:tcPr>
            <w:tcW w:w="471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C809E8">
            <w:pPr>
              <w:jc w:val="both"/>
            </w:pPr>
            <w:r>
              <w:rPr>
                <w:rFonts w:ascii="宋体" w:hAnsi="宋体" w:eastAsia="宋体"/>
                <w:sz w:val="16"/>
              </w:rPr>
              <w:br w:type="textWrapping"/>
            </w:r>
            <w:r>
              <w:rPr>
                <w:rFonts w:ascii="宋体" w:hAnsi="宋体" w:eastAsia="宋体"/>
                <w:sz w:val="16"/>
              </w:rPr>
              <w:t>根据项目实施方案实施本项目。本次工程任务是实现民丰县安迪尔灌区农业灌溉管道化，提高安迪尔灌区地表水水资源配置能力，节水节能。骨干输水工程：新建输水管道 3 条，新建灌区输水干管长度27.91公里。加强水权交易平台和制度建设</w:t>
            </w:r>
          </w:p>
        </w:tc>
      </w:tr>
      <w:tr w14:paraId="7A47D2B6">
        <w:tblPrEx>
          <w:tblCellMar>
            <w:top w:w="0" w:type="dxa"/>
            <w:left w:w="108" w:type="dxa"/>
            <w:bottom w:w="0" w:type="dxa"/>
            <w:right w:w="108" w:type="dxa"/>
          </w:tblCellMar>
        </w:tblPrEx>
        <w:tc>
          <w:tcPr>
            <w:tcW w:w="953" w:type="dxa"/>
            <w:tcBorders>
              <w:top w:val="single" w:color="auto" w:sz="10" w:space="0"/>
              <w:left w:val="single" w:color="auto" w:sz="10" w:space="0"/>
              <w:bottom w:val="single" w:color="auto" w:sz="10" w:space="0"/>
              <w:right w:val="single" w:color="auto" w:sz="10" w:space="0"/>
              <w:insideV w:val="single" w:sz="10" w:space="0"/>
            </w:tcBorders>
          </w:tcPr>
          <w:p w14:paraId="7103F044"/>
        </w:tc>
        <w:tc>
          <w:tcPr>
            <w:tcW w:w="1249" w:type="dxa"/>
            <w:tcBorders>
              <w:top w:val="single" w:color="auto" w:sz="10" w:space="0"/>
              <w:left w:val="single" w:color="auto" w:sz="10" w:space="0"/>
              <w:bottom w:val="single" w:color="auto" w:sz="10" w:space="0"/>
              <w:right w:val="single" w:color="auto" w:sz="10" w:space="0"/>
              <w:insideV w:val="single" w:sz="10" w:space="0"/>
            </w:tcBorders>
            <w:vAlign w:val="center"/>
          </w:tcPr>
          <w:p w14:paraId="584B95C1">
            <w:pPr>
              <w:jc w:val="center"/>
            </w:pPr>
            <w:r>
              <w:rPr>
                <w:rFonts w:ascii="宋体" w:hAnsi="宋体" w:eastAsia="宋体"/>
                <w:sz w:val="16"/>
              </w:rPr>
              <w:t>一级指标</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14:paraId="45087288">
            <w:pPr>
              <w:jc w:val="center"/>
            </w:pPr>
            <w:r>
              <w:rPr>
                <w:rFonts w:ascii="宋体" w:hAnsi="宋体" w:eastAsia="宋体"/>
                <w:sz w:val="16"/>
              </w:rPr>
              <w:t>二级指标</w:t>
            </w:r>
          </w:p>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73DFD7A5">
            <w:pPr>
              <w:jc w:val="center"/>
            </w:pPr>
            <w:r>
              <w:rPr>
                <w:rFonts w:ascii="宋体" w:hAnsi="宋体" w:eastAsia="宋体"/>
                <w:sz w:val="16"/>
              </w:rPr>
              <w:t>三级指标</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4105351C">
            <w:pPr>
              <w:jc w:val="center"/>
            </w:pPr>
            <w:r>
              <w:rPr>
                <w:rFonts w:ascii="宋体" w:hAnsi="宋体" w:eastAsia="宋体"/>
                <w:sz w:val="16"/>
              </w:rPr>
              <w:t>年度指标值</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2E488EE2">
            <w:pPr>
              <w:jc w:val="center"/>
            </w:pPr>
            <w:r>
              <w:rPr>
                <w:rFonts w:ascii="宋体" w:hAnsi="宋体" w:eastAsia="宋体"/>
                <w:sz w:val="16"/>
              </w:rPr>
              <w:t>实际完成值</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3827953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DCE8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3F22F">
            <w:pPr>
              <w:jc w:val="center"/>
            </w:pPr>
            <w:r>
              <w:rPr>
                <w:rFonts w:ascii="宋体" w:hAnsi="宋体" w:eastAsia="宋体"/>
                <w:sz w:val="16"/>
              </w:rPr>
              <w:t>偏差原因分析及改进措施</w:t>
            </w:r>
          </w:p>
        </w:tc>
      </w:tr>
      <w:tr w14:paraId="7BA0B633">
        <w:tblPrEx>
          <w:tblCellMar>
            <w:top w:w="0" w:type="dxa"/>
            <w:left w:w="108" w:type="dxa"/>
            <w:bottom w:w="0" w:type="dxa"/>
            <w:right w:w="108" w:type="dxa"/>
          </w:tblCellMar>
        </w:tblPrEx>
        <w:tc>
          <w:tcPr>
            <w:tcW w:w="95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01EA3">
            <w:pPr>
              <w:jc w:val="center"/>
            </w:pPr>
            <w:r>
              <w:rPr>
                <w:rFonts w:ascii="宋体" w:hAnsi="宋体" w:eastAsia="宋体"/>
                <w:sz w:val="16"/>
              </w:rPr>
              <w:t>年度绩效指标完成情况</w:t>
            </w:r>
          </w:p>
        </w:tc>
        <w:tc>
          <w:tcPr>
            <w:tcW w:w="124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68A01">
            <w:pPr>
              <w:jc w:val="center"/>
            </w:pPr>
            <w:r>
              <w:rPr>
                <w:rFonts w:ascii="宋体" w:hAnsi="宋体" w:eastAsia="宋体"/>
                <w:sz w:val="16"/>
              </w:rPr>
              <w:t>产出指标</w:t>
            </w:r>
          </w:p>
        </w:tc>
        <w:tc>
          <w:tcPr>
            <w:tcW w:w="11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409F2">
            <w:pPr>
              <w:jc w:val="center"/>
            </w:pPr>
            <w:r>
              <w:rPr>
                <w:rFonts w:ascii="宋体" w:hAnsi="宋体" w:eastAsia="宋体"/>
                <w:sz w:val="16"/>
              </w:rPr>
              <w:t>数量指标</w:t>
            </w:r>
          </w:p>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04E4A45F">
            <w:pPr>
              <w:jc w:val="center"/>
            </w:pPr>
            <w:r>
              <w:rPr>
                <w:rFonts w:ascii="宋体" w:hAnsi="宋体" w:eastAsia="宋体"/>
                <w:sz w:val="16"/>
              </w:rPr>
              <w:t>新建灌区输水干管数量</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4A74B504">
            <w:pPr>
              <w:jc w:val="center"/>
            </w:pPr>
            <w:r>
              <w:rPr>
                <w:rFonts w:ascii="宋体" w:hAnsi="宋体" w:eastAsia="宋体"/>
                <w:sz w:val="16"/>
              </w:rPr>
              <w:t>=3条</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22493B16">
            <w:pPr>
              <w:jc w:val="center"/>
            </w:pPr>
            <w:r>
              <w:rPr>
                <w:rFonts w:ascii="宋体" w:hAnsi="宋体" w:eastAsia="宋体"/>
                <w:sz w:val="16"/>
              </w:rPr>
              <w:t>=3条</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65CFFC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F26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4CFFC">
            <w:pPr>
              <w:jc w:val="center"/>
            </w:pPr>
          </w:p>
        </w:tc>
      </w:tr>
      <w:tr w14:paraId="0EC6F550">
        <w:tblPrEx>
          <w:tblCellMar>
            <w:top w:w="0" w:type="dxa"/>
            <w:left w:w="108" w:type="dxa"/>
            <w:bottom w:w="0" w:type="dxa"/>
            <w:right w:w="108" w:type="dxa"/>
          </w:tblCellMar>
        </w:tblPrEx>
        <w:tc>
          <w:tcPr>
            <w:tcW w:w="953" w:type="dxa"/>
            <w:vMerge w:val="continue"/>
            <w:tcBorders>
              <w:top w:val="single" w:color="auto" w:sz="10" w:space="0"/>
              <w:left w:val="single" w:color="auto" w:sz="10" w:space="0"/>
              <w:bottom w:val="single" w:color="auto" w:sz="10" w:space="0"/>
              <w:right w:val="single" w:color="auto" w:sz="10" w:space="0"/>
              <w:insideV w:val="single" w:sz="10" w:space="0"/>
            </w:tcBorders>
          </w:tcPr>
          <w:p w14:paraId="53822A1E"/>
        </w:tc>
        <w:tc>
          <w:tcPr>
            <w:tcW w:w="1249" w:type="dxa"/>
            <w:vMerge w:val="continue"/>
            <w:tcBorders>
              <w:top w:val="single" w:color="auto" w:sz="10" w:space="0"/>
              <w:left w:val="single" w:color="auto" w:sz="10" w:space="0"/>
              <w:bottom w:val="single" w:color="auto" w:sz="10" w:space="0"/>
              <w:right w:val="single" w:color="auto" w:sz="10" w:space="0"/>
              <w:insideV w:val="single" w:sz="10" w:space="0"/>
            </w:tcBorders>
          </w:tcPr>
          <w:p w14:paraId="245644EB"/>
        </w:tc>
        <w:tc>
          <w:tcPr>
            <w:tcW w:w="1176" w:type="dxa"/>
            <w:vMerge w:val="continue"/>
            <w:tcBorders>
              <w:top w:val="single" w:color="auto" w:sz="10" w:space="0"/>
              <w:left w:val="single" w:color="auto" w:sz="10" w:space="0"/>
              <w:bottom w:val="single" w:color="auto" w:sz="10" w:space="0"/>
              <w:right w:val="single" w:color="auto" w:sz="10" w:space="0"/>
              <w:insideV w:val="single" w:sz="10" w:space="0"/>
            </w:tcBorders>
          </w:tcPr>
          <w:p w14:paraId="2559B6EF"/>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33B916FD">
            <w:pPr>
              <w:jc w:val="center"/>
            </w:pPr>
            <w:r>
              <w:rPr>
                <w:rFonts w:ascii="宋体" w:hAnsi="宋体" w:eastAsia="宋体"/>
                <w:sz w:val="16"/>
              </w:rPr>
              <w:t>新建灌区输水干管长度</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13D20BF9">
            <w:pPr>
              <w:jc w:val="center"/>
            </w:pPr>
            <w:r>
              <w:rPr>
                <w:rFonts w:ascii="宋体" w:hAnsi="宋体" w:eastAsia="宋体"/>
                <w:sz w:val="16"/>
              </w:rPr>
              <w:t>=27.91公里</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7E8FDAB5">
            <w:pPr>
              <w:jc w:val="center"/>
            </w:pPr>
            <w:r>
              <w:rPr>
                <w:rFonts w:ascii="宋体" w:hAnsi="宋体" w:eastAsia="宋体"/>
                <w:sz w:val="16"/>
              </w:rPr>
              <w:t>=27.91公里</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1556A5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EE2F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1339C">
            <w:pPr>
              <w:jc w:val="center"/>
            </w:pPr>
          </w:p>
        </w:tc>
      </w:tr>
      <w:tr w14:paraId="3D6CB97B">
        <w:tblPrEx>
          <w:tblCellMar>
            <w:top w:w="0" w:type="dxa"/>
            <w:left w:w="108" w:type="dxa"/>
            <w:bottom w:w="0" w:type="dxa"/>
            <w:right w:w="108" w:type="dxa"/>
          </w:tblCellMar>
        </w:tblPrEx>
        <w:tc>
          <w:tcPr>
            <w:tcW w:w="953" w:type="dxa"/>
            <w:vMerge w:val="continue"/>
            <w:tcBorders>
              <w:top w:val="single" w:color="auto" w:sz="10" w:space="0"/>
              <w:left w:val="single" w:color="auto" w:sz="10" w:space="0"/>
              <w:bottom w:val="single" w:color="auto" w:sz="10" w:space="0"/>
              <w:right w:val="single" w:color="auto" w:sz="10" w:space="0"/>
              <w:insideV w:val="single" w:sz="10" w:space="0"/>
            </w:tcBorders>
          </w:tcPr>
          <w:p w14:paraId="10227098"/>
        </w:tc>
        <w:tc>
          <w:tcPr>
            <w:tcW w:w="1249" w:type="dxa"/>
            <w:vMerge w:val="continue"/>
            <w:tcBorders>
              <w:top w:val="single" w:color="auto" w:sz="10" w:space="0"/>
              <w:left w:val="single" w:color="auto" w:sz="10" w:space="0"/>
              <w:bottom w:val="single" w:color="auto" w:sz="10" w:space="0"/>
              <w:right w:val="single" w:color="auto" w:sz="10" w:space="0"/>
              <w:insideV w:val="single" w:sz="10" w:space="0"/>
            </w:tcBorders>
          </w:tcPr>
          <w:p w14:paraId="6D00A6A2"/>
        </w:tc>
        <w:tc>
          <w:tcPr>
            <w:tcW w:w="11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BAE46">
            <w:pPr>
              <w:jc w:val="center"/>
            </w:pPr>
            <w:r>
              <w:rPr>
                <w:rFonts w:ascii="宋体" w:hAnsi="宋体" w:eastAsia="宋体"/>
                <w:sz w:val="16"/>
              </w:rPr>
              <w:t>质量指标</w:t>
            </w:r>
          </w:p>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4D080873">
            <w:pPr>
              <w:jc w:val="center"/>
            </w:pPr>
            <w:r>
              <w:rPr>
                <w:rFonts w:ascii="宋体" w:hAnsi="宋体" w:eastAsia="宋体"/>
                <w:sz w:val="16"/>
              </w:rPr>
              <w:t>项目（工程）验收合格率</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26977A04">
            <w:pPr>
              <w:jc w:val="center"/>
            </w:pPr>
            <w:r>
              <w:rPr>
                <w:rFonts w:ascii="宋体" w:hAnsi="宋体" w:eastAsia="宋体"/>
                <w:sz w:val="16"/>
              </w:rPr>
              <w:t>=100%</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770C085E">
            <w:pPr>
              <w:jc w:val="center"/>
            </w:pPr>
            <w:r>
              <w:rPr>
                <w:rFonts w:ascii="宋体" w:hAnsi="宋体" w:eastAsia="宋体"/>
                <w:sz w:val="16"/>
              </w:rPr>
              <w:t>=100%</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473D45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2E2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77390">
            <w:pPr>
              <w:jc w:val="center"/>
            </w:pPr>
          </w:p>
        </w:tc>
      </w:tr>
      <w:tr w14:paraId="2835358D">
        <w:tblPrEx>
          <w:tblCellMar>
            <w:top w:w="0" w:type="dxa"/>
            <w:left w:w="108" w:type="dxa"/>
            <w:bottom w:w="0" w:type="dxa"/>
            <w:right w:w="108" w:type="dxa"/>
          </w:tblCellMar>
        </w:tblPrEx>
        <w:tc>
          <w:tcPr>
            <w:tcW w:w="953" w:type="dxa"/>
            <w:vMerge w:val="continue"/>
            <w:tcBorders>
              <w:top w:val="single" w:color="auto" w:sz="10" w:space="0"/>
              <w:left w:val="single" w:color="auto" w:sz="10" w:space="0"/>
              <w:bottom w:val="single" w:color="auto" w:sz="10" w:space="0"/>
              <w:right w:val="single" w:color="auto" w:sz="10" w:space="0"/>
              <w:insideV w:val="single" w:sz="10" w:space="0"/>
            </w:tcBorders>
          </w:tcPr>
          <w:p w14:paraId="1ECA820D"/>
        </w:tc>
        <w:tc>
          <w:tcPr>
            <w:tcW w:w="1249" w:type="dxa"/>
            <w:vMerge w:val="continue"/>
            <w:tcBorders>
              <w:top w:val="single" w:color="auto" w:sz="10" w:space="0"/>
              <w:left w:val="single" w:color="auto" w:sz="10" w:space="0"/>
              <w:bottom w:val="single" w:color="auto" w:sz="10" w:space="0"/>
              <w:right w:val="single" w:color="auto" w:sz="10" w:space="0"/>
              <w:insideV w:val="single" w:sz="10" w:space="0"/>
            </w:tcBorders>
          </w:tcPr>
          <w:p w14:paraId="17174010"/>
        </w:tc>
        <w:tc>
          <w:tcPr>
            <w:tcW w:w="1176" w:type="dxa"/>
            <w:vMerge w:val="continue"/>
            <w:tcBorders>
              <w:top w:val="single" w:color="auto" w:sz="10" w:space="0"/>
              <w:left w:val="single" w:color="auto" w:sz="10" w:space="0"/>
              <w:bottom w:val="single" w:color="auto" w:sz="10" w:space="0"/>
              <w:right w:val="single" w:color="auto" w:sz="10" w:space="0"/>
              <w:insideV w:val="single" w:sz="10" w:space="0"/>
            </w:tcBorders>
          </w:tcPr>
          <w:p w14:paraId="27B83668"/>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6055291E">
            <w:pPr>
              <w:jc w:val="center"/>
            </w:pPr>
            <w:r>
              <w:rPr>
                <w:rFonts w:ascii="宋体" w:hAnsi="宋体" w:eastAsia="宋体"/>
                <w:sz w:val="16"/>
              </w:rPr>
              <w:t>资金使用合规率</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102E9369">
            <w:pPr>
              <w:jc w:val="center"/>
            </w:pPr>
            <w:r>
              <w:rPr>
                <w:rFonts w:ascii="宋体" w:hAnsi="宋体" w:eastAsia="宋体"/>
                <w:sz w:val="16"/>
              </w:rPr>
              <w:t>=100%</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50B11E40">
            <w:pPr>
              <w:jc w:val="center"/>
            </w:pPr>
            <w:r>
              <w:rPr>
                <w:rFonts w:ascii="宋体" w:hAnsi="宋体" w:eastAsia="宋体"/>
                <w:sz w:val="16"/>
              </w:rPr>
              <w:t>=100%</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2F8DB1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235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8D475">
            <w:pPr>
              <w:jc w:val="center"/>
            </w:pPr>
          </w:p>
        </w:tc>
      </w:tr>
      <w:tr w14:paraId="088903DD">
        <w:tblPrEx>
          <w:tblCellMar>
            <w:top w:w="0" w:type="dxa"/>
            <w:left w:w="108" w:type="dxa"/>
            <w:bottom w:w="0" w:type="dxa"/>
            <w:right w:w="108" w:type="dxa"/>
          </w:tblCellMar>
        </w:tblPrEx>
        <w:tc>
          <w:tcPr>
            <w:tcW w:w="953" w:type="dxa"/>
            <w:vMerge w:val="continue"/>
            <w:tcBorders>
              <w:top w:val="single" w:color="auto" w:sz="10" w:space="0"/>
              <w:left w:val="single" w:color="auto" w:sz="10" w:space="0"/>
              <w:bottom w:val="single" w:color="auto" w:sz="10" w:space="0"/>
              <w:right w:val="single" w:color="auto" w:sz="10" w:space="0"/>
              <w:insideV w:val="single" w:sz="10" w:space="0"/>
            </w:tcBorders>
          </w:tcPr>
          <w:p w14:paraId="36612381"/>
        </w:tc>
        <w:tc>
          <w:tcPr>
            <w:tcW w:w="1249" w:type="dxa"/>
            <w:vMerge w:val="continue"/>
            <w:tcBorders>
              <w:top w:val="single" w:color="auto" w:sz="10" w:space="0"/>
              <w:left w:val="single" w:color="auto" w:sz="10" w:space="0"/>
              <w:bottom w:val="single" w:color="auto" w:sz="10" w:space="0"/>
              <w:right w:val="single" w:color="auto" w:sz="10" w:space="0"/>
              <w:insideV w:val="single" w:sz="10" w:space="0"/>
            </w:tcBorders>
          </w:tcPr>
          <w:p w14:paraId="48D3F5E0"/>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14:paraId="2D16A4C2">
            <w:pPr>
              <w:jc w:val="center"/>
            </w:pPr>
            <w:r>
              <w:rPr>
                <w:rFonts w:ascii="宋体" w:hAnsi="宋体" w:eastAsia="宋体"/>
                <w:sz w:val="16"/>
              </w:rPr>
              <w:t>时效指标</w:t>
            </w:r>
          </w:p>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4E628CDF">
            <w:pPr>
              <w:jc w:val="center"/>
            </w:pPr>
            <w:r>
              <w:rPr>
                <w:rFonts w:ascii="宋体" w:hAnsi="宋体" w:eastAsia="宋体"/>
                <w:sz w:val="16"/>
              </w:rPr>
              <w:t>项目（工程）完工及时率</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11C70533">
            <w:pPr>
              <w:jc w:val="center"/>
            </w:pPr>
            <w:r>
              <w:rPr>
                <w:rFonts w:ascii="宋体" w:hAnsi="宋体" w:eastAsia="宋体"/>
                <w:sz w:val="16"/>
              </w:rPr>
              <w:t>=100%</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349AA32C">
            <w:pPr>
              <w:jc w:val="center"/>
            </w:pPr>
            <w:r>
              <w:rPr>
                <w:rFonts w:ascii="宋体" w:hAnsi="宋体" w:eastAsia="宋体"/>
                <w:sz w:val="16"/>
              </w:rPr>
              <w:t>=100%</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190F35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B1A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0706A">
            <w:pPr>
              <w:jc w:val="center"/>
            </w:pPr>
          </w:p>
        </w:tc>
      </w:tr>
      <w:tr w14:paraId="53BC2E8E">
        <w:tblPrEx>
          <w:tblCellMar>
            <w:top w:w="0" w:type="dxa"/>
            <w:left w:w="108" w:type="dxa"/>
            <w:bottom w:w="0" w:type="dxa"/>
            <w:right w:w="108" w:type="dxa"/>
          </w:tblCellMar>
        </w:tblPrEx>
        <w:tc>
          <w:tcPr>
            <w:tcW w:w="953" w:type="dxa"/>
            <w:vMerge w:val="continue"/>
            <w:tcBorders>
              <w:top w:val="single" w:color="auto" w:sz="10" w:space="0"/>
              <w:left w:val="single" w:color="auto" w:sz="10" w:space="0"/>
              <w:bottom w:val="single" w:color="auto" w:sz="10" w:space="0"/>
              <w:right w:val="single" w:color="auto" w:sz="10" w:space="0"/>
              <w:insideV w:val="single" w:sz="10" w:space="0"/>
            </w:tcBorders>
          </w:tcPr>
          <w:p w14:paraId="670A02A3"/>
        </w:tc>
        <w:tc>
          <w:tcPr>
            <w:tcW w:w="1249" w:type="dxa"/>
            <w:tcBorders>
              <w:top w:val="single" w:color="auto" w:sz="10" w:space="0"/>
              <w:left w:val="single" w:color="auto" w:sz="10" w:space="0"/>
              <w:bottom w:val="single" w:color="auto" w:sz="10" w:space="0"/>
              <w:right w:val="single" w:color="auto" w:sz="10" w:space="0"/>
              <w:insideV w:val="single" w:sz="10" w:space="0"/>
            </w:tcBorders>
            <w:vAlign w:val="center"/>
          </w:tcPr>
          <w:p w14:paraId="3E4335B9">
            <w:pPr>
              <w:jc w:val="center"/>
            </w:pPr>
            <w:r>
              <w:rPr>
                <w:rFonts w:ascii="宋体" w:hAnsi="宋体" w:eastAsia="宋体"/>
                <w:sz w:val="16"/>
              </w:rPr>
              <w:t>效益指标</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14:paraId="33C8D688">
            <w:pPr>
              <w:jc w:val="center"/>
            </w:pPr>
            <w:r>
              <w:rPr>
                <w:rFonts w:ascii="宋体" w:hAnsi="宋体" w:eastAsia="宋体"/>
                <w:sz w:val="16"/>
              </w:rPr>
              <w:t>社会效益指标</w:t>
            </w:r>
          </w:p>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6633F788">
            <w:pPr>
              <w:jc w:val="center"/>
            </w:pPr>
            <w:r>
              <w:rPr>
                <w:rFonts w:ascii="宋体" w:hAnsi="宋体" w:eastAsia="宋体"/>
                <w:sz w:val="16"/>
              </w:rPr>
              <w:t>加强水权交易平台和制度建设</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385A5A2A">
            <w:pPr>
              <w:jc w:val="center"/>
            </w:pPr>
            <w:r>
              <w:rPr>
                <w:rFonts w:ascii="宋体" w:hAnsi="宋体" w:eastAsia="宋体"/>
                <w:sz w:val="16"/>
              </w:rPr>
              <w:t>有效加强</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2B824447">
            <w:pPr>
              <w:jc w:val="center"/>
            </w:pPr>
            <w:r>
              <w:rPr>
                <w:rFonts w:ascii="宋体" w:hAnsi="宋体" w:eastAsia="宋体"/>
                <w:sz w:val="16"/>
              </w:rPr>
              <w:t>=30%</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6AF818E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26404">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C69A5">
            <w:pPr>
              <w:jc w:val="center"/>
            </w:pPr>
          </w:p>
        </w:tc>
      </w:tr>
      <w:tr w14:paraId="361B79A8">
        <w:tblPrEx>
          <w:tblCellMar>
            <w:top w:w="0" w:type="dxa"/>
            <w:left w:w="108" w:type="dxa"/>
            <w:bottom w:w="0" w:type="dxa"/>
            <w:right w:w="108" w:type="dxa"/>
          </w:tblCellMar>
        </w:tblPrEx>
        <w:tc>
          <w:tcPr>
            <w:tcW w:w="953" w:type="dxa"/>
            <w:vMerge w:val="continue"/>
            <w:tcBorders>
              <w:top w:val="single" w:color="auto" w:sz="10" w:space="0"/>
              <w:left w:val="single" w:color="auto" w:sz="10" w:space="0"/>
              <w:bottom w:val="single" w:color="auto" w:sz="10" w:space="0"/>
              <w:right w:val="single" w:color="auto" w:sz="10" w:space="0"/>
              <w:insideV w:val="single" w:sz="10" w:space="0"/>
            </w:tcBorders>
          </w:tcPr>
          <w:p w14:paraId="1E53A751"/>
        </w:tc>
        <w:tc>
          <w:tcPr>
            <w:tcW w:w="1249" w:type="dxa"/>
            <w:tcBorders>
              <w:top w:val="single" w:color="auto" w:sz="10" w:space="0"/>
              <w:left w:val="single" w:color="auto" w:sz="10" w:space="0"/>
              <w:bottom w:val="single" w:color="auto" w:sz="10" w:space="0"/>
              <w:right w:val="single" w:color="auto" w:sz="10" w:space="0"/>
              <w:insideV w:val="single" w:sz="10" w:space="0"/>
            </w:tcBorders>
            <w:vAlign w:val="center"/>
          </w:tcPr>
          <w:p w14:paraId="26034440">
            <w:pPr>
              <w:jc w:val="center"/>
            </w:pPr>
            <w:r>
              <w:rPr>
                <w:rFonts w:ascii="宋体" w:hAnsi="宋体" w:eastAsia="宋体"/>
                <w:sz w:val="16"/>
              </w:rPr>
              <w:t>满意度指标</w:t>
            </w:r>
          </w:p>
        </w:tc>
        <w:tc>
          <w:tcPr>
            <w:tcW w:w="1176" w:type="dxa"/>
            <w:tcBorders>
              <w:top w:val="single" w:color="auto" w:sz="10" w:space="0"/>
              <w:left w:val="single" w:color="auto" w:sz="10" w:space="0"/>
              <w:bottom w:val="single" w:color="auto" w:sz="10" w:space="0"/>
              <w:right w:val="single" w:color="auto" w:sz="10" w:space="0"/>
              <w:insideV w:val="single" w:sz="10" w:space="0"/>
            </w:tcBorders>
            <w:vAlign w:val="center"/>
          </w:tcPr>
          <w:p w14:paraId="567FDA70">
            <w:pPr>
              <w:jc w:val="center"/>
            </w:pPr>
            <w:r>
              <w:rPr>
                <w:rFonts w:ascii="宋体" w:hAnsi="宋体" w:eastAsia="宋体"/>
                <w:sz w:val="16"/>
              </w:rPr>
              <w:t>满意度指标</w:t>
            </w:r>
          </w:p>
        </w:tc>
        <w:tc>
          <w:tcPr>
            <w:tcW w:w="1175" w:type="dxa"/>
            <w:tcBorders>
              <w:top w:val="single" w:color="auto" w:sz="10" w:space="0"/>
              <w:left w:val="single" w:color="auto" w:sz="10" w:space="0"/>
              <w:bottom w:val="single" w:color="auto" w:sz="10" w:space="0"/>
              <w:right w:val="single" w:color="auto" w:sz="10" w:space="0"/>
              <w:insideV w:val="single" w:sz="10" w:space="0"/>
            </w:tcBorders>
            <w:vAlign w:val="center"/>
          </w:tcPr>
          <w:p w14:paraId="291FACD9">
            <w:pPr>
              <w:jc w:val="center"/>
            </w:pPr>
            <w:r>
              <w:rPr>
                <w:rFonts w:hint="eastAsia" w:ascii="宋体" w:hAnsi="宋体"/>
                <w:sz w:val="16"/>
                <w:lang w:eastAsia="zh-CN"/>
              </w:rPr>
              <w:t>受</w:t>
            </w:r>
            <w:r>
              <w:rPr>
                <w:rFonts w:ascii="宋体" w:hAnsi="宋体" w:eastAsia="宋体"/>
                <w:sz w:val="16"/>
              </w:rPr>
              <w:t>益群众满意</w:t>
            </w:r>
          </w:p>
        </w:tc>
        <w:tc>
          <w:tcPr>
            <w:tcW w:w="940" w:type="dxa"/>
            <w:tcBorders>
              <w:top w:val="single" w:color="auto" w:sz="10" w:space="0"/>
              <w:left w:val="single" w:color="auto" w:sz="10" w:space="0"/>
              <w:bottom w:val="single" w:color="auto" w:sz="10" w:space="0"/>
              <w:right w:val="single" w:color="auto" w:sz="10" w:space="0"/>
              <w:insideV w:val="single" w:sz="10" w:space="0"/>
            </w:tcBorders>
            <w:vAlign w:val="center"/>
          </w:tcPr>
          <w:p w14:paraId="7858778F">
            <w:pPr>
              <w:jc w:val="center"/>
            </w:pPr>
            <w:r>
              <w:rPr>
                <w:rFonts w:ascii="宋体" w:hAnsi="宋体" w:eastAsia="宋体"/>
                <w:sz w:val="16"/>
              </w:rPr>
              <w:t>&gt;95%</w:t>
            </w:r>
          </w:p>
        </w:tc>
        <w:tc>
          <w:tcPr>
            <w:tcW w:w="977" w:type="dxa"/>
            <w:tcBorders>
              <w:top w:val="single" w:color="auto" w:sz="10" w:space="0"/>
              <w:left w:val="single" w:color="auto" w:sz="10" w:space="0"/>
              <w:bottom w:val="single" w:color="auto" w:sz="10" w:space="0"/>
              <w:right w:val="single" w:color="auto" w:sz="10" w:space="0"/>
              <w:insideV w:val="single" w:sz="10" w:space="0"/>
            </w:tcBorders>
            <w:vAlign w:val="center"/>
          </w:tcPr>
          <w:p w14:paraId="1C46F1F1">
            <w:pPr>
              <w:jc w:val="center"/>
            </w:pPr>
            <w:r>
              <w:rPr>
                <w:rFonts w:ascii="宋体" w:hAnsi="宋体" w:eastAsia="宋体"/>
                <w:sz w:val="16"/>
              </w:rPr>
              <w:t>=95%</w:t>
            </w:r>
          </w:p>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389E35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8D6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41BFE">
            <w:pPr>
              <w:jc w:val="center"/>
            </w:pPr>
          </w:p>
        </w:tc>
      </w:tr>
      <w:tr w14:paraId="513EBE12">
        <w:tblPrEx>
          <w:tblCellMar>
            <w:top w:w="0" w:type="dxa"/>
            <w:left w:w="108" w:type="dxa"/>
            <w:bottom w:w="0" w:type="dxa"/>
            <w:right w:w="108" w:type="dxa"/>
          </w:tblCellMar>
        </w:tblPrEx>
        <w:tc>
          <w:tcPr>
            <w:tcW w:w="54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578E5C">
            <w:pPr>
              <w:jc w:val="center"/>
            </w:pPr>
            <w:r>
              <w:rPr>
                <w:rFonts w:ascii="宋体" w:hAnsi="宋体" w:eastAsia="宋体"/>
                <w:sz w:val="16"/>
              </w:rPr>
              <w:t>总分</w:t>
            </w:r>
          </w:p>
        </w:tc>
        <w:tc>
          <w:tcPr>
            <w:tcW w:w="977" w:type="dxa"/>
            <w:tcBorders>
              <w:top w:val="single" w:color="auto" w:sz="10" w:space="0"/>
              <w:left w:val="single" w:color="auto" w:sz="10" w:space="0"/>
              <w:bottom w:val="single" w:color="auto" w:sz="10" w:space="0"/>
              <w:right w:val="single" w:color="auto" w:sz="10" w:space="0"/>
              <w:insideV w:val="single" w:sz="10" w:space="0"/>
            </w:tcBorders>
          </w:tcPr>
          <w:p w14:paraId="7F55F0CC"/>
        </w:tc>
        <w:tc>
          <w:tcPr>
            <w:tcW w:w="836" w:type="dxa"/>
            <w:tcBorders>
              <w:top w:val="single" w:color="auto" w:sz="10" w:space="0"/>
              <w:left w:val="single" w:color="auto" w:sz="10" w:space="0"/>
              <w:bottom w:val="single" w:color="auto" w:sz="10" w:space="0"/>
              <w:right w:val="single" w:color="auto" w:sz="10" w:space="0"/>
              <w:insideV w:val="single" w:sz="10" w:space="0"/>
            </w:tcBorders>
            <w:vAlign w:val="center"/>
          </w:tcPr>
          <w:p w14:paraId="3E6AE6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5FF89">
            <w:pPr>
              <w:jc w:val="center"/>
            </w:pPr>
            <w:r>
              <w:rPr>
                <w:rFonts w:ascii="宋体" w:hAnsi="宋体" w:eastAsia="宋体"/>
                <w:sz w:val="16"/>
              </w:rPr>
              <w:t>96.91分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0C9840F"/>
        </w:tc>
      </w:tr>
    </w:tbl>
    <w:p w14:paraId="605DF9B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66E1BF">
        <w:tblPrEx>
          <w:tblCellMar>
            <w:top w:w="0" w:type="dxa"/>
            <w:left w:w="108" w:type="dxa"/>
            <w:bottom w:w="0" w:type="dxa"/>
            <w:right w:w="108" w:type="dxa"/>
          </w:tblCellMar>
        </w:tblPrEx>
        <w:tc>
          <w:tcPr>
            <w:tcW w:w="8847" w:type="dxa"/>
            <w:gridSpan w:val="9"/>
            <w:vAlign w:val="center"/>
          </w:tcPr>
          <w:p w14:paraId="6029A1D7">
            <w:pPr>
              <w:jc w:val="center"/>
            </w:pPr>
            <w:r>
              <w:rPr>
                <w:rFonts w:ascii="宋体" w:hAnsi="宋体" w:eastAsia="宋体"/>
                <w:sz w:val="24"/>
              </w:rPr>
              <w:t>项目支出绩效自评表</w:t>
            </w:r>
          </w:p>
        </w:tc>
      </w:tr>
      <w:tr w14:paraId="1AE2A735">
        <w:tblPrEx>
          <w:tblCellMar>
            <w:top w:w="0" w:type="dxa"/>
            <w:left w:w="108" w:type="dxa"/>
            <w:bottom w:w="0" w:type="dxa"/>
            <w:right w:w="108" w:type="dxa"/>
          </w:tblCellMar>
        </w:tblPrEx>
        <w:tc>
          <w:tcPr>
            <w:tcW w:w="8847" w:type="dxa"/>
            <w:gridSpan w:val="9"/>
            <w:vAlign w:val="center"/>
          </w:tcPr>
          <w:p w14:paraId="59AFF2CA">
            <w:pPr>
              <w:jc w:val="center"/>
            </w:pPr>
            <w:r>
              <w:rPr>
                <w:rFonts w:ascii="宋体" w:hAnsi="宋体" w:eastAsia="宋体"/>
                <w:sz w:val="24"/>
              </w:rPr>
              <w:t>(2024年度)</w:t>
            </w:r>
          </w:p>
        </w:tc>
      </w:tr>
      <w:tr w14:paraId="730CB4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62BF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0657960">
            <w:pPr>
              <w:jc w:val="center"/>
            </w:pPr>
            <w:r>
              <w:rPr>
                <w:rFonts w:ascii="宋体" w:hAnsi="宋体" w:eastAsia="宋体"/>
                <w:sz w:val="16"/>
              </w:rPr>
              <w:t>和田地区民丰县萨勒吾则克乡中型灌区续建与节水改造工程</w:t>
            </w:r>
          </w:p>
        </w:tc>
      </w:tr>
      <w:tr w14:paraId="4324697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BF1B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76B2E6">
            <w:pPr>
              <w:jc w:val="center"/>
            </w:pPr>
            <w:r>
              <w:rPr>
                <w:rFonts w:ascii="宋体" w:hAnsi="宋体" w:eastAsia="宋体"/>
                <w:sz w:val="16"/>
              </w:rPr>
              <w:t>民丰县水利局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C74B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5CCCC9">
            <w:pPr>
              <w:jc w:val="center"/>
            </w:pPr>
            <w:r>
              <w:rPr>
                <w:rFonts w:ascii="宋体" w:hAnsi="宋体" w:eastAsia="宋体"/>
                <w:sz w:val="16"/>
              </w:rPr>
              <w:t>民丰县水利局</w:t>
            </w:r>
          </w:p>
        </w:tc>
      </w:tr>
      <w:tr w14:paraId="7B7162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1999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6DC6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E9D9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A5C7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ECCB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580A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1FD5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D4EBE">
            <w:pPr>
              <w:jc w:val="center"/>
            </w:pPr>
            <w:r>
              <w:rPr>
                <w:rFonts w:ascii="宋体" w:hAnsi="宋体" w:eastAsia="宋体"/>
                <w:sz w:val="16"/>
              </w:rPr>
              <w:t>得分</w:t>
            </w:r>
          </w:p>
        </w:tc>
      </w:tr>
      <w:tr w14:paraId="45873F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CFA5F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C9CD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13CF2">
            <w:pPr>
              <w:jc w:val="center"/>
            </w:pPr>
            <w:r>
              <w:rPr>
                <w:rFonts w:ascii="宋体" w:hAnsi="宋体" w:eastAsia="宋体"/>
                <w:sz w:val="16"/>
              </w:rPr>
              <w:t>21,677.37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C7B7B">
            <w:pPr>
              <w:jc w:val="center"/>
            </w:pPr>
            <w:r>
              <w:rPr>
                <w:rFonts w:ascii="宋体" w:hAnsi="宋体" w:eastAsia="宋体"/>
                <w:sz w:val="16"/>
              </w:rPr>
              <w:t>21,677.37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E6C8D">
            <w:pPr>
              <w:jc w:val="center"/>
            </w:pPr>
            <w:r>
              <w:rPr>
                <w:rFonts w:ascii="宋体" w:hAnsi="宋体" w:eastAsia="宋体"/>
                <w:sz w:val="16"/>
              </w:rPr>
              <w:t>18,400.00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689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0DA74">
            <w:pPr>
              <w:jc w:val="center"/>
            </w:pPr>
            <w:r>
              <w:rPr>
                <w:rFonts w:ascii="宋体" w:hAnsi="宋体" w:eastAsia="宋体"/>
                <w:sz w:val="16"/>
              </w:rPr>
              <w:t xml:space="preserve">84.88%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F4CF1">
            <w:pPr>
              <w:jc w:val="center"/>
            </w:pPr>
            <w:r>
              <w:rPr>
                <w:rFonts w:ascii="宋体" w:hAnsi="宋体" w:eastAsia="宋体"/>
                <w:sz w:val="16"/>
              </w:rPr>
              <w:t>6.22分</w:t>
            </w:r>
          </w:p>
        </w:tc>
      </w:tr>
      <w:tr w14:paraId="467FD6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D32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945E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5FD17">
            <w:pPr>
              <w:jc w:val="center"/>
            </w:pPr>
            <w:r>
              <w:rPr>
                <w:rFonts w:ascii="宋体" w:hAnsi="宋体" w:eastAsia="宋体"/>
                <w:sz w:val="16"/>
              </w:rPr>
              <w:t>21,677.37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395D0">
            <w:pPr>
              <w:jc w:val="center"/>
            </w:pPr>
            <w:r>
              <w:rPr>
                <w:rFonts w:ascii="宋体" w:hAnsi="宋体" w:eastAsia="宋体"/>
                <w:sz w:val="16"/>
              </w:rPr>
              <w:t>21,677.37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0B1E0">
            <w:pPr>
              <w:jc w:val="center"/>
            </w:pPr>
            <w:r>
              <w:rPr>
                <w:rFonts w:ascii="宋体" w:hAnsi="宋体" w:eastAsia="宋体"/>
                <w:sz w:val="16"/>
              </w:rPr>
              <w:t>18,400.00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D8F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C86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85C30">
            <w:pPr>
              <w:jc w:val="center"/>
            </w:pPr>
            <w:r>
              <w:rPr>
                <w:rFonts w:ascii="宋体" w:hAnsi="宋体" w:eastAsia="宋体"/>
                <w:sz w:val="16"/>
              </w:rPr>
              <w:t>—</w:t>
            </w:r>
          </w:p>
        </w:tc>
      </w:tr>
      <w:tr w14:paraId="0FB389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81F1E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75F0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7CF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325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407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C70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8DD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A169E">
            <w:pPr>
              <w:jc w:val="center"/>
            </w:pPr>
            <w:r>
              <w:rPr>
                <w:rFonts w:ascii="宋体" w:hAnsi="宋体" w:eastAsia="宋体"/>
                <w:sz w:val="16"/>
              </w:rPr>
              <w:t>—</w:t>
            </w:r>
          </w:p>
        </w:tc>
      </w:tr>
      <w:tr w14:paraId="7E5D5F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8ABFD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949C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34D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425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334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0B3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CBF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B89E0">
            <w:pPr>
              <w:jc w:val="center"/>
            </w:pPr>
            <w:r>
              <w:rPr>
                <w:rFonts w:ascii="宋体" w:hAnsi="宋体" w:eastAsia="宋体"/>
                <w:sz w:val="16"/>
              </w:rPr>
              <w:t>—</w:t>
            </w:r>
          </w:p>
        </w:tc>
      </w:tr>
      <w:tr w14:paraId="094B7D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130A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70DA2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7617AB">
            <w:pPr>
              <w:jc w:val="center"/>
            </w:pPr>
            <w:r>
              <w:rPr>
                <w:rFonts w:ascii="宋体" w:hAnsi="宋体" w:eastAsia="宋体"/>
                <w:sz w:val="16"/>
              </w:rPr>
              <w:t>实际完成情况</w:t>
            </w:r>
          </w:p>
        </w:tc>
      </w:tr>
      <w:tr w14:paraId="17AB1C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97EF2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8B008C">
            <w:pPr>
              <w:jc w:val="both"/>
            </w:pPr>
            <w:r>
              <w:rPr>
                <w:rFonts w:ascii="宋体" w:hAnsi="宋体" w:eastAsia="宋体"/>
                <w:sz w:val="16"/>
              </w:rPr>
              <w:t>根据项目实施方案实施本项目。本工程的实施，能够加快补齐灌区灌排工程基础设施短板、保障国家粮食安全、改善农村生态环境、加快水利现代化和促进农业现代化，是支撑乡村振兴战略实施和农业供给侧结构性改革的迫切需要，建设项目是必要的。本工程总投资 21677.37 万元，灌区场外输水主干管长度4.18千米，沉沙池坝线长度1486米。改善灌溉面积5.38万亩。</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39C02F">
            <w:pPr>
              <w:jc w:val="both"/>
            </w:pPr>
            <w:r>
              <w:rPr>
                <w:rFonts w:ascii="宋体" w:hAnsi="宋体" w:eastAsia="宋体"/>
                <w:sz w:val="16"/>
              </w:rPr>
              <w:t>根据项目实施方案实施本项目。本工程的实施，能够加快补齐灌区灌排工程基础设施短板、保障国家粮食安全、改善农村生态环境、加快水利现代化和促进农业现代化，是支撑乡村振兴战略实施和农业供给侧结构性改革的迫切需要，建设项目是必要的。本工程总投资 21677.37 万元，灌区场外输水主干管长度4.18千米，沉沙池坝线长度1486米。改善灌溉面积5.38万亩。</w:t>
            </w:r>
          </w:p>
        </w:tc>
      </w:tr>
      <w:tr w14:paraId="50C462F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B7F6B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1EF8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DB27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EC39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5B26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4634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D802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8803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03F68">
            <w:pPr>
              <w:jc w:val="center"/>
            </w:pPr>
            <w:r>
              <w:rPr>
                <w:rFonts w:ascii="宋体" w:hAnsi="宋体" w:eastAsia="宋体"/>
                <w:sz w:val="16"/>
              </w:rPr>
              <w:t>偏差原因分析及改进措施</w:t>
            </w:r>
          </w:p>
        </w:tc>
      </w:tr>
      <w:tr w14:paraId="35E5CF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2BB6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465A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79EB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687E4">
            <w:pPr>
              <w:jc w:val="center"/>
            </w:pPr>
            <w:r>
              <w:rPr>
                <w:rFonts w:ascii="宋体" w:hAnsi="宋体" w:eastAsia="宋体"/>
                <w:sz w:val="16"/>
              </w:rPr>
              <w:t>灌区场外输水主干管长度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E35AE">
            <w:pPr>
              <w:jc w:val="center"/>
            </w:pPr>
            <w:r>
              <w:rPr>
                <w:rFonts w:ascii="宋体" w:hAnsi="宋体" w:eastAsia="宋体"/>
                <w:sz w:val="16"/>
              </w:rPr>
              <w:t>&gt;=4.18千米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9E6BA">
            <w:pPr>
              <w:jc w:val="center"/>
            </w:pPr>
            <w:r>
              <w:rPr>
                <w:rFonts w:ascii="宋体" w:hAnsi="宋体" w:eastAsia="宋体"/>
                <w:sz w:val="16"/>
              </w:rPr>
              <w:t>=4.18千米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BD3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6A5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F97F6">
            <w:pPr>
              <w:jc w:val="center"/>
            </w:pPr>
          </w:p>
        </w:tc>
      </w:tr>
      <w:tr w14:paraId="018990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61B7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4772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042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806DF">
            <w:pPr>
              <w:jc w:val="center"/>
            </w:pPr>
            <w:r>
              <w:rPr>
                <w:rFonts w:ascii="宋体" w:hAnsi="宋体" w:eastAsia="宋体"/>
                <w:sz w:val="16"/>
              </w:rPr>
              <w:t>沉沙池坝线长度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D4A59">
            <w:pPr>
              <w:jc w:val="center"/>
            </w:pPr>
            <w:r>
              <w:rPr>
                <w:rFonts w:ascii="宋体" w:hAnsi="宋体" w:eastAsia="宋体"/>
                <w:sz w:val="16"/>
              </w:rPr>
              <w:t>&gt;=1486米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360D0">
            <w:pPr>
              <w:jc w:val="center"/>
            </w:pPr>
            <w:r>
              <w:rPr>
                <w:rFonts w:ascii="宋体" w:hAnsi="宋体" w:eastAsia="宋体"/>
                <w:sz w:val="16"/>
              </w:rPr>
              <w:t>=1486米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2A1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D3C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7DC5E">
            <w:pPr>
              <w:jc w:val="center"/>
            </w:pPr>
          </w:p>
        </w:tc>
      </w:tr>
      <w:tr w14:paraId="6F58C7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98A9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2567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9F07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29B26">
            <w:pPr>
              <w:jc w:val="center"/>
            </w:pPr>
            <w:r>
              <w:rPr>
                <w:rFonts w:ascii="宋体" w:hAnsi="宋体" w:eastAsia="宋体"/>
                <w:sz w:val="16"/>
              </w:rPr>
              <w:t>项目（工程）验收合格率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0F7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7CC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F55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E84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F4F18">
            <w:pPr>
              <w:jc w:val="center"/>
            </w:pPr>
          </w:p>
        </w:tc>
      </w:tr>
      <w:tr w14:paraId="0A824B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7270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DA2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93C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5D6E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DF5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04E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DF0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A7B19">
            <w:pPr>
              <w:jc w:val="center"/>
            </w:pPr>
            <w:r>
              <w:rPr>
                <w:rFonts w:ascii="宋体" w:hAnsi="宋体" w:eastAsia="宋体"/>
                <w:sz w:val="16"/>
              </w:rPr>
              <w:t>6.22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5284A">
            <w:pPr>
              <w:jc w:val="center"/>
            </w:pPr>
            <w:r>
              <w:rPr>
                <w:rFonts w:ascii="宋体" w:hAnsi="宋体" w:eastAsia="宋体"/>
                <w:sz w:val="16"/>
              </w:rPr>
              <w:t>偏差原因：资金支付手续办理不及时；改进措施：加强预算管理。</w:t>
            </w:r>
          </w:p>
        </w:tc>
      </w:tr>
      <w:tr w14:paraId="1AF125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1FAC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27A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4F15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65A43">
            <w:pPr>
              <w:jc w:val="center"/>
            </w:pPr>
            <w:r>
              <w:rPr>
                <w:rFonts w:ascii="宋体" w:hAnsi="宋体" w:eastAsia="宋体"/>
                <w:sz w:val="16"/>
              </w:rPr>
              <w:t>项目（工程）完工及时率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D82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F1C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B08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ABE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BE540">
            <w:pPr>
              <w:jc w:val="center"/>
            </w:pPr>
          </w:p>
        </w:tc>
      </w:tr>
      <w:tr w14:paraId="57667F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7FB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7CB1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0988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8B9CB">
            <w:pPr>
              <w:jc w:val="center"/>
            </w:pPr>
            <w:r>
              <w:rPr>
                <w:rFonts w:ascii="宋体" w:hAnsi="宋体" w:eastAsia="宋体"/>
                <w:sz w:val="16"/>
              </w:rPr>
              <w:t>改善灌溉面积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84200">
            <w:pPr>
              <w:jc w:val="center"/>
            </w:pPr>
            <w:r>
              <w:rPr>
                <w:rFonts w:ascii="宋体" w:hAnsi="宋体" w:eastAsia="宋体"/>
                <w:sz w:val="16"/>
              </w:rPr>
              <w:t>&gt;=5.38万亩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F3CAA">
            <w:pPr>
              <w:jc w:val="center"/>
            </w:pPr>
            <w:r>
              <w:rPr>
                <w:rFonts w:ascii="宋体" w:hAnsi="宋体" w:eastAsia="宋体"/>
                <w:sz w:val="16"/>
              </w:rPr>
              <w:t>=5.38万亩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1010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C276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D6908">
            <w:pPr>
              <w:jc w:val="center"/>
            </w:pPr>
          </w:p>
        </w:tc>
      </w:tr>
      <w:tr w14:paraId="714D67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F80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F63B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C8BA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2A811">
            <w:pPr>
              <w:jc w:val="center"/>
            </w:pPr>
            <w:r>
              <w:rPr>
                <w:rFonts w:ascii="宋体" w:hAnsi="宋体" w:eastAsia="宋体"/>
                <w:sz w:val="16"/>
              </w:rPr>
              <w:t>服务对象满意度指标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D370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FC49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2F7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CE4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D7BA6">
            <w:pPr>
              <w:jc w:val="center"/>
            </w:pPr>
          </w:p>
        </w:tc>
      </w:tr>
      <w:tr w14:paraId="6F6402B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675A9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AE4B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A71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F3D0B">
            <w:pPr>
              <w:jc w:val="center"/>
            </w:pPr>
            <w:r>
              <w:rPr>
                <w:rFonts w:ascii="宋体" w:hAnsi="宋体" w:eastAsia="宋体"/>
                <w:sz w:val="16"/>
              </w:rPr>
              <w:t>92.44分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D572A69"/>
        </w:tc>
      </w:tr>
    </w:tbl>
    <w:p w14:paraId="5D95870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983"/>
        <w:gridCol w:w="983"/>
        <w:gridCol w:w="983"/>
        <w:gridCol w:w="983"/>
      </w:tblGrid>
      <w:tr w14:paraId="7451A9A6">
        <w:tblPrEx>
          <w:tblCellMar>
            <w:top w:w="0" w:type="dxa"/>
            <w:left w:w="108" w:type="dxa"/>
            <w:bottom w:w="0" w:type="dxa"/>
            <w:right w:w="108" w:type="dxa"/>
          </w:tblCellMar>
        </w:tblPrEx>
        <w:tc>
          <w:tcPr>
            <w:tcW w:w="8847" w:type="dxa"/>
            <w:gridSpan w:val="9"/>
            <w:vAlign w:val="center"/>
          </w:tcPr>
          <w:p w14:paraId="6FA29F44">
            <w:pPr>
              <w:jc w:val="center"/>
            </w:pPr>
            <w:r>
              <w:rPr>
                <w:rFonts w:ascii="宋体" w:hAnsi="宋体" w:eastAsia="宋体"/>
                <w:sz w:val="24"/>
              </w:rPr>
              <w:t>项目支出绩效自评表</w:t>
            </w:r>
          </w:p>
        </w:tc>
      </w:tr>
      <w:tr w14:paraId="2DBC6201">
        <w:tblPrEx>
          <w:tblCellMar>
            <w:top w:w="0" w:type="dxa"/>
            <w:left w:w="108" w:type="dxa"/>
            <w:bottom w:w="0" w:type="dxa"/>
            <w:right w:w="108" w:type="dxa"/>
          </w:tblCellMar>
        </w:tblPrEx>
        <w:tc>
          <w:tcPr>
            <w:tcW w:w="8847" w:type="dxa"/>
            <w:gridSpan w:val="9"/>
            <w:vAlign w:val="center"/>
          </w:tcPr>
          <w:p w14:paraId="17760534">
            <w:pPr>
              <w:jc w:val="center"/>
            </w:pPr>
            <w:r>
              <w:rPr>
                <w:rFonts w:ascii="宋体" w:hAnsi="宋体" w:eastAsia="宋体"/>
                <w:sz w:val="24"/>
              </w:rPr>
              <w:t>(2024年度)</w:t>
            </w:r>
          </w:p>
        </w:tc>
      </w:tr>
      <w:tr w14:paraId="35BBF4E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3DBA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5677FBE">
            <w:pPr>
              <w:jc w:val="center"/>
            </w:pPr>
            <w:r>
              <w:rPr>
                <w:rFonts w:ascii="宋体" w:hAnsi="宋体" w:eastAsia="宋体"/>
                <w:sz w:val="16"/>
              </w:rPr>
              <w:t>新疆和田地区民丰县胜利水库2024年度白蚁等害堤动物防治</w:t>
            </w:r>
          </w:p>
        </w:tc>
      </w:tr>
      <w:tr w14:paraId="7980AF4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1E33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5690CA">
            <w:pPr>
              <w:jc w:val="center"/>
            </w:pPr>
            <w:r>
              <w:rPr>
                <w:rFonts w:ascii="宋体" w:hAnsi="宋体" w:eastAsia="宋体"/>
                <w:sz w:val="16"/>
              </w:rPr>
              <w:t>民丰县水利局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E44D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18B26E">
            <w:pPr>
              <w:jc w:val="center"/>
            </w:pPr>
            <w:r>
              <w:rPr>
                <w:rFonts w:ascii="宋体" w:hAnsi="宋体" w:eastAsia="宋体"/>
                <w:sz w:val="16"/>
              </w:rPr>
              <w:t>民丰县水利局</w:t>
            </w:r>
          </w:p>
        </w:tc>
      </w:tr>
      <w:tr w14:paraId="6B6988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753E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AB73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7FBC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4724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427B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A22A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F3EA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EB24D">
            <w:pPr>
              <w:jc w:val="center"/>
            </w:pPr>
            <w:r>
              <w:rPr>
                <w:rFonts w:ascii="宋体" w:hAnsi="宋体" w:eastAsia="宋体"/>
                <w:sz w:val="16"/>
              </w:rPr>
              <w:t>得分</w:t>
            </w:r>
          </w:p>
        </w:tc>
      </w:tr>
      <w:tr w14:paraId="683D03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DCFC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FE9E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70080">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ADDF6">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8570F">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0D0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5365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60BEA">
            <w:pPr>
              <w:jc w:val="center"/>
            </w:pPr>
            <w:r>
              <w:rPr>
                <w:rFonts w:ascii="宋体" w:hAnsi="宋体" w:eastAsia="宋体"/>
                <w:sz w:val="16"/>
              </w:rPr>
              <w:t>10.00分</w:t>
            </w:r>
          </w:p>
        </w:tc>
      </w:tr>
      <w:tr w14:paraId="625392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FFE8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26CD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FBD4D">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CE40D">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DF680">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F23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57C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1EFA0">
            <w:pPr>
              <w:jc w:val="center"/>
            </w:pPr>
            <w:r>
              <w:rPr>
                <w:rFonts w:ascii="宋体" w:hAnsi="宋体" w:eastAsia="宋体"/>
                <w:sz w:val="16"/>
              </w:rPr>
              <w:t>—</w:t>
            </w:r>
          </w:p>
        </w:tc>
      </w:tr>
      <w:tr w14:paraId="522F7C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951AA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8CD8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82D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953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6ED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051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A5F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B591F">
            <w:pPr>
              <w:jc w:val="center"/>
            </w:pPr>
            <w:r>
              <w:rPr>
                <w:rFonts w:ascii="宋体" w:hAnsi="宋体" w:eastAsia="宋体"/>
                <w:sz w:val="16"/>
              </w:rPr>
              <w:t>—</w:t>
            </w:r>
          </w:p>
        </w:tc>
      </w:tr>
      <w:tr w14:paraId="06848F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2054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85E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DD3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F57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8DC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BE6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F66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D950B">
            <w:pPr>
              <w:jc w:val="center"/>
            </w:pPr>
            <w:r>
              <w:rPr>
                <w:rFonts w:ascii="宋体" w:hAnsi="宋体" w:eastAsia="宋体"/>
                <w:sz w:val="16"/>
              </w:rPr>
              <w:t>—</w:t>
            </w:r>
          </w:p>
        </w:tc>
      </w:tr>
      <w:tr w14:paraId="6BE1A6D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DB22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2A63A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9D6EDE">
            <w:pPr>
              <w:jc w:val="center"/>
            </w:pPr>
            <w:r>
              <w:rPr>
                <w:rFonts w:ascii="宋体" w:hAnsi="宋体" w:eastAsia="宋体"/>
                <w:sz w:val="16"/>
              </w:rPr>
              <w:t>实际完成情况</w:t>
            </w:r>
          </w:p>
        </w:tc>
      </w:tr>
      <w:tr w14:paraId="15E666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A6F7A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D434C4">
            <w:pPr>
              <w:jc w:val="both"/>
            </w:pPr>
            <w:r>
              <w:rPr>
                <w:rFonts w:ascii="宋体" w:hAnsi="宋体" w:eastAsia="宋体"/>
                <w:sz w:val="16"/>
              </w:rPr>
              <w:t>根据项目实施方案实施本项目。隔断措施（级配砾石铺设）215.42m3，水库坝线总长度1267米，安装标识、警示牌2个。通过项目实施，灌溉受益面积达到3.65万亩。</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D2E1B4">
            <w:pPr>
              <w:jc w:val="both"/>
            </w:pPr>
            <w:r>
              <w:rPr>
                <w:rFonts w:ascii="宋体" w:hAnsi="宋体" w:eastAsia="宋体"/>
                <w:sz w:val="16"/>
              </w:rPr>
              <w:br w:type="textWrapping"/>
            </w:r>
            <w:r>
              <w:rPr>
                <w:rFonts w:ascii="宋体" w:hAnsi="宋体" w:eastAsia="宋体"/>
                <w:sz w:val="16"/>
              </w:rPr>
              <w:t>根据项目实施方案实施本项目。隔断措施（级配砾石铺设）215.42m3，水库坝线总长度1267米，安装标识、警示牌2个。通过项目实施，灌溉受益面积达到3.65万亩。</w:t>
            </w:r>
          </w:p>
        </w:tc>
      </w:tr>
      <w:tr w14:paraId="457A82F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8DEA7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C193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EF08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5D1A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D87E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EAEB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6392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3D73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6D24A">
            <w:pPr>
              <w:jc w:val="center"/>
            </w:pPr>
            <w:r>
              <w:rPr>
                <w:rFonts w:ascii="宋体" w:hAnsi="宋体" w:eastAsia="宋体"/>
                <w:sz w:val="16"/>
              </w:rPr>
              <w:t>偏差原因分析及改进措施</w:t>
            </w:r>
          </w:p>
        </w:tc>
      </w:tr>
      <w:tr w14:paraId="11B170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300E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A2D5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E4DD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F23DA">
            <w:pPr>
              <w:jc w:val="center"/>
            </w:pPr>
            <w:r>
              <w:rPr>
                <w:rFonts w:ascii="宋体" w:hAnsi="宋体" w:eastAsia="宋体"/>
                <w:sz w:val="16"/>
              </w:rPr>
              <w:t>安装标识、警示牌数量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AA5B1">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67781">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8D9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06E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F9D35">
            <w:pPr>
              <w:jc w:val="center"/>
            </w:pPr>
          </w:p>
        </w:tc>
      </w:tr>
      <w:tr w14:paraId="41702E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F89D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CECC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C1B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AFAB5">
            <w:pPr>
              <w:jc w:val="center"/>
            </w:pPr>
            <w:r>
              <w:rPr>
                <w:rFonts w:ascii="宋体" w:hAnsi="宋体" w:eastAsia="宋体"/>
                <w:sz w:val="16"/>
              </w:rPr>
              <w:t>隔断措施（级配砾石铺设）体积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2BB9B">
            <w:pPr>
              <w:jc w:val="center"/>
            </w:pPr>
            <w:r>
              <w:rPr>
                <w:rFonts w:ascii="宋体" w:hAnsi="宋体" w:eastAsia="宋体"/>
                <w:sz w:val="16"/>
              </w:rPr>
              <w:t>&gt;=215.42m3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81496">
            <w:pPr>
              <w:jc w:val="center"/>
            </w:pPr>
            <w:r>
              <w:rPr>
                <w:rFonts w:ascii="宋体" w:hAnsi="宋体" w:eastAsia="宋体"/>
                <w:sz w:val="16"/>
              </w:rPr>
              <w:t>=215.42m3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BF1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D02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9E2C8">
            <w:pPr>
              <w:jc w:val="center"/>
            </w:pPr>
          </w:p>
        </w:tc>
      </w:tr>
      <w:tr w14:paraId="5FB36C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B6E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92F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D3B8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8DFE1">
            <w:pPr>
              <w:jc w:val="center"/>
            </w:pPr>
            <w:r>
              <w:rPr>
                <w:rFonts w:ascii="宋体" w:hAnsi="宋体" w:eastAsia="宋体"/>
                <w:sz w:val="16"/>
              </w:rPr>
              <w:t>项目（工程）验收合格率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E73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F02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921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C41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AFF55">
            <w:pPr>
              <w:jc w:val="center"/>
            </w:pPr>
          </w:p>
        </w:tc>
      </w:tr>
      <w:tr w14:paraId="41600B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6725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A465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0F2D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76E44">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0B9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6C7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EF4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590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51587">
            <w:pPr>
              <w:jc w:val="center"/>
            </w:pPr>
          </w:p>
        </w:tc>
      </w:tr>
      <w:tr w14:paraId="7074B4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C76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3E266">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5215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D28EC">
            <w:pPr>
              <w:jc w:val="center"/>
            </w:pPr>
            <w:r>
              <w:rPr>
                <w:rFonts w:ascii="宋体" w:hAnsi="宋体" w:eastAsia="宋体"/>
                <w:sz w:val="16"/>
              </w:rPr>
              <w:t>工程费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E1658">
            <w:pPr>
              <w:jc w:val="center"/>
            </w:pPr>
            <w:r>
              <w:rPr>
                <w:rFonts w:ascii="宋体" w:hAnsi="宋体" w:eastAsia="宋体"/>
                <w:sz w:val="16"/>
              </w:rPr>
              <w:t>&lt;=2万元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62363">
            <w:pPr>
              <w:jc w:val="center"/>
            </w:pPr>
            <w:r>
              <w:rPr>
                <w:rFonts w:ascii="宋体" w:hAnsi="宋体" w:eastAsia="宋体"/>
                <w:sz w:val="16"/>
              </w:rPr>
              <w: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525F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B0AB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F8AC1">
            <w:pPr>
              <w:jc w:val="center"/>
            </w:pPr>
          </w:p>
        </w:tc>
      </w:tr>
      <w:tr w14:paraId="04DC27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0D36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0B31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00C1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F6032">
            <w:pPr>
              <w:jc w:val="center"/>
            </w:pPr>
            <w:r>
              <w:rPr>
                <w:rFonts w:ascii="宋体" w:hAnsi="宋体" w:eastAsia="宋体"/>
                <w:sz w:val="16"/>
              </w:rPr>
              <w:t>灌溉受益面积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A5AEA">
            <w:pPr>
              <w:jc w:val="center"/>
            </w:pPr>
            <w:r>
              <w:rPr>
                <w:rFonts w:ascii="宋体" w:hAnsi="宋体" w:eastAsia="宋体"/>
                <w:sz w:val="16"/>
              </w:rPr>
              <w:t>&gt;=3.65万亩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5F9F2">
            <w:pPr>
              <w:jc w:val="center"/>
            </w:pPr>
            <w:r>
              <w:rPr>
                <w:rFonts w:ascii="宋体" w:hAnsi="宋体" w:eastAsia="宋体"/>
                <w:sz w:val="16"/>
              </w:rPr>
              <w:t>=3.65万亩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FE3C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F880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FE355">
            <w:pPr>
              <w:jc w:val="center"/>
            </w:pPr>
          </w:p>
        </w:tc>
      </w:tr>
      <w:tr w14:paraId="01213B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4AA1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A8C6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F912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47689">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ED65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DFB4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5AF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548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6E901">
            <w:pPr>
              <w:jc w:val="center"/>
            </w:pPr>
          </w:p>
        </w:tc>
      </w:tr>
      <w:tr w14:paraId="1B7F521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388E3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F2E83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F83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E2B2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4D4A96B"/>
        </w:tc>
      </w:tr>
    </w:tbl>
    <w:p w14:paraId="777D13F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96"/>
        <w:gridCol w:w="1016"/>
        <w:gridCol w:w="983"/>
        <w:gridCol w:w="983"/>
        <w:gridCol w:w="983"/>
      </w:tblGrid>
      <w:tr w14:paraId="1CB1015C">
        <w:tblPrEx>
          <w:tblCellMar>
            <w:top w:w="0" w:type="dxa"/>
            <w:left w:w="108" w:type="dxa"/>
            <w:bottom w:w="0" w:type="dxa"/>
            <w:right w:w="108" w:type="dxa"/>
          </w:tblCellMar>
        </w:tblPrEx>
        <w:tc>
          <w:tcPr>
            <w:tcW w:w="8847" w:type="dxa"/>
            <w:gridSpan w:val="9"/>
            <w:vAlign w:val="center"/>
          </w:tcPr>
          <w:p w14:paraId="1EE46A0B">
            <w:pPr>
              <w:jc w:val="center"/>
            </w:pPr>
            <w:r>
              <w:rPr>
                <w:rFonts w:ascii="宋体" w:hAnsi="宋体" w:eastAsia="宋体"/>
                <w:sz w:val="24"/>
              </w:rPr>
              <w:t>项目支出绩效自评表</w:t>
            </w:r>
          </w:p>
        </w:tc>
      </w:tr>
      <w:tr w14:paraId="751F4907">
        <w:tblPrEx>
          <w:tblCellMar>
            <w:top w:w="0" w:type="dxa"/>
            <w:left w:w="108" w:type="dxa"/>
            <w:bottom w:w="0" w:type="dxa"/>
            <w:right w:w="108" w:type="dxa"/>
          </w:tblCellMar>
        </w:tblPrEx>
        <w:tc>
          <w:tcPr>
            <w:tcW w:w="8847" w:type="dxa"/>
            <w:gridSpan w:val="9"/>
            <w:vAlign w:val="center"/>
          </w:tcPr>
          <w:p w14:paraId="071F1273">
            <w:pPr>
              <w:jc w:val="center"/>
            </w:pPr>
            <w:r>
              <w:rPr>
                <w:rFonts w:ascii="宋体" w:hAnsi="宋体" w:eastAsia="宋体"/>
                <w:sz w:val="24"/>
              </w:rPr>
              <w:t>(2024年度)</w:t>
            </w:r>
          </w:p>
        </w:tc>
      </w:tr>
      <w:tr w14:paraId="519F9B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B101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47AAF61">
            <w:pPr>
              <w:jc w:val="center"/>
            </w:pPr>
            <w:r>
              <w:rPr>
                <w:rFonts w:ascii="宋体" w:hAnsi="宋体" w:eastAsia="宋体"/>
                <w:sz w:val="16"/>
              </w:rPr>
              <w:t>新疆和田地区民丰县胜利水库2024年度维修养护</w:t>
            </w:r>
          </w:p>
        </w:tc>
      </w:tr>
      <w:tr w14:paraId="2DCC48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1234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ACAEAD">
            <w:pPr>
              <w:jc w:val="center"/>
            </w:pPr>
            <w:r>
              <w:rPr>
                <w:rFonts w:ascii="宋体" w:hAnsi="宋体" w:eastAsia="宋体"/>
                <w:sz w:val="16"/>
              </w:rPr>
              <w:t>民丰县水利局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6F40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0B9385">
            <w:pPr>
              <w:jc w:val="center"/>
            </w:pPr>
            <w:r>
              <w:rPr>
                <w:rFonts w:ascii="宋体" w:hAnsi="宋体" w:eastAsia="宋体"/>
                <w:sz w:val="16"/>
              </w:rPr>
              <w:t>民丰县水利局</w:t>
            </w:r>
          </w:p>
        </w:tc>
      </w:tr>
      <w:tr w14:paraId="1A3490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59D6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7ACB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7E34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CE47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3FA1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6A7B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56FC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04779">
            <w:pPr>
              <w:jc w:val="center"/>
            </w:pPr>
            <w:r>
              <w:rPr>
                <w:rFonts w:ascii="宋体" w:hAnsi="宋体" w:eastAsia="宋体"/>
                <w:sz w:val="16"/>
              </w:rPr>
              <w:t>得分</w:t>
            </w:r>
          </w:p>
        </w:tc>
      </w:tr>
      <w:tr w14:paraId="4C87C5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1621E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AD5B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2824B">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4DF02">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1E0BA">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A2C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BD6FE">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08591">
            <w:pPr>
              <w:jc w:val="center"/>
            </w:pPr>
            <w:r>
              <w:rPr>
                <w:rFonts w:ascii="宋体" w:hAnsi="宋体" w:eastAsia="宋体"/>
                <w:sz w:val="16"/>
              </w:rPr>
              <w:t>10.00分</w:t>
            </w:r>
          </w:p>
        </w:tc>
      </w:tr>
      <w:tr w14:paraId="44D3C9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3CC5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48AB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0C10A">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617E5">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DC3C7">
            <w:pPr>
              <w:jc w:val="center"/>
            </w:pPr>
            <w:r>
              <w:rPr>
                <w:rFonts w:ascii="宋体" w:hAnsi="宋体" w:eastAsia="宋体"/>
                <w:sz w:val="16"/>
              </w:rPr>
              <w:t>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CE1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109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4F77C">
            <w:pPr>
              <w:jc w:val="center"/>
            </w:pPr>
            <w:r>
              <w:rPr>
                <w:rFonts w:ascii="宋体" w:hAnsi="宋体" w:eastAsia="宋体"/>
                <w:sz w:val="16"/>
              </w:rPr>
              <w:t>—</w:t>
            </w:r>
          </w:p>
        </w:tc>
      </w:tr>
      <w:tr w14:paraId="41E34E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C3E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53CC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0C0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582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9C5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7A9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1F9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16092">
            <w:pPr>
              <w:jc w:val="center"/>
            </w:pPr>
            <w:r>
              <w:rPr>
                <w:rFonts w:ascii="宋体" w:hAnsi="宋体" w:eastAsia="宋体"/>
                <w:sz w:val="16"/>
              </w:rPr>
              <w:t>—</w:t>
            </w:r>
          </w:p>
        </w:tc>
      </w:tr>
      <w:tr w14:paraId="5B5063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37586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C1E3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EBE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02C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96F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644F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B82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0B645">
            <w:pPr>
              <w:jc w:val="center"/>
            </w:pPr>
            <w:r>
              <w:rPr>
                <w:rFonts w:ascii="宋体" w:hAnsi="宋体" w:eastAsia="宋体"/>
                <w:sz w:val="16"/>
              </w:rPr>
              <w:t>—</w:t>
            </w:r>
          </w:p>
        </w:tc>
      </w:tr>
      <w:tr w14:paraId="79FA43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E4C9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601BD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579589">
            <w:pPr>
              <w:jc w:val="center"/>
            </w:pPr>
            <w:r>
              <w:rPr>
                <w:rFonts w:ascii="宋体" w:hAnsi="宋体" w:eastAsia="宋体"/>
                <w:sz w:val="16"/>
              </w:rPr>
              <w:t>实际完成情况</w:t>
            </w:r>
          </w:p>
        </w:tc>
      </w:tr>
      <w:tr w14:paraId="6A0EAD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6017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5CF04C">
            <w:pPr>
              <w:jc w:val="both"/>
            </w:pPr>
            <w:r>
              <w:rPr>
                <w:rFonts w:ascii="宋体" w:hAnsi="宋体" w:eastAsia="宋体"/>
                <w:sz w:val="16"/>
              </w:rPr>
              <w:t>根据项目实施方案实施本项目。项目实施内容：水库引水渠段清淤8504.09m3，安装标志牌8个。灌溉受益面积可达 3.65万亩，使受益群众的农业发展持续得到保障，减少了因缺水、无水情况给农业发展带来的困难，提高了广大农民的经济效益，胜利水库维修养护进一步提高的水质提供了一定辅助。</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6E7832">
            <w:pPr>
              <w:jc w:val="both"/>
            </w:pPr>
            <w:r>
              <w:rPr>
                <w:rFonts w:ascii="宋体" w:hAnsi="宋体" w:eastAsia="宋体"/>
                <w:sz w:val="16"/>
              </w:rPr>
              <w:br w:type="textWrapping"/>
            </w:r>
            <w:r>
              <w:rPr>
                <w:rFonts w:ascii="宋体" w:hAnsi="宋体" w:eastAsia="宋体"/>
                <w:sz w:val="16"/>
              </w:rPr>
              <w:t>根据项目实施方案实施本项目。项目实施内容：水库引水渠段清淤8504.09m3，安装标志牌8个。灌溉受益面积可达 3.65万亩，使受益群众的农业发展持续得到保障，减少了因缺水、无水情况给农业发展带来的困难，提高了广大农民的经济效益，胜利水库维修养护进一步提高的水质提供了一定辅助。</w:t>
            </w:r>
          </w:p>
        </w:tc>
      </w:tr>
      <w:tr w14:paraId="37EF08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DF2B1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EFA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A424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2D63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2576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6CE1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C9BD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1940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4A993">
            <w:pPr>
              <w:jc w:val="center"/>
            </w:pPr>
            <w:r>
              <w:rPr>
                <w:rFonts w:ascii="宋体" w:hAnsi="宋体" w:eastAsia="宋体"/>
                <w:sz w:val="16"/>
              </w:rPr>
              <w:t>偏差原因分析及改进措施</w:t>
            </w:r>
          </w:p>
        </w:tc>
      </w:tr>
      <w:tr w14:paraId="1E191F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416F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367A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32FD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4033D">
            <w:pPr>
              <w:jc w:val="center"/>
            </w:pPr>
            <w:r>
              <w:rPr>
                <w:rFonts w:ascii="宋体" w:hAnsi="宋体" w:eastAsia="宋体"/>
                <w:sz w:val="16"/>
              </w:rPr>
              <w:t>水库引水渠段清淤体积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21FB9">
            <w:pPr>
              <w:jc w:val="center"/>
            </w:pPr>
            <w:r>
              <w:rPr>
                <w:rFonts w:ascii="宋体" w:hAnsi="宋体" w:eastAsia="宋体"/>
                <w:sz w:val="16"/>
              </w:rPr>
              <w:t>&gt;=8504.09m3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DE304">
            <w:pPr>
              <w:jc w:val="center"/>
            </w:pPr>
            <w:r>
              <w:rPr>
                <w:rFonts w:ascii="宋体" w:hAnsi="宋体" w:eastAsia="宋体"/>
                <w:sz w:val="16"/>
              </w:rPr>
              <w:t>=8504.09m3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5A8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53F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090B0">
            <w:pPr>
              <w:jc w:val="center"/>
            </w:pPr>
          </w:p>
        </w:tc>
      </w:tr>
      <w:tr w14:paraId="7BE26E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2FC6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52E9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02E1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47C40">
            <w:pPr>
              <w:jc w:val="center"/>
            </w:pPr>
            <w:r>
              <w:rPr>
                <w:rFonts w:ascii="宋体" w:hAnsi="宋体" w:eastAsia="宋体"/>
                <w:sz w:val="16"/>
              </w:rPr>
              <w:t>安装标志牌数量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5F3BF">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B1729">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D81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F45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B0A8F">
            <w:pPr>
              <w:jc w:val="center"/>
            </w:pPr>
          </w:p>
        </w:tc>
      </w:tr>
      <w:tr w14:paraId="2769E0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7671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FB76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610B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C9C58">
            <w:pPr>
              <w:jc w:val="center"/>
            </w:pPr>
            <w:r>
              <w:rPr>
                <w:rFonts w:ascii="宋体" w:hAnsi="宋体" w:eastAsia="宋体"/>
                <w:sz w:val="16"/>
              </w:rPr>
              <w:t>项目（工程）验收合格率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C7F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35E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356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D85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DE4C5">
            <w:pPr>
              <w:jc w:val="center"/>
            </w:pPr>
          </w:p>
        </w:tc>
      </w:tr>
      <w:tr w14:paraId="3EAD33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0CE5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E32F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113F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F01ED">
            <w:pPr>
              <w:jc w:val="center"/>
            </w:pPr>
            <w:r>
              <w:rPr>
                <w:rFonts w:ascii="宋体" w:hAnsi="宋体" w:eastAsia="宋体"/>
                <w:sz w:val="16"/>
              </w:rPr>
              <w:t>项目（工程）完工及时率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B62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ACF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160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7F4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B34AB">
            <w:pPr>
              <w:jc w:val="center"/>
            </w:pPr>
          </w:p>
        </w:tc>
      </w:tr>
      <w:tr w14:paraId="2C293B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13F36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50BE1">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F48D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3ECBF">
            <w:pPr>
              <w:jc w:val="center"/>
            </w:pPr>
            <w:r>
              <w:rPr>
                <w:rFonts w:ascii="宋体" w:hAnsi="宋体" w:eastAsia="宋体"/>
                <w:sz w:val="16"/>
              </w:rPr>
              <w:t>水库引水渠段清淤费用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626DA">
            <w:pPr>
              <w:jc w:val="center"/>
            </w:pPr>
            <w:r>
              <w:rPr>
                <w:rFonts w:ascii="宋体" w:hAnsi="宋体" w:eastAsia="宋体"/>
                <w:sz w:val="16"/>
              </w:rPr>
              <w:t>&lt;=12万元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54BC6">
            <w:pPr>
              <w:jc w:val="center"/>
            </w:pPr>
            <w:r>
              <w:rPr>
                <w:rFonts w:ascii="宋体" w:hAnsi="宋体" w:eastAsia="宋体"/>
                <w:sz w:val="16"/>
              </w:rPr>
              <w:t>=12万元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077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820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D95A0">
            <w:pPr>
              <w:jc w:val="center"/>
            </w:pPr>
          </w:p>
        </w:tc>
      </w:tr>
      <w:tr w14:paraId="117C5D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F338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539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E871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FCC56">
            <w:pPr>
              <w:jc w:val="center"/>
            </w:pPr>
            <w:r>
              <w:rPr>
                <w:rFonts w:ascii="宋体" w:hAnsi="宋体" w:eastAsia="宋体"/>
                <w:sz w:val="16"/>
              </w:rPr>
              <w:t>购买标识、警示牌费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EA190">
            <w:pPr>
              <w:jc w:val="center"/>
            </w:pPr>
            <w:r>
              <w:rPr>
                <w:rFonts w:ascii="宋体" w:hAnsi="宋体" w:eastAsia="宋体"/>
                <w:sz w:val="16"/>
              </w:rPr>
              <w:t>&lt;=2万元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480AC">
            <w:pPr>
              <w:jc w:val="center"/>
            </w:pPr>
            <w:r>
              <w:rPr>
                <w:rFonts w:ascii="宋体" w:hAnsi="宋体" w:eastAsia="宋体"/>
                <w:sz w:val="16"/>
              </w:rPr>
              <w: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40F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982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107C9">
            <w:pPr>
              <w:jc w:val="center"/>
            </w:pPr>
          </w:p>
        </w:tc>
      </w:tr>
      <w:tr w14:paraId="4331BC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073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B1CD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BCED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256E4">
            <w:pPr>
              <w:jc w:val="center"/>
            </w:pPr>
            <w:r>
              <w:rPr>
                <w:rFonts w:ascii="宋体" w:hAnsi="宋体" w:eastAsia="宋体"/>
                <w:sz w:val="16"/>
              </w:rPr>
              <w:t>灌溉受益面积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CC11F">
            <w:pPr>
              <w:jc w:val="center"/>
            </w:pPr>
            <w:r>
              <w:rPr>
                <w:rFonts w:ascii="宋体" w:hAnsi="宋体" w:eastAsia="宋体"/>
                <w:sz w:val="16"/>
              </w:rPr>
              <w:t>&gt;=3.65万亩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04A79">
            <w:pPr>
              <w:jc w:val="center"/>
            </w:pPr>
            <w:r>
              <w:rPr>
                <w:rFonts w:ascii="宋体" w:hAnsi="宋体" w:eastAsia="宋体"/>
                <w:sz w:val="16"/>
              </w:rPr>
              <w:t>=3.65万亩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49E6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450C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1735A">
            <w:pPr>
              <w:jc w:val="center"/>
            </w:pPr>
          </w:p>
        </w:tc>
      </w:tr>
      <w:tr w14:paraId="2FB181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4FDD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0A7F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C74A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2302C">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D62E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36D2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1F7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B7D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6CC1B">
            <w:pPr>
              <w:jc w:val="center"/>
            </w:pPr>
          </w:p>
        </w:tc>
      </w:tr>
      <w:tr w14:paraId="633948B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57BB0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4F0F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BA6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9639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BCD5D83"/>
        </w:tc>
      </w:tr>
    </w:tbl>
    <w:p w14:paraId="30201C9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8AA2B15">
        <w:tblPrEx>
          <w:tblCellMar>
            <w:top w:w="0" w:type="dxa"/>
            <w:left w:w="108" w:type="dxa"/>
            <w:bottom w:w="0" w:type="dxa"/>
            <w:right w:w="108" w:type="dxa"/>
          </w:tblCellMar>
        </w:tblPrEx>
        <w:tc>
          <w:tcPr>
            <w:tcW w:w="8847" w:type="dxa"/>
            <w:gridSpan w:val="9"/>
            <w:vAlign w:val="center"/>
          </w:tcPr>
          <w:p w14:paraId="42F1A496">
            <w:pPr>
              <w:jc w:val="center"/>
            </w:pPr>
            <w:r>
              <w:rPr>
                <w:rFonts w:ascii="宋体" w:hAnsi="宋体" w:eastAsia="宋体"/>
                <w:sz w:val="24"/>
              </w:rPr>
              <w:t>项目支出绩效自评表</w:t>
            </w:r>
          </w:p>
        </w:tc>
      </w:tr>
      <w:tr w14:paraId="26DC4BAF">
        <w:tblPrEx>
          <w:tblCellMar>
            <w:top w:w="0" w:type="dxa"/>
            <w:left w:w="108" w:type="dxa"/>
            <w:bottom w:w="0" w:type="dxa"/>
            <w:right w:w="108" w:type="dxa"/>
          </w:tblCellMar>
        </w:tblPrEx>
        <w:tc>
          <w:tcPr>
            <w:tcW w:w="8847" w:type="dxa"/>
            <w:gridSpan w:val="9"/>
            <w:vAlign w:val="center"/>
          </w:tcPr>
          <w:p w14:paraId="7205D3B3">
            <w:pPr>
              <w:jc w:val="center"/>
            </w:pPr>
            <w:r>
              <w:rPr>
                <w:rFonts w:ascii="宋体" w:hAnsi="宋体" w:eastAsia="宋体"/>
                <w:sz w:val="24"/>
              </w:rPr>
              <w:t>(2024年度)</w:t>
            </w:r>
          </w:p>
        </w:tc>
      </w:tr>
      <w:tr w14:paraId="41A1174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32DC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3F7C316">
            <w:pPr>
              <w:jc w:val="center"/>
            </w:pPr>
            <w:r>
              <w:rPr>
                <w:rFonts w:ascii="宋体" w:hAnsi="宋体" w:eastAsia="宋体"/>
                <w:sz w:val="16"/>
              </w:rPr>
              <w:t>民丰县安迪尔水库工程项目</w:t>
            </w:r>
          </w:p>
        </w:tc>
      </w:tr>
      <w:tr w14:paraId="3608B9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1D86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2DFE51">
            <w:pPr>
              <w:jc w:val="center"/>
            </w:pPr>
            <w:r>
              <w:rPr>
                <w:rFonts w:ascii="宋体" w:hAnsi="宋体" w:eastAsia="宋体"/>
                <w:sz w:val="16"/>
              </w:rPr>
              <w:t>民丰县水利局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FCBD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32D89E">
            <w:pPr>
              <w:jc w:val="center"/>
            </w:pPr>
            <w:r>
              <w:rPr>
                <w:rFonts w:ascii="宋体" w:hAnsi="宋体" w:eastAsia="宋体"/>
                <w:sz w:val="16"/>
              </w:rPr>
              <w:t>民丰县水利局</w:t>
            </w:r>
          </w:p>
        </w:tc>
      </w:tr>
      <w:tr w14:paraId="6239F2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5E41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CA6F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2950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9795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CCC1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F499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AB59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71DB6">
            <w:pPr>
              <w:jc w:val="center"/>
            </w:pPr>
            <w:r>
              <w:rPr>
                <w:rFonts w:ascii="宋体" w:hAnsi="宋体" w:eastAsia="宋体"/>
                <w:sz w:val="16"/>
              </w:rPr>
              <w:t>得分</w:t>
            </w:r>
          </w:p>
        </w:tc>
      </w:tr>
      <w:tr w14:paraId="6F7F22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2E9BE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9C6F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CA11F">
            <w:pPr>
              <w:jc w:val="center"/>
            </w:pPr>
            <w:r>
              <w:rPr>
                <w:rFonts w:ascii="宋体" w:hAnsi="宋体" w:eastAsia="宋体"/>
                <w:sz w:val="16"/>
              </w:rPr>
              <w:t>34,962.42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D588F">
            <w:pPr>
              <w:jc w:val="center"/>
            </w:pPr>
            <w:r>
              <w:rPr>
                <w:rFonts w:ascii="宋体" w:hAnsi="宋体" w:eastAsia="宋体"/>
                <w:sz w:val="16"/>
              </w:rPr>
              <w:t>34,962.42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E6DC2">
            <w:pPr>
              <w:jc w:val="center"/>
            </w:pPr>
            <w:r>
              <w:rPr>
                <w:rFonts w:ascii="宋体" w:hAnsi="宋体" w:eastAsia="宋体"/>
                <w:sz w:val="16"/>
              </w:rPr>
              <w:t>14,021.83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AD9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33CDC">
            <w:pPr>
              <w:jc w:val="center"/>
            </w:pPr>
            <w:r>
              <w:rPr>
                <w:rFonts w:ascii="宋体" w:hAnsi="宋体" w:eastAsia="宋体"/>
                <w:sz w:val="16"/>
              </w:rPr>
              <w:t xml:space="preserve">40.11%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F2BB2">
            <w:pPr>
              <w:jc w:val="center"/>
            </w:pPr>
            <w:r>
              <w:rPr>
                <w:rFonts w:ascii="宋体" w:hAnsi="宋体" w:eastAsia="宋体"/>
                <w:sz w:val="16"/>
              </w:rPr>
              <w:t>0.00分</w:t>
            </w:r>
          </w:p>
        </w:tc>
      </w:tr>
      <w:tr w14:paraId="000D7E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A2E85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9263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F01AE">
            <w:pPr>
              <w:jc w:val="center"/>
            </w:pPr>
            <w:r>
              <w:rPr>
                <w:rFonts w:ascii="宋体" w:hAnsi="宋体" w:eastAsia="宋体"/>
                <w:sz w:val="16"/>
              </w:rPr>
              <w:t>34,962.42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C1B4C">
            <w:pPr>
              <w:jc w:val="center"/>
            </w:pPr>
            <w:r>
              <w:rPr>
                <w:rFonts w:ascii="宋体" w:hAnsi="宋体" w:eastAsia="宋体"/>
                <w:sz w:val="16"/>
              </w:rPr>
              <w:t>34,962.42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84A04">
            <w:pPr>
              <w:jc w:val="center"/>
            </w:pPr>
            <w:r>
              <w:rPr>
                <w:rFonts w:ascii="宋体" w:hAnsi="宋体" w:eastAsia="宋体"/>
                <w:sz w:val="16"/>
              </w:rPr>
              <w:t>14,021.83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BE7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8DA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F92F4">
            <w:pPr>
              <w:jc w:val="center"/>
            </w:pPr>
            <w:r>
              <w:rPr>
                <w:rFonts w:ascii="宋体" w:hAnsi="宋体" w:eastAsia="宋体"/>
                <w:sz w:val="16"/>
              </w:rPr>
              <w:t>—</w:t>
            </w:r>
          </w:p>
        </w:tc>
      </w:tr>
      <w:tr w14:paraId="6765F9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645FC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B1A2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B57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E85B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7884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428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23A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D9F65">
            <w:pPr>
              <w:jc w:val="center"/>
            </w:pPr>
            <w:r>
              <w:rPr>
                <w:rFonts w:ascii="宋体" w:hAnsi="宋体" w:eastAsia="宋体"/>
                <w:sz w:val="16"/>
              </w:rPr>
              <w:t>—</w:t>
            </w:r>
          </w:p>
        </w:tc>
      </w:tr>
      <w:tr w14:paraId="1FE241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E0C7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D73E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F4C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B3F9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6C8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BBF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A77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95126">
            <w:pPr>
              <w:jc w:val="center"/>
            </w:pPr>
            <w:r>
              <w:rPr>
                <w:rFonts w:ascii="宋体" w:hAnsi="宋体" w:eastAsia="宋体"/>
                <w:sz w:val="16"/>
              </w:rPr>
              <w:t>—</w:t>
            </w:r>
          </w:p>
        </w:tc>
      </w:tr>
      <w:tr w14:paraId="3689ADF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6B22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74279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69A63D">
            <w:pPr>
              <w:jc w:val="center"/>
            </w:pPr>
            <w:r>
              <w:rPr>
                <w:rFonts w:ascii="宋体" w:hAnsi="宋体" w:eastAsia="宋体"/>
                <w:sz w:val="16"/>
              </w:rPr>
              <w:t>实际完成情况</w:t>
            </w:r>
          </w:p>
        </w:tc>
      </w:tr>
      <w:tr w14:paraId="750728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EA9A3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313892">
            <w:pPr>
              <w:jc w:val="both"/>
            </w:pPr>
            <w:r>
              <w:rPr>
                <w:rFonts w:ascii="宋体" w:hAnsi="宋体" w:eastAsia="宋体"/>
                <w:sz w:val="16"/>
              </w:rPr>
              <w:t>根据项目实施方案实施本项目，新建引水渠段 1.172km。改造引水渠长度4.32km。有效实现灌区内水资源可持续利用。灌溉面积达到2.43万亩。</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A5ABF1">
            <w:pPr>
              <w:jc w:val="both"/>
            </w:pPr>
            <w:r>
              <w:rPr>
                <w:rFonts w:ascii="宋体" w:hAnsi="宋体" w:eastAsia="宋体"/>
                <w:sz w:val="16"/>
              </w:rPr>
              <w:br w:type="textWrapping"/>
            </w:r>
            <w:r>
              <w:rPr>
                <w:rFonts w:ascii="宋体" w:hAnsi="宋体" w:eastAsia="宋体"/>
                <w:sz w:val="16"/>
              </w:rPr>
              <w:t>根据项目实施方案实施本项目，新建引水渠段 1.172km。改造引水渠长度4.32km。有效实现灌区内水资源可持续利用。灌溉面积达到2.43万亩。</w:t>
            </w:r>
          </w:p>
        </w:tc>
      </w:tr>
      <w:tr w14:paraId="19CE922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4A166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05BA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F97B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733D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FC2D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9A49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25FC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B769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78B17">
            <w:pPr>
              <w:jc w:val="center"/>
            </w:pPr>
            <w:r>
              <w:rPr>
                <w:rFonts w:ascii="宋体" w:hAnsi="宋体" w:eastAsia="宋体"/>
                <w:sz w:val="16"/>
              </w:rPr>
              <w:t>偏差原因分析及改进措施</w:t>
            </w:r>
          </w:p>
        </w:tc>
      </w:tr>
      <w:tr w14:paraId="3509E0E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490B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5A81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D2D8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3C96C">
            <w:pPr>
              <w:jc w:val="center"/>
            </w:pPr>
            <w:r>
              <w:rPr>
                <w:rFonts w:ascii="宋体" w:hAnsi="宋体" w:eastAsia="宋体"/>
                <w:sz w:val="16"/>
              </w:rPr>
              <w:t>新建引水渠长度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F188E">
            <w:pPr>
              <w:jc w:val="center"/>
            </w:pPr>
            <w:r>
              <w:rPr>
                <w:rFonts w:ascii="宋体" w:hAnsi="宋体" w:eastAsia="宋体"/>
                <w:sz w:val="16"/>
              </w:rPr>
              <w:t>&gt;=1.17公里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69AEC">
            <w:pPr>
              <w:jc w:val="center"/>
            </w:pPr>
            <w:r>
              <w:rPr>
                <w:rFonts w:ascii="宋体" w:hAnsi="宋体" w:eastAsia="宋体"/>
                <w:sz w:val="16"/>
              </w:rPr>
              <w:t>=1公里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00C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29BA5">
            <w:pPr>
              <w:jc w:val="center"/>
            </w:pPr>
            <w:r>
              <w:rPr>
                <w:rFonts w:ascii="宋体" w:hAnsi="宋体" w:eastAsia="宋体"/>
                <w:sz w:val="16"/>
              </w:rPr>
              <w:t>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F7D9E">
            <w:pPr>
              <w:jc w:val="center"/>
            </w:pPr>
            <w:r>
              <w:rPr>
                <w:rFonts w:ascii="宋体" w:hAnsi="宋体" w:eastAsia="宋体"/>
                <w:sz w:val="16"/>
              </w:rPr>
              <w:t>续建项目，预计2025年12月完工。</w:t>
            </w:r>
          </w:p>
        </w:tc>
      </w:tr>
      <w:tr w14:paraId="28A547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3D49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ADB5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D20C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0DDE4">
            <w:pPr>
              <w:jc w:val="center"/>
            </w:pPr>
            <w:r>
              <w:rPr>
                <w:rFonts w:ascii="宋体" w:hAnsi="宋体" w:eastAsia="宋体"/>
                <w:sz w:val="16"/>
              </w:rPr>
              <w:t>改造引水渠长度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5CD7D">
            <w:pPr>
              <w:jc w:val="center"/>
            </w:pPr>
            <w:r>
              <w:rPr>
                <w:rFonts w:ascii="宋体" w:hAnsi="宋体" w:eastAsia="宋体"/>
                <w:sz w:val="16"/>
              </w:rPr>
              <w:t>&gt;=4.32公里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F009B">
            <w:pPr>
              <w:jc w:val="center"/>
            </w:pPr>
            <w:r>
              <w:rPr>
                <w:rFonts w:ascii="宋体" w:hAnsi="宋体" w:eastAsia="宋体"/>
                <w:sz w:val="16"/>
              </w:rPr>
              <w:t>=4公里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8B0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D4B0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6D621">
            <w:pPr>
              <w:jc w:val="center"/>
            </w:pPr>
            <w:r>
              <w:rPr>
                <w:rFonts w:ascii="宋体" w:hAnsi="宋体" w:eastAsia="宋体"/>
                <w:sz w:val="16"/>
              </w:rPr>
              <w:t>续建项目，预计2025年12月完工。</w:t>
            </w:r>
          </w:p>
        </w:tc>
      </w:tr>
      <w:tr w14:paraId="72F114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ABFB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E2E77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AB54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A73E3">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084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D88B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663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A195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A2A99">
            <w:pPr>
              <w:jc w:val="center"/>
            </w:pPr>
            <w:r>
              <w:rPr>
                <w:rFonts w:ascii="宋体" w:hAnsi="宋体" w:eastAsia="宋体"/>
                <w:sz w:val="16"/>
              </w:rPr>
              <w:t>续建项目，预计2025年12月完工。</w:t>
            </w:r>
          </w:p>
        </w:tc>
      </w:tr>
      <w:tr w14:paraId="3FB3F9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DD15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A7F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82F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4AE0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2EF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883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7B9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01F6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6EE54">
            <w:pPr>
              <w:jc w:val="center"/>
            </w:pPr>
            <w:r>
              <w:rPr>
                <w:rFonts w:ascii="宋体" w:hAnsi="宋体" w:eastAsia="宋体"/>
                <w:sz w:val="16"/>
              </w:rPr>
              <w:t>续建项目，预计2025年12月完工。</w:t>
            </w:r>
          </w:p>
        </w:tc>
      </w:tr>
      <w:tr w14:paraId="1F1D80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6CF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EF2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D40C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C604C">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32B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57F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56C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EC49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7CE32">
            <w:pPr>
              <w:jc w:val="center"/>
            </w:pPr>
            <w:r>
              <w:rPr>
                <w:rFonts w:ascii="宋体" w:hAnsi="宋体" w:eastAsia="宋体"/>
                <w:sz w:val="16"/>
              </w:rPr>
              <w:t>续建项目，预计2025年12月完工。</w:t>
            </w:r>
          </w:p>
        </w:tc>
      </w:tr>
      <w:tr w14:paraId="0B5CAF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4DF9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D203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4DAC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ABD94">
            <w:pPr>
              <w:jc w:val="center"/>
            </w:pPr>
            <w:r>
              <w:rPr>
                <w:rFonts w:ascii="宋体" w:hAnsi="宋体" w:eastAsia="宋体"/>
                <w:sz w:val="16"/>
              </w:rPr>
              <w:t>实现灌区内水资源可持续利用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FF41F">
            <w:pPr>
              <w:jc w:val="center"/>
            </w:pPr>
            <w:r>
              <w:rPr>
                <w:rFonts w:ascii="宋体" w:hAnsi="宋体" w:eastAsia="宋体"/>
                <w:sz w:val="16"/>
              </w:rPr>
              <w:t>有效实现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7575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1BEE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1E95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96B1B">
            <w:pPr>
              <w:jc w:val="center"/>
            </w:pPr>
            <w:r>
              <w:rPr>
                <w:rFonts w:ascii="宋体" w:hAnsi="宋体" w:eastAsia="宋体"/>
                <w:sz w:val="16"/>
              </w:rPr>
              <w:t>续建项目，预计2025年12月完工。</w:t>
            </w:r>
          </w:p>
        </w:tc>
      </w:tr>
      <w:tr w14:paraId="286A95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434E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7806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A77D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C46F5">
            <w:pPr>
              <w:jc w:val="center"/>
            </w:pPr>
            <w:r>
              <w:rPr>
                <w:rFonts w:ascii="宋体" w:hAnsi="宋体" w:eastAsia="宋体"/>
                <w:sz w:val="16"/>
              </w:rPr>
              <w:t>灌溉面积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AC04D">
            <w:pPr>
              <w:jc w:val="center"/>
            </w:pPr>
            <w:r>
              <w:rPr>
                <w:rFonts w:ascii="宋体" w:hAnsi="宋体" w:eastAsia="宋体"/>
                <w:sz w:val="16"/>
              </w:rPr>
              <w:t>&gt;=2.43万亩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76AFE">
            <w:pPr>
              <w:jc w:val="center"/>
            </w:pPr>
            <w:r>
              <w:rPr>
                <w:rFonts w:ascii="宋体" w:hAnsi="宋体" w:eastAsia="宋体"/>
                <w:sz w:val="16"/>
              </w:rPr>
              <w:t>=0万亩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7743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1532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013AD">
            <w:pPr>
              <w:jc w:val="center"/>
            </w:pPr>
            <w:r>
              <w:rPr>
                <w:rFonts w:ascii="宋体" w:hAnsi="宋体" w:eastAsia="宋体"/>
                <w:sz w:val="16"/>
              </w:rPr>
              <w:t>续建项目，预计2025年12月完工。</w:t>
            </w:r>
          </w:p>
        </w:tc>
      </w:tr>
      <w:tr w14:paraId="2765D3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2E5B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5D0F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D620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64C66">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376A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7EE3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42C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04EE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0BB0D">
            <w:pPr>
              <w:jc w:val="center"/>
            </w:pPr>
            <w:r>
              <w:rPr>
                <w:rFonts w:ascii="宋体" w:hAnsi="宋体" w:eastAsia="宋体"/>
                <w:sz w:val="16"/>
              </w:rPr>
              <w:t>续建项目，预计2025年12月完工。</w:t>
            </w:r>
          </w:p>
        </w:tc>
      </w:tr>
      <w:tr w14:paraId="5767CFD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BBB8C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18FDB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FED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EBEC0">
            <w:pPr>
              <w:jc w:val="center"/>
            </w:pPr>
            <w:r>
              <w:rPr>
                <w:rFonts w:ascii="宋体" w:hAnsi="宋体" w:eastAsia="宋体"/>
                <w:sz w:val="16"/>
              </w:rPr>
              <w:t>15.5分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1BF2D70"/>
        </w:tc>
      </w:tr>
    </w:tbl>
    <w:p w14:paraId="2523CB7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154"/>
        <w:gridCol w:w="812"/>
        <w:gridCol w:w="983"/>
        <w:gridCol w:w="983"/>
        <w:gridCol w:w="983"/>
        <w:gridCol w:w="983"/>
      </w:tblGrid>
      <w:tr w14:paraId="45B161E0">
        <w:tblPrEx>
          <w:tblCellMar>
            <w:top w:w="0" w:type="dxa"/>
            <w:left w:w="108" w:type="dxa"/>
            <w:bottom w:w="0" w:type="dxa"/>
            <w:right w:w="108" w:type="dxa"/>
          </w:tblCellMar>
        </w:tblPrEx>
        <w:tc>
          <w:tcPr>
            <w:tcW w:w="8847" w:type="dxa"/>
            <w:gridSpan w:val="9"/>
            <w:vAlign w:val="center"/>
          </w:tcPr>
          <w:p w14:paraId="72D807E0">
            <w:pPr>
              <w:jc w:val="center"/>
            </w:pPr>
            <w:r>
              <w:rPr>
                <w:rFonts w:ascii="宋体" w:hAnsi="宋体" w:eastAsia="宋体"/>
                <w:sz w:val="24"/>
              </w:rPr>
              <w:t>项目支出绩效自评表</w:t>
            </w:r>
          </w:p>
        </w:tc>
      </w:tr>
      <w:tr w14:paraId="4997C0FC">
        <w:tblPrEx>
          <w:tblCellMar>
            <w:top w:w="0" w:type="dxa"/>
            <w:left w:w="108" w:type="dxa"/>
            <w:bottom w:w="0" w:type="dxa"/>
            <w:right w:w="108" w:type="dxa"/>
          </w:tblCellMar>
        </w:tblPrEx>
        <w:tc>
          <w:tcPr>
            <w:tcW w:w="8847" w:type="dxa"/>
            <w:gridSpan w:val="9"/>
            <w:vAlign w:val="center"/>
          </w:tcPr>
          <w:p w14:paraId="6C9113C7">
            <w:pPr>
              <w:jc w:val="center"/>
            </w:pPr>
            <w:r>
              <w:rPr>
                <w:rFonts w:ascii="宋体" w:hAnsi="宋体" w:eastAsia="宋体"/>
                <w:sz w:val="24"/>
              </w:rPr>
              <w:t>(2024年度)</w:t>
            </w:r>
          </w:p>
        </w:tc>
      </w:tr>
      <w:tr w14:paraId="45DBA7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B8CB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3B50240">
            <w:pPr>
              <w:jc w:val="center"/>
            </w:pPr>
            <w:r>
              <w:rPr>
                <w:rFonts w:ascii="宋体" w:hAnsi="宋体" w:eastAsia="宋体"/>
                <w:sz w:val="16"/>
              </w:rPr>
              <w:t>民丰县尼雅水利枢纽工程建设管理费</w:t>
            </w:r>
          </w:p>
        </w:tc>
      </w:tr>
      <w:tr w14:paraId="58592FB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84F00">
            <w:pPr>
              <w:jc w:val="center"/>
            </w:pPr>
            <w:r>
              <w:rPr>
                <w:rFonts w:ascii="宋体" w:hAnsi="宋体" w:eastAsia="宋体"/>
                <w:sz w:val="16"/>
              </w:rPr>
              <w:t>主管部门</w:t>
            </w:r>
          </w:p>
        </w:tc>
        <w:tc>
          <w:tcPr>
            <w:tcW w:w="312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8F9A9E">
            <w:pPr>
              <w:jc w:val="center"/>
            </w:pPr>
            <w:r>
              <w:rPr>
                <w:rFonts w:ascii="宋体" w:hAnsi="宋体" w:eastAsia="宋体"/>
                <w:sz w:val="16"/>
              </w:rPr>
              <w:t>民丰县水利局</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50898F3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5638D1">
            <w:pPr>
              <w:jc w:val="center"/>
            </w:pPr>
            <w:r>
              <w:rPr>
                <w:rFonts w:ascii="宋体" w:hAnsi="宋体" w:eastAsia="宋体"/>
                <w:sz w:val="16"/>
              </w:rPr>
              <w:t>民丰县水利局</w:t>
            </w:r>
          </w:p>
        </w:tc>
      </w:tr>
      <w:tr w14:paraId="2C449F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7CEE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EA09A">
            <w:pPr>
              <w:jc w:val="center"/>
            </w:pP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19C1F550">
            <w:pPr>
              <w:jc w:val="center"/>
            </w:pPr>
            <w:r>
              <w:rPr>
                <w:rFonts w:ascii="宋体" w:hAnsi="宋体" w:eastAsia="宋体"/>
                <w:sz w:val="16"/>
              </w:rPr>
              <w:t>年初预算数</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5283FDC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9CD4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8FEE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E789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E95B5">
            <w:pPr>
              <w:jc w:val="center"/>
            </w:pPr>
            <w:r>
              <w:rPr>
                <w:rFonts w:ascii="宋体" w:hAnsi="宋体" w:eastAsia="宋体"/>
                <w:sz w:val="16"/>
              </w:rPr>
              <w:t>得分</w:t>
            </w:r>
          </w:p>
        </w:tc>
      </w:tr>
      <w:tr w14:paraId="745675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97B6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37CFE">
            <w:pPr>
              <w:jc w:val="center"/>
            </w:pPr>
            <w:r>
              <w:rPr>
                <w:rFonts w:ascii="宋体" w:hAnsi="宋体" w:eastAsia="宋体"/>
                <w:sz w:val="16"/>
              </w:rPr>
              <w:t>年度资金总额</w:t>
            </w: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163772A2">
            <w:pPr>
              <w:jc w:val="center"/>
            </w:pPr>
            <w:r>
              <w:rPr>
                <w:rFonts w:ascii="宋体" w:hAnsi="宋体" w:eastAsia="宋体"/>
                <w:sz w:val="16"/>
              </w:rPr>
              <w:t>52.04</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02E3EAC9">
            <w:pPr>
              <w:jc w:val="center"/>
            </w:pPr>
            <w:r>
              <w:rPr>
                <w:rFonts w:ascii="宋体" w:hAnsi="宋体" w:eastAsia="宋体"/>
                <w:sz w:val="16"/>
              </w:rPr>
              <w:t>52.04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A5DB1">
            <w:pPr>
              <w:jc w:val="center"/>
            </w:pPr>
            <w:r>
              <w:rPr>
                <w:rFonts w:ascii="宋体" w:hAnsi="宋体" w:eastAsia="宋体"/>
                <w:sz w:val="16"/>
              </w:rPr>
              <w:t>52.04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5BB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3A74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62C2F">
            <w:pPr>
              <w:jc w:val="center"/>
            </w:pPr>
            <w:r>
              <w:rPr>
                <w:rFonts w:ascii="宋体" w:hAnsi="宋体" w:eastAsia="宋体"/>
                <w:sz w:val="16"/>
              </w:rPr>
              <w:t>10.00分</w:t>
            </w:r>
          </w:p>
        </w:tc>
      </w:tr>
      <w:tr w14:paraId="0817CA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54BA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BDBEB">
            <w:pPr>
              <w:jc w:val="center"/>
            </w:pPr>
            <w:r>
              <w:rPr>
                <w:rFonts w:ascii="宋体" w:hAnsi="宋体" w:eastAsia="宋体"/>
                <w:sz w:val="16"/>
              </w:rPr>
              <w:t>其中：当年财政拨款</w:t>
            </w: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33573B01">
            <w:pPr>
              <w:jc w:val="center"/>
            </w:pPr>
            <w:r>
              <w:rPr>
                <w:rFonts w:ascii="宋体" w:hAnsi="宋体" w:eastAsia="宋体"/>
                <w:sz w:val="16"/>
              </w:rPr>
              <w:t>52.04</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5A104977">
            <w:pPr>
              <w:jc w:val="center"/>
            </w:pPr>
            <w:r>
              <w:rPr>
                <w:rFonts w:ascii="宋体" w:hAnsi="宋体" w:eastAsia="宋体"/>
                <w:sz w:val="16"/>
              </w:rPr>
              <w:t>52.04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F4AB6">
            <w:pPr>
              <w:jc w:val="center"/>
            </w:pPr>
            <w:r>
              <w:rPr>
                <w:rFonts w:ascii="宋体" w:hAnsi="宋体" w:eastAsia="宋体"/>
                <w:sz w:val="16"/>
              </w:rPr>
              <w:t>52.04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B2F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E87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2F206">
            <w:pPr>
              <w:jc w:val="center"/>
            </w:pPr>
            <w:r>
              <w:rPr>
                <w:rFonts w:ascii="宋体" w:hAnsi="宋体" w:eastAsia="宋体"/>
                <w:sz w:val="16"/>
              </w:rPr>
              <w:t>—</w:t>
            </w:r>
          </w:p>
        </w:tc>
      </w:tr>
      <w:tr w14:paraId="1F77AE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FA9AA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2CCC4">
            <w:pPr>
              <w:jc w:val="center"/>
            </w:pPr>
            <w:r>
              <w:rPr>
                <w:rFonts w:ascii="宋体" w:hAnsi="宋体" w:eastAsia="宋体"/>
                <w:sz w:val="16"/>
              </w:rPr>
              <w:t xml:space="preserve">      上年结转资金</w:t>
            </w: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131C27FC">
            <w:pPr>
              <w:jc w:val="center"/>
            </w:pPr>
            <w:r>
              <w:rPr>
                <w:rFonts w:ascii="宋体" w:hAnsi="宋体" w:eastAsia="宋体"/>
                <w:sz w:val="16"/>
              </w:rPr>
              <w:t>0.00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518271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CA8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421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56AA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EB476">
            <w:pPr>
              <w:jc w:val="center"/>
            </w:pPr>
            <w:r>
              <w:rPr>
                <w:rFonts w:ascii="宋体" w:hAnsi="宋体" w:eastAsia="宋体"/>
                <w:sz w:val="16"/>
              </w:rPr>
              <w:t>—</w:t>
            </w:r>
          </w:p>
        </w:tc>
      </w:tr>
      <w:tr w14:paraId="292786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4C09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C32F0">
            <w:pPr>
              <w:jc w:val="center"/>
            </w:pPr>
            <w:r>
              <w:rPr>
                <w:rFonts w:ascii="宋体" w:hAnsi="宋体" w:eastAsia="宋体"/>
                <w:sz w:val="16"/>
              </w:rPr>
              <w:t xml:space="preserve">  其他资金</w:t>
            </w: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5E754CF8">
            <w:pPr>
              <w:jc w:val="center"/>
            </w:pPr>
            <w:r>
              <w:rPr>
                <w:rFonts w:ascii="宋体" w:hAnsi="宋体" w:eastAsia="宋体"/>
                <w:sz w:val="16"/>
              </w:rPr>
              <w:t>0.00</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0BC40B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93F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DB8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9CF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FD3AB">
            <w:pPr>
              <w:jc w:val="center"/>
            </w:pPr>
            <w:r>
              <w:rPr>
                <w:rFonts w:ascii="宋体" w:hAnsi="宋体" w:eastAsia="宋体"/>
                <w:sz w:val="16"/>
              </w:rPr>
              <w:t>—</w:t>
            </w:r>
          </w:p>
        </w:tc>
      </w:tr>
      <w:tr w14:paraId="361ABB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F1FCD">
            <w:pPr>
              <w:jc w:val="center"/>
            </w:pPr>
            <w:r>
              <w:rPr>
                <w:rFonts w:ascii="宋体" w:hAnsi="宋体" w:eastAsia="宋体"/>
                <w:sz w:val="16"/>
              </w:rPr>
              <w:t>年度总体目标</w:t>
            </w:r>
          </w:p>
        </w:tc>
        <w:tc>
          <w:tcPr>
            <w:tcW w:w="312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2AECE1">
            <w:pPr>
              <w:jc w:val="center"/>
            </w:pPr>
            <w:r>
              <w:rPr>
                <w:rFonts w:ascii="宋体" w:hAnsi="宋体" w:eastAsia="宋体"/>
                <w:sz w:val="16"/>
              </w:rPr>
              <w:t>预期目标</w:t>
            </w:r>
          </w:p>
        </w:tc>
        <w:tc>
          <w:tcPr>
            <w:tcW w:w="474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4AC825">
            <w:pPr>
              <w:jc w:val="center"/>
            </w:pPr>
            <w:r>
              <w:rPr>
                <w:rFonts w:ascii="宋体" w:hAnsi="宋体" w:eastAsia="宋体"/>
                <w:sz w:val="16"/>
              </w:rPr>
              <w:t>实际完成情况</w:t>
            </w:r>
          </w:p>
        </w:tc>
      </w:tr>
      <w:tr w14:paraId="7A6EFE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B646A0"/>
        </w:tc>
        <w:tc>
          <w:tcPr>
            <w:tcW w:w="312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3FC538">
            <w:pPr>
              <w:jc w:val="both"/>
            </w:pPr>
            <w:r>
              <w:rPr>
                <w:rFonts w:ascii="宋体" w:hAnsi="宋体" w:eastAsia="宋体"/>
                <w:sz w:val="16"/>
              </w:rPr>
              <w:t>目标1：此项目民丰县水利枢纽工程建设管理费，发放建设管理费涉及企业数量1家，共计：520428.84元。</w:t>
            </w:r>
            <w:r>
              <w:rPr>
                <w:rFonts w:ascii="宋体" w:hAnsi="宋体" w:eastAsia="宋体"/>
                <w:sz w:val="16"/>
              </w:rPr>
              <w:br w:type="textWrapping"/>
            </w:r>
            <w:r>
              <w:rPr>
                <w:rFonts w:ascii="宋体" w:hAnsi="宋体" w:eastAsia="宋体"/>
                <w:sz w:val="16"/>
              </w:rPr>
              <w:t>目标2：通过此项目的实施，有效保障民丰县尼雅水库正常运行。</w:t>
            </w:r>
          </w:p>
        </w:tc>
        <w:tc>
          <w:tcPr>
            <w:tcW w:w="474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BD856B">
            <w:pPr>
              <w:jc w:val="both"/>
            </w:pPr>
            <w:r>
              <w:rPr>
                <w:rFonts w:ascii="宋体" w:hAnsi="宋体" w:eastAsia="宋体"/>
                <w:sz w:val="16"/>
              </w:rPr>
              <w:t>此项目民丰县水利枢纽工程建设管理费，发放建设管理费涉及企业数量1家，共计：520428.84元。通过此项目的实施，有效保障民丰县尼雅水库正常运行。</w:t>
            </w:r>
          </w:p>
        </w:tc>
      </w:tr>
      <w:tr w14:paraId="1F9534D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2BE7B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2977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EE564">
            <w:pPr>
              <w:jc w:val="center"/>
            </w:pPr>
            <w:r>
              <w:rPr>
                <w:rFonts w:ascii="宋体" w:hAnsi="宋体" w:eastAsia="宋体"/>
                <w:sz w:val="16"/>
              </w:rPr>
              <w:t>二级指标</w:t>
            </w: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76FC0C70">
            <w:pPr>
              <w:jc w:val="center"/>
            </w:pPr>
            <w:r>
              <w:rPr>
                <w:rFonts w:ascii="宋体" w:hAnsi="宋体" w:eastAsia="宋体"/>
                <w:sz w:val="16"/>
              </w:rPr>
              <w:t>三级指标</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6F8F684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05E6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7BBC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3A89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2BBFF">
            <w:pPr>
              <w:jc w:val="center"/>
            </w:pPr>
            <w:r>
              <w:rPr>
                <w:rFonts w:ascii="宋体" w:hAnsi="宋体" w:eastAsia="宋体"/>
                <w:sz w:val="16"/>
              </w:rPr>
              <w:t>偏差原因分析及改进措施</w:t>
            </w:r>
          </w:p>
        </w:tc>
      </w:tr>
      <w:tr w14:paraId="010BB8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A044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B9FD7">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E85E2">
            <w:pPr>
              <w:jc w:val="center"/>
            </w:pPr>
            <w:r>
              <w:rPr>
                <w:rFonts w:ascii="宋体" w:hAnsi="宋体" w:eastAsia="宋体"/>
                <w:sz w:val="16"/>
              </w:rPr>
              <w:t>数量指标</w:t>
            </w: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277952C9">
            <w:pPr>
              <w:jc w:val="center"/>
            </w:pPr>
            <w:r>
              <w:rPr>
                <w:rFonts w:ascii="宋体" w:hAnsi="宋体" w:eastAsia="宋体"/>
                <w:sz w:val="16"/>
              </w:rPr>
              <w:t>发放建设管理费涉及企业数量</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2AAC8092">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56217">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E5D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BA6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42939">
            <w:pPr>
              <w:jc w:val="center"/>
            </w:pPr>
          </w:p>
        </w:tc>
      </w:tr>
      <w:tr w14:paraId="0C6E33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DAB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D3B1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F4BE3">
            <w:pPr>
              <w:jc w:val="center"/>
            </w:pPr>
            <w:r>
              <w:rPr>
                <w:rFonts w:ascii="宋体" w:hAnsi="宋体" w:eastAsia="宋体"/>
                <w:sz w:val="16"/>
              </w:rPr>
              <w:t>质量指标</w:t>
            </w: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4B96D226">
            <w:pPr>
              <w:jc w:val="center"/>
            </w:pPr>
            <w:r>
              <w:rPr>
                <w:rFonts w:ascii="宋体" w:hAnsi="宋体" w:eastAsia="宋体"/>
                <w:sz w:val="16"/>
              </w:rPr>
              <w:t>资金使用到位率</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0E5D99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291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8D8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6786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23000">
            <w:pPr>
              <w:jc w:val="center"/>
            </w:pPr>
          </w:p>
        </w:tc>
      </w:tr>
      <w:tr w14:paraId="730B6F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DEC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50CAF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335D7">
            <w:pPr>
              <w:jc w:val="center"/>
            </w:pPr>
            <w:r>
              <w:rPr>
                <w:rFonts w:ascii="宋体" w:hAnsi="宋体" w:eastAsia="宋体"/>
                <w:sz w:val="16"/>
              </w:rPr>
              <w:t>时效指标</w:t>
            </w: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0B5A8092">
            <w:pPr>
              <w:jc w:val="center"/>
            </w:pPr>
            <w:r>
              <w:rPr>
                <w:rFonts w:ascii="宋体" w:hAnsi="宋体" w:eastAsia="宋体"/>
                <w:sz w:val="16"/>
              </w:rPr>
              <w:t>项目完成时间</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063E262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90D58">
            <w:pPr>
              <w:jc w:val="center"/>
            </w:pPr>
            <w:r>
              <w:rPr>
                <w:rFonts w:ascii="宋体" w:hAnsi="宋体" w:eastAsia="宋体"/>
                <w:sz w:val="16"/>
              </w:rPr>
              <w:t>2025年6月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FB8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74D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042CB">
            <w:pPr>
              <w:jc w:val="center"/>
            </w:pPr>
          </w:p>
        </w:tc>
      </w:tr>
      <w:tr w14:paraId="6C5C88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90B7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BBA8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3DA0B"/>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0D58A1E2">
            <w:pPr>
              <w:jc w:val="center"/>
            </w:pPr>
            <w:r>
              <w:rPr>
                <w:rFonts w:ascii="宋体" w:hAnsi="宋体" w:eastAsia="宋体"/>
                <w:sz w:val="16"/>
              </w:rPr>
              <w:t>资金发放及时率</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001CE8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E82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233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984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5F96E">
            <w:pPr>
              <w:jc w:val="center"/>
            </w:pPr>
            <w:r>
              <w:rPr>
                <w:rFonts w:ascii="宋体" w:hAnsi="宋体" w:eastAsia="宋体"/>
                <w:sz w:val="16"/>
              </w:rPr>
              <w:t>续建项目，未完工。</w:t>
            </w:r>
          </w:p>
        </w:tc>
      </w:tr>
      <w:tr w14:paraId="6B7725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DD6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A8B7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F4703">
            <w:pPr>
              <w:jc w:val="center"/>
            </w:pPr>
            <w:r>
              <w:rPr>
                <w:rFonts w:ascii="宋体" w:hAnsi="宋体" w:eastAsia="宋体"/>
                <w:sz w:val="16"/>
              </w:rPr>
              <w:t>经济成本指标</w:t>
            </w: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0D43587A">
            <w:pPr>
              <w:jc w:val="center"/>
            </w:pPr>
            <w:r>
              <w:rPr>
                <w:rFonts w:ascii="宋体" w:hAnsi="宋体" w:eastAsia="宋体"/>
                <w:sz w:val="16"/>
              </w:rPr>
              <w:t>发放建设管理费涉及企业平均成本</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5D6CB470">
            <w:pPr>
              <w:jc w:val="center"/>
            </w:pPr>
            <w:r>
              <w:rPr>
                <w:rFonts w:ascii="宋体" w:hAnsi="宋体" w:eastAsia="宋体"/>
                <w:sz w:val="16"/>
              </w:rPr>
              <w:t>&lt;=52.04万元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921FB">
            <w:pPr>
              <w:jc w:val="center"/>
            </w:pPr>
            <w:r>
              <w:rPr>
                <w:rFonts w:ascii="宋体" w:hAnsi="宋体" w:eastAsia="宋体"/>
                <w:sz w:val="16"/>
              </w:rPr>
              <w:t>=52.04万元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B0E6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11CC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5426F">
            <w:pPr>
              <w:jc w:val="center"/>
            </w:pPr>
          </w:p>
        </w:tc>
      </w:tr>
      <w:tr w14:paraId="428C2C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5068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3428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6B205">
            <w:pPr>
              <w:jc w:val="center"/>
            </w:pPr>
            <w:r>
              <w:rPr>
                <w:rFonts w:ascii="宋体" w:hAnsi="宋体" w:eastAsia="宋体"/>
                <w:sz w:val="16"/>
              </w:rPr>
              <w:t>社会效益指标</w:t>
            </w: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4114C4D2">
            <w:pPr>
              <w:jc w:val="center"/>
            </w:pPr>
            <w:r>
              <w:rPr>
                <w:rFonts w:ascii="宋体" w:hAnsi="宋体" w:eastAsia="宋体"/>
                <w:sz w:val="16"/>
              </w:rPr>
              <w:t>保障民丰县尼雅水库正常运行</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54ABBAC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EDB6C">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7387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DCDF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6A22E">
            <w:pPr>
              <w:jc w:val="center"/>
            </w:pPr>
          </w:p>
        </w:tc>
      </w:tr>
      <w:tr w14:paraId="4E7062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A33D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2554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01510">
            <w:pPr>
              <w:jc w:val="center"/>
            </w:pPr>
            <w:r>
              <w:rPr>
                <w:rFonts w:ascii="宋体" w:hAnsi="宋体" w:eastAsia="宋体"/>
                <w:sz w:val="16"/>
              </w:rPr>
              <w:t>满意度指标</w:t>
            </w:r>
          </w:p>
        </w:tc>
        <w:tc>
          <w:tcPr>
            <w:tcW w:w="1154" w:type="dxa"/>
            <w:tcBorders>
              <w:top w:val="single" w:color="auto" w:sz="10" w:space="0"/>
              <w:left w:val="single" w:color="auto" w:sz="10" w:space="0"/>
              <w:bottom w:val="single" w:color="auto" w:sz="10" w:space="0"/>
              <w:right w:val="single" w:color="auto" w:sz="10" w:space="0"/>
              <w:insideV w:val="single" w:sz="10" w:space="0"/>
            </w:tcBorders>
            <w:vAlign w:val="center"/>
          </w:tcPr>
          <w:p w14:paraId="51940D44">
            <w:pPr>
              <w:jc w:val="center"/>
            </w:pPr>
            <w:r>
              <w:rPr>
                <w:rFonts w:ascii="宋体" w:hAnsi="宋体" w:eastAsia="宋体"/>
                <w:sz w:val="16"/>
              </w:rPr>
              <w:t>受益企业满意度</w:t>
            </w:r>
          </w:p>
        </w:tc>
        <w:tc>
          <w:tcPr>
            <w:tcW w:w="812" w:type="dxa"/>
            <w:tcBorders>
              <w:top w:val="single" w:color="auto" w:sz="10" w:space="0"/>
              <w:left w:val="single" w:color="auto" w:sz="10" w:space="0"/>
              <w:bottom w:val="single" w:color="auto" w:sz="10" w:space="0"/>
              <w:right w:val="single" w:color="auto" w:sz="10" w:space="0"/>
              <w:insideV w:val="single" w:sz="10" w:space="0"/>
            </w:tcBorders>
            <w:vAlign w:val="center"/>
          </w:tcPr>
          <w:p w14:paraId="182C3DE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46C1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705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CA7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BF720">
            <w:pPr>
              <w:jc w:val="center"/>
            </w:pPr>
          </w:p>
        </w:tc>
      </w:tr>
      <w:tr w14:paraId="15098B0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C6AE7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E559F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26F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C25AE">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295F35B"/>
        </w:tc>
      </w:tr>
    </w:tbl>
    <w:p w14:paraId="2316961A">
      <w:r>
        <w:br w:type="page"/>
      </w:r>
    </w:p>
    <w:p w14:paraId="1D11C3BD">
      <w:pPr>
        <w:spacing w:line="640" w:lineRule="exact"/>
        <w:ind w:firstLine="640"/>
        <w:jc w:val="both"/>
        <w:outlineLvl w:val="2"/>
      </w:pPr>
      <w:r>
        <w:rPr>
          <w:rFonts w:ascii="黑体" w:hAnsi="黑体" w:eastAsia="黑体"/>
          <w:sz w:val="32"/>
        </w:rPr>
        <w:t>十二、其他需说明的事项</w:t>
      </w:r>
    </w:p>
    <w:p w14:paraId="208FB36B">
      <w:pPr>
        <w:spacing w:line="580" w:lineRule="exact"/>
        <w:ind w:firstLine="640"/>
        <w:jc w:val="both"/>
      </w:pPr>
      <w:r>
        <w:rPr>
          <w:rFonts w:ascii="仿宋_GB2312" w:hAnsi="仿宋_GB2312" w:eastAsia="仿宋_GB2312"/>
          <w:b w:val="0"/>
          <w:sz w:val="32"/>
        </w:rPr>
        <w:t>本单位</w:t>
      </w:r>
      <w:r>
        <w:rPr>
          <w:rFonts w:hint="eastAsia" w:ascii="仿宋_GB2312" w:hAnsi="仿宋_GB2312" w:eastAsia="仿宋_GB2312"/>
          <w:b w:val="0"/>
          <w:sz w:val="32"/>
          <w:lang w:val="en-US" w:eastAsia="zh-CN"/>
        </w:rPr>
        <w:t>为</w:t>
      </w:r>
      <w:r>
        <w:rPr>
          <w:rFonts w:ascii="仿宋_GB2312" w:hAnsi="仿宋_GB2312" w:eastAsia="仿宋_GB2312"/>
          <w:b w:val="0"/>
          <w:sz w:val="32"/>
        </w:rPr>
        <w:t>2024年8月份新成立单位</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无整体支出绩效自评表</w:t>
      </w:r>
      <w:bookmarkStart w:id="0" w:name="_GoBack"/>
      <w:bookmarkEnd w:id="0"/>
      <w:r>
        <w:rPr>
          <w:rFonts w:ascii="仿宋_GB2312" w:hAnsi="仿宋_GB2312" w:eastAsia="仿宋_GB2312"/>
          <w:b w:val="0"/>
          <w:sz w:val="32"/>
        </w:rPr>
        <w:t>。</w:t>
      </w:r>
    </w:p>
    <w:p w14:paraId="0E57AAB2">
      <w:r>
        <w:br w:type="page"/>
      </w:r>
    </w:p>
    <w:p w14:paraId="67C8928E">
      <w:pPr>
        <w:spacing w:line="240" w:lineRule="auto"/>
        <w:jc w:val="center"/>
        <w:outlineLvl w:val="1"/>
      </w:pPr>
      <w:r>
        <w:rPr>
          <w:rFonts w:ascii="黑体" w:hAnsi="黑体" w:eastAsia="黑体"/>
          <w:sz w:val="32"/>
        </w:rPr>
        <w:t>第三部分 专业名词解释</w:t>
      </w:r>
    </w:p>
    <w:p w14:paraId="2266D9D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1137F1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70F75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5C24F3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E5D411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BC52CF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2B5028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10C122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5CAC8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77DDF4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89CD40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62BC89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8D8D74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9C6C5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BA5B025">
      <w:r>
        <w:br w:type="page"/>
      </w:r>
    </w:p>
    <w:p w14:paraId="11C8F17B">
      <w:pPr>
        <w:spacing w:line="240" w:lineRule="auto"/>
        <w:jc w:val="center"/>
        <w:outlineLvl w:val="1"/>
      </w:pPr>
      <w:r>
        <w:rPr>
          <w:rFonts w:ascii="黑体" w:hAnsi="黑体" w:eastAsia="黑体"/>
          <w:sz w:val="32"/>
        </w:rPr>
        <w:t>第四部分 部门决算报表（见附表）</w:t>
      </w:r>
    </w:p>
    <w:p w14:paraId="54D8C4EC">
      <w:pPr>
        <w:spacing w:line="240" w:lineRule="auto"/>
        <w:ind w:firstLine="640"/>
        <w:jc w:val="both"/>
      </w:pPr>
      <w:r>
        <w:rPr>
          <w:rFonts w:ascii="仿宋_GB2312" w:hAnsi="仿宋_GB2312" w:eastAsia="仿宋_GB2312"/>
          <w:b w:val="0"/>
          <w:sz w:val="32"/>
        </w:rPr>
        <w:t>一、《收入支出决算总表》</w:t>
      </w:r>
    </w:p>
    <w:p w14:paraId="3E1FC3C2">
      <w:pPr>
        <w:spacing w:line="240" w:lineRule="auto"/>
        <w:ind w:firstLine="640"/>
        <w:jc w:val="both"/>
      </w:pPr>
      <w:r>
        <w:rPr>
          <w:rFonts w:ascii="仿宋_GB2312" w:hAnsi="仿宋_GB2312" w:eastAsia="仿宋_GB2312"/>
          <w:b w:val="0"/>
          <w:sz w:val="32"/>
        </w:rPr>
        <w:t>二、《收入决算表》</w:t>
      </w:r>
    </w:p>
    <w:p w14:paraId="66ECC35F">
      <w:pPr>
        <w:spacing w:line="240" w:lineRule="auto"/>
        <w:ind w:firstLine="640"/>
        <w:jc w:val="both"/>
      </w:pPr>
      <w:r>
        <w:rPr>
          <w:rFonts w:ascii="仿宋_GB2312" w:hAnsi="仿宋_GB2312" w:eastAsia="仿宋_GB2312"/>
          <w:b w:val="0"/>
          <w:sz w:val="32"/>
        </w:rPr>
        <w:t>三、《支出决算表》</w:t>
      </w:r>
    </w:p>
    <w:p w14:paraId="10D06776">
      <w:pPr>
        <w:spacing w:line="240" w:lineRule="auto"/>
        <w:ind w:firstLine="640"/>
        <w:jc w:val="both"/>
      </w:pPr>
      <w:r>
        <w:rPr>
          <w:rFonts w:ascii="仿宋_GB2312" w:hAnsi="仿宋_GB2312" w:eastAsia="仿宋_GB2312"/>
          <w:b w:val="0"/>
          <w:sz w:val="32"/>
        </w:rPr>
        <w:t>四、《财政拨款收入支出决算总表》</w:t>
      </w:r>
    </w:p>
    <w:p w14:paraId="07402F0E">
      <w:pPr>
        <w:spacing w:line="240" w:lineRule="auto"/>
        <w:ind w:firstLine="640"/>
        <w:jc w:val="both"/>
      </w:pPr>
      <w:r>
        <w:rPr>
          <w:rFonts w:ascii="仿宋_GB2312" w:hAnsi="仿宋_GB2312" w:eastAsia="仿宋_GB2312"/>
          <w:b w:val="0"/>
          <w:sz w:val="32"/>
        </w:rPr>
        <w:t>五、《一般公共预算财政拨款支出决算表》</w:t>
      </w:r>
    </w:p>
    <w:p w14:paraId="0206F338">
      <w:pPr>
        <w:spacing w:line="240" w:lineRule="auto"/>
        <w:ind w:firstLine="640"/>
        <w:jc w:val="both"/>
      </w:pPr>
      <w:r>
        <w:rPr>
          <w:rFonts w:ascii="仿宋_GB2312" w:hAnsi="仿宋_GB2312" w:eastAsia="仿宋_GB2312"/>
          <w:b w:val="0"/>
          <w:sz w:val="32"/>
        </w:rPr>
        <w:t>六、《一般公共预算财政拨款基本支出决算表》</w:t>
      </w:r>
    </w:p>
    <w:p w14:paraId="235190DF">
      <w:pPr>
        <w:spacing w:line="240" w:lineRule="auto"/>
        <w:ind w:firstLine="640"/>
        <w:jc w:val="both"/>
      </w:pPr>
      <w:r>
        <w:rPr>
          <w:rFonts w:ascii="仿宋_GB2312" w:hAnsi="仿宋_GB2312" w:eastAsia="仿宋_GB2312"/>
          <w:b w:val="0"/>
          <w:sz w:val="32"/>
        </w:rPr>
        <w:t>七、《政府性基金预算财政拨款收入支出决算表》</w:t>
      </w:r>
    </w:p>
    <w:p w14:paraId="0A381BA9">
      <w:pPr>
        <w:spacing w:line="240" w:lineRule="auto"/>
        <w:ind w:firstLine="640"/>
        <w:jc w:val="both"/>
      </w:pPr>
      <w:r>
        <w:rPr>
          <w:rFonts w:ascii="仿宋_GB2312" w:hAnsi="仿宋_GB2312" w:eastAsia="仿宋_GB2312"/>
          <w:b w:val="0"/>
          <w:sz w:val="32"/>
        </w:rPr>
        <w:t>八、《国有资本经营预算财政拨款收入支出决算表》</w:t>
      </w:r>
    </w:p>
    <w:p w14:paraId="3696C5F7">
      <w:pPr>
        <w:spacing w:line="240" w:lineRule="auto"/>
        <w:ind w:firstLine="640"/>
        <w:jc w:val="both"/>
      </w:pPr>
      <w:r>
        <w:rPr>
          <w:rFonts w:ascii="仿宋_GB2312" w:hAnsi="仿宋_GB2312" w:eastAsia="仿宋_GB2312"/>
          <w:b w:val="0"/>
          <w:sz w:val="32"/>
        </w:rPr>
        <w:t>九、《财政拨款“三公”经费支出决算表》</w:t>
      </w:r>
    </w:p>
    <w:p w14:paraId="186CC4C7">
      <w:pPr>
        <w:spacing w:line="240" w:lineRule="auto"/>
        <w:ind w:firstLine="640"/>
        <w:jc w:val="both"/>
      </w:pPr>
    </w:p>
    <w:p w14:paraId="5BC77596">
      <w:pPr>
        <w:spacing w:line="240" w:lineRule="auto"/>
        <w:ind w:firstLine="640"/>
        <w:jc w:val="both"/>
      </w:pPr>
    </w:p>
    <w:p w14:paraId="58874C53">
      <w:pPr>
        <w:spacing w:line="240" w:lineRule="auto"/>
        <w:ind w:firstLine="640"/>
        <w:jc w:val="both"/>
      </w:pPr>
    </w:p>
    <w:p w14:paraId="3A6E5F94">
      <w:pPr>
        <w:spacing w:line="240" w:lineRule="auto"/>
        <w:ind w:firstLine="640"/>
        <w:jc w:val="both"/>
      </w:pPr>
    </w:p>
    <w:p w14:paraId="3DBCF93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234C5E"/>
    <w:rsid w:val="38006E2C"/>
    <w:rsid w:val="3914510A"/>
    <w:rsid w:val="3ADF5A6D"/>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CD7EC0"/>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9858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7307</Words>
  <Characters>8622</Characters>
  <Lines>0</Lines>
  <Paragraphs>0</Paragraphs>
  <TotalTime>1</TotalTime>
  <ScaleCrop>false</ScaleCrop>
  <LinksUpToDate>false</LinksUpToDate>
  <CharactersWithSpaces>8658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2025-09-25T09:14:18Z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