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民丰县未来幼儿园2024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E5061FF">
      <w:r>
        <w:br w:type="page"/>
      </w:r>
    </w:p>
    <w:p w14:paraId="0D60ADB6">
      <w:pPr>
        <w:spacing w:line="640" w:lineRule="exact"/>
        <w:jc w:val="center"/>
        <w:outlineLvl w:val="1"/>
      </w:pPr>
      <w:r>
        <w:rPr>
          <w:rFonts w:ascii="黑体" w:hAnsi="黑体" w:eastAsia="黑体"/>
          <w:sz w:val="32"/>
        </w:rPr>
        <w:t>第一部分 单位概况</w:t>
      </w:r>
    </w:p>
    <w:p w14:paraId="7D2218B2">
      <w:pPr>
        <w:spacing w:line="640" w:lineRule="exact"/>
        <w:ind w:firstLine="640"/>
        <w:jc w:val="both"/>
        <w:outlineLvl w:val="2"/>
      </w:pPr>
      <w:r>
        <w:rPr>
          <w:rFonts w:ascii="黑体" w:hAnsi="黑体" w:eastAsia="黑体"/>
          <w:sz w:val="32"/>
        </w:rPr>
        <w:t>一、主要职能</w:t>
      </w:r>
    </w:p>
    <w:p w14:paraId="7FFFD5DD">
      <w:pPr>
        <w:spacing w:line="580" w:lineRule="exact"/>
        <w:ind w:firstLine="640"/>
        <w:jc w:val="both"/>
      </w:pPr>
      <w:r>
        <w:rPr>
          <w:rFonts w:ascii="仿宋_GB2312" w:hAnsi="仿宋_GB2312" w:eastAsia="仿宋_GB2312"/>
          <w:sz w:val="32"/>
        </w:rPr>
        <w:t>促进幼儿身心和谐全面发展、认真贯彻执行《幼儿园工作规程》，结合幼儿的特点和个体差异及时制定好各类教育工作计划，并认真实施，有计划有步骤地开展保教工作。落实上级教育部门的工作任务，指导、检查、全体教职工业务学习、思想政治工作、做好</w:t>
      </w:r>
      <w:r>
        <w:rPr>
          <w:rFonts w:hint="eastAsia" w:ascii="仿宋_GB2312" w:hAnsi="仿宋_GB2312" w:eastAsia="仿宋_GB2312"/>
          <w:sz w:val="32"/>
          <w:lang w:eastAsia="zh-CN"/>
        </w:rPr>
        <w:t>WW</w:t>
      </w:r>
      <w:r>
        <w:rPr>
          <w:rFonts w:ascii="仿宋_GB2312" w:hAnsi="仿宋_GB2312" w:eastAsia="仿宋_GB2312"/>
          <w:sz w:val="32"/>
        </w:rPr>
        <w:t>工作、党建工作、工青妇等日常工作。</w:t>
      </w:r>
    </w:p>
    <w:p w14:paraId="1961CA12">
      <w:pPr>
        <w:spacing w:line="640" w:lineRule="exact"/>
        <w:ind w:firstLine="640"/>
        <w:jc w:val="both"/>
        <w:outlineLvl w:val="2"/>
      </w:pPr>
      <w:r>
        <w:rPr>
          <w:rFonts w:ascii="黑体" w:hAnsi="黑体" w:eastAsia="黑体"/>
          <w:sz w:val="32"/>
        </w:rPr>
        <w:t>二、机构设置及人员情况</w:t>
      </w:r>
    </w:p>
    <w:p w14:paraId="168A5C9F">
      <w:pPr>
        <w:spacing w:line="580" w:lineRule="exact"/>
        <w:ind w:firstLine="640"/>
        <w:jc w:val="both"/>
      </w:pPr>
      <w:r>
        <w:rPr>
          <w:rFonts w:ascii="仿宋_GB2312" w:hAnsi="仿宋_GB2312" w:eastAsia="仿宋_GB2312"/>
          <w:sz w:val="32"/>
        </w:rPr>
        <w:t>民丰县未来幼儿园2024年度，实有人数9人，其中：在职人员9人，增加9人；离休人员0人，增加0人；退休人员0人</w:t>
      </w:r>
      <w:bookmarkStart w:id="0" w:name="_GoBack"/>
      <w:r>
        <w:rPr>
          <w:rFonts w:ascii="仿宋_GB2312" w:hAnsi="仿宋_GB2312" w:eastAsia="仿宋_GB2312"/>
          <w:sz w:val="32"/>
        </w:rPr>
        <w:t>,</w:t>
      </w:r>
      <w:bookmarkEnd w:id="0"/>
      <w:r>
        <w:rPr>
          <w:rFonts w:ascii="仿宋_GB2312" w:hAnsi="仿宋_GB2312" w:eastAsia="仿宋_GB2312"/>
          <w:sz w:val="32"/>
        </w:rPr>
        <w:t>增加0人。</w:t>
      </w:r>
    </w:p>
    <w:p w14:paraId="411E1CDE">
      <w:pPr>
        <w:spacing w:line="580" w:lineRule="exact"/>
        <w:ind w:firstLine="640"/>
        <w:jc w:val="both"/>
      </w:pPr>
      <w:r>
        <w:rPr>
          <w:rFonts w:ascii="仿宋_GB2312" w:hAnsi="仿宋_GB2312" w:eastAsia="仿宋_GB2312"/>
          <w:sz w:val="32"/>
        </w:rPr>
        <w:t>民丰县未来幼儿园无下属预算单位，下设7个科室，分别是：书记办公室、教务室、德育办、办公室、校安办、党建办、后勤办公室。</w:t>
      </w:r>
    </w:p>
    <w:p w14:paraId="3B1535D6">
      <w:r>
        <w:br w:type="page"/>
      </w:r>
    </w:p>
    <w:p w14:paraId="02F1E882">
      <w:pPr>
        <w:spacing w:line="240" w:lineRule="auto"/>
        <w:jc w:val="center"/>
        <w:outlineLvl w:val="1"/>
      </w:pPr>
      <w:r>
        <w:rPr>
          <w:rFonts w:ascii="黑体" w:hAnsi="黑体" w:eastAsia="黑体"/>
          <w:sz w:val="32"/>
        </w:rPr>
        <w:t>第二部分 部门决算情况说明</w:t>
      </w:r>
    </w:p>
    <w:p w14:paraId="57A1C504">
      <w:pPr>
        <w:spacing w:line="640" w:lineRule="exact"/>
        <w:ind w:firstLine="640"/>
        <w:jc w:val="both"/>
        <w:outlineLvl w:val="2"/>
      </w:pPr>
      <w:r>
        <w:rPr>
          <w:rFonts w:ascii="黑体" w:hAnsi="黑体" w:eastAsia="黑体"/>
          <w:sz w:val="32"/>
        </w:rPr>
        <w:t>一、收入支出决算总体情况说明</w:t>
      </w:r>
    </w:p>
    <w:p w14:paraId="793D87E0">
      <w:pPr>
        <w:spacing w:line="580" w:lineRule="exact"/>
        <w:ind w:firstLine="640"/>
        <w:jc w:val="both"/>
      </w:pPr>
      <w:r>
        <w:rPr>
          <w:rFonts w:ascii="仿宋_GB2312" w:hAnsi="仿宋_GB2312" w:eastAsia="仿宋_GB2312"/>
          <w:b/>
          <w:sz w:val="32"/>
        </w:rPr>
        <w:t>2024年度收入总计227.19万元，</w:t>
      </w:r>
      <w:r>
        <w:rPr>
          <w:rFonts w:ascii="仿宋_GB2312" w:hAnsi="仿宋_GB2312" w:eastAsia="仿宋_GB2312"/>
          <w:b w:val="0"/>
          <w:sz w:val="32"/>
        </w:rPr>
        <w:t>其中：本年收入合计227.19万元，使用非财政拨款结余（含专用结余）0.00万元，年初结转和结余0.00万元。</w:t>
      </w:r>
    </w:p>
    <w:p w14:paraId="5BA82485">
      <w:pPr>
        <w:spacing w:line="580" w:lineRule="exact"/>
        <w:ind w:firstLine="640"/>
        <w:jc w:val="both"/>
      </w:pPr>
      <w:r>
        <w:rPr>
          <w:rFonts w:ascii="仿宋_GB2312" w:hAnsi="仿宋_GB2312" w:eastAsia="仿宋_GB2312"/>
          <w:b/>
          <w:sz w:val="32"/>
        </w:rPr>
        <w:t>2024年度支出总计227.19万元，</w:t>
      </w:r>
      <w:r>
        <w:rPr>
          <w:rFonts w:ascii="仿宋_GB2312" w:hAnsi="仿宋_GB2312" w:eastAsia="仿宋_GB2312"/>
          <w:b w:val="0"/>
          <w:sz w:val="32"/>
        </w:rPr>
        <w:t>其中：本年支出合计227.19万元，结余分配0.00万元，年末结转和结余0.01万元。</w:t>
      </w:r>
    </w:p>
    <w:p w14:paraId="69A74B08">
      <w:pPr>
        <w:spacing w:line="580" w:lineRule="exact"/>
        <w:ind w:firstLine="640"/>
        <w:jc w:val="both"/>
      </w:pPr>
      <w:r>
        <w:rPr>
          <w:rFonts w:ascii="仿宋_GB2312" w:hAnsi="仿宋_GB2312" w:eastAsia="仿宋_GB2312"/>
          <w:b w:val="0"/>
          <w:sz w:val="32"/>
        </w:rPr>
        <w:t>收入支出总体与上年相比，增加227.19万元，增长100.00%，主要原因是：本单位为2024年新增单位，无上年对比数据</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因此较上年增长100%</w:t>
      </w:r>
      <w:r>
        <w:rPr>
          <w:rFonts w:ascii="仿宋_GB2312" w:hAnsi="仿宋_GB2312" w:eastAsia="仿宋_GB2312"/>
          <w:b w:val="0"/>
          <w:sz w:val="32"/>
        </w:rPr>
        <w:t>。</w:t>
      </w:r>
    </w:p>
    <w:p w14:paraId="38261F29">
      <w:pPr>
        <w:spacing w:line="640" w:lineRule="exact"/>
        <w:ind w:firstLine="640"/>
        <w:jc w:val="both"/>
        <w:outlineLvl w:val="2"/>
      </w:pPr>
      <w:r>
        <w:rPr>
          <w:rFonts w:ascii="黑体" w:hAnsi="黑体" w:eastAsia="黑体"/>
          <w:sz w:val="32"/>
        </w:rPr>
        <w:t>二、收入决算情况说明</w:t>
      </w:r>
    </w:p>
    <w:p w14:paraId="7BF9070B">
      <w:pPr>
        <w:spacing w:line="580" w:lineRule="exact"/>
        <w:ind w:firstLine="640"/>
        <w:jc w:val="both"/>
      </w:pPr>
      <w:r>
        <w:rPr>
          <w:rFonts w:ascii="仿宋_GB2312" w:hAnsi="仿宋_GB2312" w:eastAsia="仿宋_GB2312"/>
          <w:b/>
          <w:sz w:val="32"/>
        </w:rPr>
        <w:t>本年收入227.19万元，</w:t>
      </w:r>
      <w:r>
        <w:rPr>
          <w:rFonts w:ascii="仿宋_GB2312" w:hAnsi="仿宋_GB2312" w:eastAsia="仿宋_GB2312"/>
          <w:b w:val="0"/>
          <w:sz w:val="32"/>
        </w:rPr>
        <w:t>其中：财政拨款收入227.19万元，占100.00%；上级补助收入0.00万元，占0.00%；事业收入0.00万元，占0.00%；经营收入0.00万元，占0.00%；附属单位上缴收入0.00万元，占0.00%；其他收入0.01万元，占0.004%。</w:t>
      </w:r>
    </w:p>
    <w:p w14:paraId="6F67650F">
      <w:pPr>
        <w:spacing w:line="640" w:lineRule="exact"/>
        <w:ind w:firstLine="640"/>
        <w:jc w:val="both"/>
        <w:outlineLvl w:val="2"/>
      </w:pPr>
      <w:r>
        <w:rPr>
          <w:rFonts w:ascii="黑体" w:hAnsi="黑体" w:eastAsia="黑体"/>
          <w:sz w:val="32"/>
        </w:rPr>
        <w:t>三、支出决算情况说明</w:t>
      </w:r>
    </w:p>
    <w:p w14:paraId="31BF3413">
      <w:pPr>
        <w:spacing w:line="580" w:lineRule="exact"/>
        <w:ind w:firstLine="640"/>
        <w:jc w:val="both"/>
      </w:pPr>
      <w:r>
        <w:rPr>
          <w:rFonts w:ascii="仿宋_GB2312" w:hAnsi="仿宋_GB2312" w:eastAsia="仿宋_GB2312"/>
          <w:b/>
          <w:sz w:val="32"/>
        </w:rPr>
        <w:t>本年支出227.19万元，</w:t>
      </w:r>
      <w:r>
        <w:rPr>
          <w:rFonts w:ascii="仿宋_GB2312" w:hAnsi="仿宋_GB2312" w:eastAsia="仿宋_GB2312"/>
          <w:b w:val="0"/>
          <w:sz w:val="32"/>
        </w:rPr>
        <w:t>其中：基本支出158.23万元，占69.65%；项目支出68.96万元，占30.35%；上缴上级支出0.00万元，占0.00%；经营支出0.00万元，占0.00%；对附属单位补助支出0.00万元，占0.00%。</w:t>
      </w:r>
    </w:p>
    <w:p w14:paraId="6908B203">
      <w:pPr>
        <w:spacing w:line="640" w:lineRule="exact"/>
        <w:ind w:firstLine="640"/>
        <w:jc w:val="both"/>
        <w:outlineLvl w:val="2"/>
      </w:pPr>
      <w:r>
        <w:rPr>
          <w:rFonts w:ascii="黑体" w:hAnsi="黑体" w:eastAsia="黑体"/>
          <w:sz w:val="32"/>
        </w:rPr>
        <w:t>四、财政拨款收入支出决算总体情况说明</w:t>
      </w:r>
    </w:p>
    <w:p w14:paraId="37DD822C">
      <w:pPr>
        <w:spacing w:line="580" w:lineRule="exact"/>
        <w:ind w:firstLine="640"/>
        <w:jc w:val="both"/>
      </w:pPr>
      <w:r>
        <w:rPr>
          <w:rFonts w:ascii="仿宋_GB2312" w:hAnsi="仿宋_GB2312" w:eastAsia="仿宋_GB2312"/>
          <w:b/>
          <w:sz w:val="32"/>
        </w:rPr>
        <w:t>2024年度财政拨款收入总计227.19万元，</w:t>
      </w:r>
      <w:r>
        <w:rPr>
          <w:rFonts w:ascii="仿宋_GB2312" w:hAnsi="仿宋_GB2312" w:eastAsia="仿宋_GB2312"/>
          <w:b w:val="0"/>
          <w:sz w:val="32"/>
        </w:rPr>
        <w:t>其中：年初财政拨款结转和结余0.00万元，本年财政拨款收入227.19万元。</w:t>
      </w:r>
      <w:r>
        <w:rPr>
          <w:rFonts w:ascii="仿宋_GB2312" w:hAnsi="仿宋_GB2312" w:eastAsia="仿宋_GB2312"/>
          <w:b/>
          <w:sz w:val="32"/>
        </w:rPr>
        <w:t>财政拨款支出总计227.19万元，</w:t>
      </w:r>
      <w:r>
        <w:rPr>
          <w:rFonts w:ascii="仿宋_GB2312" w:hAnsi="仿宋_GB2312" w:eastAsia="仿宋_GB2312"/>
          <w:b w:val="0"/>
          <w:sz w:val="32"/>
        </w:rPr>
        <w:t>其中：年末财政拨款结转和结余0.00万元，本年财政拨款支出227.19万元。</w:t>
      </w:r>
    </w:p>
    <w:p w14:paraId="5CC1AFC2">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增加227.19万元，增长100.00%，主要原因是：本单位为2024年新增单位，无上年对比数据</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因此较上年增长100%</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年初预算数220.29万元，决算数227.19万元，预决算差异率3.13%，主要原因是：年中追加人员工资、社保、公积金基数调增部分资金，导致预决算存在差异。</w:t>
      </w:r>
    </w:p>
    <w:p w14:paraId="40E14D60">
      <w:pPr>
        <w:spacing w:line="640" w:lineRule="exact"/>
        <w:ind w:firstLine="640"/>
        <w:jc w:val="both"/>
        <w:outlineLvl w:val="2"/>
      </w:pPr>
      <w:r>
        <w:rPr>
          <w:rFonts w:ascii="黑体" w:hAnsi="黑体" w:eastAsia="黑体"/>
          <w:sz w:val="32"/>
        </w:rPr>
        <w:t>五、一般公共预算财政拨款支出决算情况说明</w:t>
      </w:r>
    </w:p>
    <w:p w14:paraId="6D67A102">
      <w:pPr>
        <w:spacing w:line="640" w:lineRule="exact"/>
        <w:ind w:firstLine="640"/>
        <w:jc w:val="both"/>
        <w:outlineLvl w:val="3"/>
      </w:pPr>
      <w:r>
        <w:rPr>
          <w:rFonts w:ascii="楷体_GB2312" w:hAnsi="楷体_GB2312" w:eastAsia="楷体_GB2312"/>
          <w:b/>
          <w:sz w:val="32"/>
        </w:rPr>
        <w:t>（一）一般公共预算财政拨款支出决算总体情况</w:t>
      </w:r>
    </w:p>
    <w:p w14:paraId="136E783B">
      <w:pPr>
        <w:spacing w:line="580" w:lineRule="exact"/>
        <w:ind w:firstLine="640"/>
        <w:jc w:val="both"/>
      </w:pPr>
      <w:r>
        <w:rPr>
          <w:rFonts w:ascii="仿宋_GB2312" w:hAnsi="仿宋_GB2312" w:eastAsia="仿宋_GB2312"/>
          <w:b/>
          <w:sz w:val="32"/>
        </w:rPr>
        <w:t>2024年度一般公共预算财政拨款支出227.19万元，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增加227.19万元，增长100.00%，主要原因是：本单位为2024年新增单位，无上年对比数据</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因此较上年增长100%</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年初预算数220.29万元，决算数227.19万元，预决算差异率3.13%，主要原因是：年中追加人员工资、社保、公积金基数调增部分资金，导致预决算存在差异。</w:t>
      </w:r>
    </w:p>
    <w:p w14:paraId="0078DE8A">
      <w:pPr>
        <w:spacing w:line="640" w:lineRule="exact"/>
        <w:ind w:firstLine="640"/>
        <w:jc w:val="both"/>
        <w:outlineLvl w:val="3"/>
      </w:pPr>
      <w:r>
        <w:rPr>
          <w:rFonts w:ascii="楷体_GB2312" w:hAnsi="楷体_GB2312" w:eastAsia="楷体_GB2312"/>
          <w:b/>
          <w:sz w:val="32"/>
        </w:rPr>
        <w:t>（二）一般公共预算财政拨款支出决算结构情况</w:t>
      </w:r>
    </w:p>
    <w:p w14:paraId="115047B9">
      <w:pPr>
        <w:spacing w:line="580" w:lineRule="exact"/>
        <w:ind w:firstLine="640"/>
        <w:jc w:val="both"/>
      </w:pPr>
      <w:r>
        <w:rPr>
          <w:rFonts w:ascii="仿宋_GB2312" w:hAnsi="仿宋_GB2312" w:eastAsia="仿宋_GB2312"/>
          <w:b w:val="0"/>
          <w:sz w:val="32"/>
        </w:rPr>
        <w:t>1.教育支出(类)227.19万元,占100.00%。</w:t>
      </w:r>
    </w:p>
    <w:p w14:paraId="6E4DFD61">
      <w:pPr>
        <w:spacing w:line="640" w:lineRule="exact"/>
        <w:ind w:firstLine="640"/>
        <w:jc w:val="both"/>
        <w:outlineLvl w:val="3"/>
      </w:pPr>
      <w:r>
        <w:rPr>
          <w:rFonts w:ascii="楷体_GB2312" w:hAnsi="楷体_GB2312" w:eastAsia="楷体_GB2312"/>
          <w:b/>
          <w:sz w:val="32"/>
        </w:rPr>
        <w:t>（三）一般公共预算财政拨款支出决算具体情况</w:t>
      </w:r>
    </w:p>
    <w:p w14:paraId="64482A56">
      <w:pPr>
        <w:spacing w:line="580" w:lineRule="exact"/>
        <w:ind w:firstLine="640"/>
        <w:jc w:val="both"/>
      </w:pPr>
      <w:r>
        <w:rPr>
          <w:rFonts w:ascii="仿宋_GB2312" w:hAnsi="仿宋_GB2312" w:eastAsia="仿宋_GB2312"/>
          <w:b w:val="0"/>
          <w:sz w:val="32"/>
        </w:rPr>
        <w:t>1.教育支出(类)普通教育(款)学前教育(项):支出决算数为227.19万元，比上年决算增加227.19万元，增长100.00%,主要原因是：本单位为2024年新增单位，无上年对比数据</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因此较上年增长100%</w:t>
      </w:r>
      <w:r>
        <w:rPr>
          <w:rFonts w:ascii="仿宋_GB2312" w:hAnsi="仿宋_GB2312" w:eastAsia="仿宋_GB2312"/>
          <w:b w:val="0"/>
          <w:sz w:val="32"/>
        </w:rPr>
        <w:t>。</w:t>
      </w:r>
    </w:p>
    <w:p w14:paraId="02C07A84">
      <w:pPr>
        <w:spacing w:line="640" w:lineRule="exact"/>
        <w:ind w:firstLine="640"/>
        <w:jc w:val="both"/>
        <w:outlineLvl w:val="2"/>
      </w:pPr>
      <w:r>
        <w:rPr>
          <w:rFonts w:ascii="黑体" w:hAnsi="黑体" w:eastAsia="黑体"/>
          <w:sz w:val="32"/>
        </w:rPr>
        <w:t>六、一般公共预算财政拨款基本支出决算情况说明</w:t>
      </w:r>
    </w:p>
    <w:p w14:paraId="4722BB52">
      <w:pPr>
        <w:spacing w:line="580" w:lineRule="exact"/>
        <w:ind w:firstLine="640"/>
        <w:jc w:val="both"/>
      </w:pPr>
      <w:r>
        <w:rPr>
          <w:rFonts w:ascii="仿宋_GB2312" w:hAnsi="仿宋_GB2312" w:eastAsia="仿宋_GB2312"/>
          <w:b w:val="0"/>
          <w:sz w:val="32"/>
        </w:rPr>
        <w:t>2024年度一般公共预算财政拨款基本支出158.23万元，其中：</w:t>
      </w:r>
      <w:r>
        <w:rPr>
          <w:rFonts w:ascii="仿宋_GB2312" w:hAnsi="仿宋_GB2312" w:eastAsia="仿宋_GB2312"/>
          <w:b/>
          <w:sz w:val="32"/>
        </w:rPr>
        <w:t>人员经费158.23万元，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w:t>
      </w:r>
    </w:p>
    <w:p w14:paraId="3F108D7E">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5B9009F5">
      <w:pPr>
        <w:spacing w:line="640" w:lineRule="exact"/>
        <w:ind w:firstLine="640"/>
        <w:jc w:val="both"/>
        <w:outlineLvl w:val="2"/>
      </w:pPr>
      <w:r>
        <w:rPr>
          <w:rFonts w:ascii="黑体" w:hAnsi="黑体" w:eastAsia="黑体"/>
          <w:sz w:val="32"/>
        </w:rPr>
        <w:t>七、政府性基金预算财政拨款收入支出决算情况说明</w:t>
      </w:r>
    </w:p>
    <w:p w14:paraId="1C6086DA">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67B62E9">
      <w:pPr>
        <w:spacing w:line="640" w:lineRule="exact"/>
        <w:ind w:firstLine="640"/>
        <w:jc w:val="both"/>
        <w:outlineLvl w:val="2"/>
      </w:pPr>
      <w:r>
        <w:rPr>
          <w:rFonts w:ascii="黑体" w:hAnsi="黑体" w:eastAsia="黑体"/>
          <w:sz w:val="32"/>
        </w:rPr>
        <w:t>八、国有资本经营预算财政拨款收入支出决算情况说明</w:t>
      </w:r>
    </w:p>
    <w:p w14:paraId="1802327C">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54E41DE">
      <w:pPr>
        <w:spacing w:line="640" w:lineRule="exact"/>
        <w:ind w:firstLine="640"/>
        <w:jc w:val="both"/>
        <w:outlineLvl w:val="2"/>
      </w:pPr>
      <w:r>
        <w:rPr>
          <w:rFonts w:ascii="黑体" w:hAnsi="黑体" w:eastAsia="黑体"/>
          <w:sz w:val="32"/>
        </w:rPr>
        <w:t>九、财政拨款“三公”经费支出决算情况说明</w:t>
      </w:r>
    </w:p>
    <w:p w14:paraId="1C0E7D89">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2024年未安排财政拨款“三公”经费支出。其中：因公出国（境）费支出0.00万元，占0.00%，比上年增加0.00万元，增长0.00%，主要原因是：2024年未安排因公出国（境）费支出。公务用车购置及运行维护费支出0.00万元，占0.00%，比上年增加0.00万元，增长0.00%，主要原因是：2024年未安排公务用车购置及运行维护费支出。公务接待费支出0.00万元，占0.00%，比上年增加0.00万元，增长0.00%，主要原因是：2024年均安排公务接待费支出。</w:t>
      </w:r>
    </w:p>
    <w:p w14:paraId="791540E5">
      <w:pPr>
        <w:spacing w:line="580" w:lineRule="exact"/>
        <w:ind w:firstLine="640"/>
        <w:jc w:val="both"/>
      </w:pPr>
      <w:r>
        <w:rPr>
          <w:rFonts w:ascii="仿宋_GB2312" w:hAnsi="仿宋_GB2312" w:eastAsia="仿宋_GB2312"/>
          <w:b/>
          <w:sz w:val="32"/>
        </w:rPr>
        <w:t>具体情况如下：</w:t>
      </w:r>
    </w:p>
    <w:p w14:paraId="513F4FAC">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81C9515">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31D11717">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C0A6405">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745DE33C">
      <w:pPr>
        <w:spacing w:line="640" w:lineRule="exact"/>
        <w:ind w:firstLine="640"/>
        <w:jc w:val="both"/>
        <w:outlineLvl w:val="2"/>
      </w:pPr>
      <w:r>
        <w:rPr>
          <w:rFonts w:ascii="黑体" w:hAnsi="黑体" w:eastAsia="黑体"/>
          <w:sz w:val="32"/>
        </w:rPr>
        <w:t>十、其他重要事项的情况说明</w:t>
      </w:r>
    </w:p>
    <w:p w14:paraId="14EEC77E">
      <w:pPr>
        <w:spacing w:line="640" w:lineRule="exact"/>
        <w:ind w:firstLine="640"/>
        <w:jc w:val="both"/>
        <w:outlineLvl w:val="3"/>
      </w:pPr>
      <w:r>
        <w:rPr>
          <w:rFonts w:ascii="楷体_GB2312" w:hAnsi="楷体_GB2312" w:eastAsia="楷体_GB2312"/>
          <w:b/>
          <w:sz w:val="32"/>
        </w:rPr>
        <w:t>（一）机关运行经费及公用经费支出情况</w:t>
      </w:r>
    </w:p>
    <w:p w14:paraId="7C8794D7">
      <w:pPr>
        <w:spacing w:line="580" w:lineRule="exact"/>
        <w:ind w:firstLine="640"/>
        <w:jc w:val="both"/>
      </w:pPr>
      <w:r>
        <w:rPr>
          <w:rFonts w:ascii="仿宋_GB2312" w:hAnsi="仿宋_GB2312" w:eastAsia="仿宋_GB2312"/>
          <w:b w:val="0"/>
          <w:sz w:val="32"/>
        </w:rPr>
        <w:t>2024年度民丰县未来幼儿园（事业单位）公用经费支出0.00万元，比上年增加0.00万元，增长0.00%，主要原因是：2024年未安排公用经费支出。</w:t>
      </w:r>
    </w:p>
    <w:p w14:paraId="223F0791">
      <w:pPr>
        <w:spacing w:line="640" w:lineRule="exact"/>
        <w:ind w:firstLine="640"/>
        <w:jc w:val="both"/>
        <w:outlineLvl w:val="3"/>
      </w:pPr>
      <w:r>
        <w:rPr>
          <w:rFonts w:ascii="楷体_GB2312" w:hAnsi="楷体_GB2312" w:eastAsia="楷体_GB2312"/>
          <w:b/>
          <w:sz w:val="32"/>
        </w:rPr>
        <w:t>（二）政府采购情况</w:t>
      </w:r>
    </w:p>
    <w:p w14:paraId="61AA37D9">
      <w:pPr>
        <w:spacing w:line="580" w:lineRule="exact"/>
        <w:ind w:firstLine="640"/>
        <w:jc w:val="both"/>
      </w:pPr>
      <w:r>
        <w:rPr>
          <w:rFonts w:ascii="仿宋_GB2312" w:hAnsi="仿宋_GB2312" w:eastAsia="仿宋_GB2312"/>
          <w:b w:val="0"/>
          <w:sz w:val="32"/>
        </w:rPr>
        <w:t>2024年度政府采购支出总额10.85万元，其中：政府采购货物支出6.80万元、政府采购工程支出0.00万元、政府采购服务支出4.05万元。</w:t>
      </w:r>
    </w:p>
    <w:p w14:paraId="423C769D">
      <w:pPr>
        <w:spacing w:line="580" w:lineRule="exact"/>
        <w:ind w:firstLine="640"/>
        <w:jc w:val="both"/>
      </w:pPr>
      <w:r>
        <w:rPr>
          <w:rFonts w:ascii="仿宋_GB2312" w:hAnsi="仿宋_GB2312" w:eastAsia="仿宋_GB2312"/>
          <w:b w:val="0"/>
          <w:sz w:val="32"/>
        </w:rPr>
        <w:t>授予中小企业合同金额10.85万元，占政府采购支出总额的100.00%，其中：授予小微企业合同金额10.85万元，占政府采购支出总额的100.00%。</w:t>
      </w:r>
    </w:p>
    <w:p w14:paraId="3D88E75B">
      <w:pPr>
        <w:spacing w:line="640" w:lineRule="exact"/>
        <w:ind w:firstLine="640"/>
        <w:jc w:val="both"/>
        <w:outlineLvl w:val="3"/>
      </w:pPr>
      <w:r>
        <w:rPr>
          <w:rFonts w:ascii="楷体_GB2312" w:hAnsi="楷体_GB2312" w:eastAsia="楷体_GB2312"/>
          <w:b/>
          <w:sz w:val="32"/>
        </w:rPr>
        <w:t>（三）国有资产占用情况说明</w:t>
      </w:r>
    </w:p>
    <w:p w14:paraId="2447AF21">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136CA31F">
      <w:pPr>
        <w:spacing w:line="640" w:lineRule="exact"/>
        <w:ind w:firstLine="640"/>
        <w:jc w:val="both"/>
        <w:outlineLvl w:val="2"/>
      </w:pPr>
      <w:r>
        <w:rPr>
          <w:rFonts w:ascii="黑体" w:hAnsi="黑体" w:eastAsia="黑体"/>
          <w:sz w:val="32"/>
        </w:rPr>
        <w:t>十一、预算绩效的情况说明</w:t>
      </w:r>
    </w:p>
    <w:p w14:paraId="6CB9CC73">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227.19万元，实际执行总额227.19万元；预算绩效评价项目1个，全年预算数8.36万元，全年执行数8.36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效果；二是严格按照工作职责和相关文件依据，确保专款专用。发现的问题及原因：目标设定科学性及评价存在难，对于目标设定需要分科室部门分解，汇总后制定整体目标，如何科学整合全单位绩效目标比较困难；目标设定后如何科学设定考核评价标准，特别是对于不能量化的目标如何评价。下一步改进措施：加强学习，进一步明确如何参照考核体系，科学合理设定绩效目标，充分发挥预算绩效管理工作效用。具体附整体支出绩效自评表，项目支出绩效自评表和评价报告。</w:t>
      </w:r>
    </w:p>
    <w:p w14:paraId="7C5401A6">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2ECBE04">
        <w:tblPrEx>
          <w:tblCellMar>
            <w:top w:w="0" w:type="dxa"/>
            <w:left w:w="108" w:type="dxa"/>
            <w:bottom w:w="0" w:type="dxa"/>
            <w:right w:w="108" w:type="dxa"/>
          </w:tblCellMar>
        </w:tblPrEx>
        <w:tc>
          <w:tcPr>
            <w:tcW w:w="8847" w:type="dxa"/>
            <w:gridSpan w:val="9"/>
            <w:vAlign w:val="center"/>
          </w:tcPr>
          <w:p w14:paraId="1CFC0485">
            <w:pPr>
              <w:jc w:val="center"/>
            </w:pPr>
            <w:r>
              <w:rPr>
                <w:rFonts w:ascii="宋体" w:hAnsi="宋体" w:eastAsia="宋体"/>
                <w:sz w:val="24"/>
              </w:rPr>
              <w:t>单位整体支出绩效自评表</w:t>
            </w:r>
          </w:p>
        </w:tc>
      </w:tr>
      <w:tr w14:paraId="0F0F0487">
        <w:tblPrEx>
          <w:tblCellMar>
            <w:top w:w="0" w:type="dxa"/>
            <w:left w:w="108" w:type="dxa"/>
            <w:bottom w:w="0" w:type="dxa"/>
            <w:right w:w="108" w:type="dxa"/>
          </w:tblCellMar>
        </w:tblPrEx>
        <w:tc>
          <w:tcPr>
            <w:tcW w:w="8847" w:type="dxa"/>
            <w:gridSpan w:val="9"/>
            <w:vAlign w:val="center"/>
          </w:tcPr>
          <w:p w14:paraId="6851FE0C">
            <w:pPr>
              <w:jc w:val="center"/>
            </w:pPr>
            <w:r>
              <w:rPr>
                <w:rFonts w:ascii="宋体" w:hAnsi="宋体" w:eastAsia="宋体"/>
                <w:sz w:val="24"/>
              </w:rPr>
              <w:t>（2024年度）</w:t>
            </w:r>
          </w:p>
        </w:tc>
      </w:tr>
      <w:tr w14:paraId="4F5F2F3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3265E9">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8B275E9">
            <w:pPr>
              <w:jc w:val="center"/>
            </w:pPr>
            <w:r>
              <w:rPr>
                <w:rFonts w:ascii="宋体" w:hAnsi="宋体" w:eastAsia="宋体"/>
                <w:sz w:val="16"/>
              </w:rPr>
              <w:t>民丰县未来幼儿园</w:t>
            </w:r>
          </w:p>
        </w:tc>
      </w:tr>
      <w:tr w14:paraId="432CCAA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07F80A">
            <w:pPr>
              <w:jc w:val="center"/>
            </w:pPr>
            <w:r>
              <w:rPr>
                <w:rFonts w:ascii="宋体" w:hAnsi="宋体" w:eastAsia="宋体"/>
                <w:sz w:val="16"/>
              </w:rPr>
              <w:t>年度预算（万元）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5EAE5">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BEBAC4">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C736BA">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C5F651">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B1B3D3">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40B93E">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6151F4">
            <w:pPr>
              <w:jc w:val="center"/>
            </w:pPr>
            <w:r>
              <w:rPr>
                <w:rFonts w:ascii="宋体" w:hAnsi="宋体" w:eastAsia="宋体"/>
                <w:sz w:val="16"/>
              </w:rPr>
              <w:t>得分</w:t>
            </w:r>
          </w:p>
        </w:tc>
      </w:tr>
      <w:tr w14:paraId="51D725B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877AE5"/>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7BF666">
            <w:pPr>
              <w:jc w:val="center"/>
            </w:pPr>
            <w:r>
              <w:rPr>
                <w:rFonts w:ascii="宋体" w:hAnsi="宋体" w:eastAsia="宋体"/>
                <w:sz w:val="16"/>
              </w:rPr>
              <w:t>财政资金（万元）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045ED1">
            <w:pPr>
              <w:jc w:val="center"/>
            </w:pPr>
            <w:r>
              <w:rPr>
                <w:rFonts w:ascii="宋体" w:hAnsi="宋体" w:eastAsia="宋体"/>
                <w:sz w:val="16"/>
              </w:rPr>
              <w:t>上级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7E1E4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1F9489">
            <w:pPr>
              <w:jc w:val="center"/>
            </w:pPr>
            <w:r>
              <w:rPr>
                <w:rFonts w:ascii="宋体" w:hAnsi="宋体" w:eastAsia="宋体"/>
                <w:sz w:val="16"/>
              </w:rPr>
              <w:t>68.96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3A6EEB">
            <w:pPr>
              <w:jc w:val="center"/>
            </w:pPr>
            <w:r>
              <w:rPr>
                <w:rFonts w:ascii="宋体" w:hAnsi="宋体" w:eastAsia="宋体"/>
                <w:sz w:val="16"/>
              </w:rPr>
              <w:t>68.96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DEDCC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C692E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1CD2EC">
            <w:pPr>
              <w:jc w:val="center"/>
            </w:pPr>
            <w:r>
              <w:rPr>
                <w:rFonts w:ascii="宋体" w:hAnsi="宋体" w:eastAsia="宋体"/>
                <w:sz w:val="16"/>
              </w:rPr>
              <w:t>-</w:t>
            </w:r>
          </w:p>
        </w:tc>
      </w:tr>
      <w:tr w14:paraId="228603C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E36E1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F221E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02654B">
            <w:pPr>
              <w:jc w:val="center"/>
            </w:pPr>
            <w:r>
              <w:rPr>
                <w:rFonts w:ascii="宋体" w:hAnsi="宋体" w:eastAsia="宋体"/>
                <w:sz w:val="16"/>
              </w:rPr>
              <w:t>本级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6A6501">
            <w:pPr>
              <w:jc w:val="center"/>
            </w:pPr>
            <w:r>
              <w:rPr>
                <w:rFonts w:ascii="宋体" w:hAnsi="宋体" w:eastAsia="宋体"/>
                <w:sz w:val="16"/>
              </w:rPr>
              <w:t>220.29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77D13B">
            <w:pPr>
              <w:jc w:val="center"/>
            </w:pPr>
            <w:r>
              <w:rPr>
                <w:rFonts w:ascii="宋体" w:hAnsi="宋体" w:eastAsia="宋体"/>
                <w:sz w:val="16"/>
              </w:rPr>
              <w:t>158.23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0D8802">
            <w:pPr>
              <w:jc w:val="center"/>
            </w:pPr>
            <w:r>
              <w:rPr>
                <w:rFonts w:ascii="宋体" w:hAnsi="宋体" w:eastAsia="宋体"/>
                <w:sz w:val="16"/>
              </w:rPr>
              <w:t>158.23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363FB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C342B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F6039C">
            <w:pPr>
              <w:jc w:val="center"/>
            </w:pPr>
            <w:r>
              <w:rPr>
                <w:rFonts w:ascii="宋体" w:hAnsi="宋体" w:eastAsia="宋体"/>
                <w:sz w:val="16"/>
              </w:rPr>
              <w:t>-</w:t>
            </w:r>
          </w:p>
        </w:tc>
      </w:tr>
      <w:tr w14:paraId="6EFFBCD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367AD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2D002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1C5147">
            <w:pPr>
              <w:jc w:val="center"/>
            </w:pPr>
            <w:r>
              <w:rPr>
                <w:rFonts w:ascii="宋体" w:hAnsi="宋体" w:eastAsia="宋体"/>
                <w:sz w:val="16"/>
              </w:rPr>
              <w:t>其他</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AA0B7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9CFD4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30762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A9E24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3735B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060C4A">
            <w:pPr>
              <w:jc w:val="center"/>
            </w:pPr>
            <w:r>
              <w:rPr>
                <w:rFonts w:ascii="宋体" w:hAnsi="宋体" w:eastAsia="宋体"/>
                <w:sz w:val="16"/>
              </w:rPr>
              <w:t>-</w:t>
            </w:r>
          </w:p>
        </w:tc>
      </w:tr>
      <w:tr w14:paraId="50F0C2C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08F12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CAB2DB">
            <w:pPr>
              <w:jc w:val="center"/>
            </w:pPr>
            <w:r>
              <w:rPr>
                <w:rFonts w:ascii="宋体" w:hAnsi="宋体" w:eastAsia="宋体"/>
                <w:sz w:val="16"/>
              </w:rPr>
              <w:t>合计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B4667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DD30FE">
            <w:pPr>
              <w:jc w:val="center"/>
            </w:pPr>
            <w:r>
              <w:rPr>
                <w:rFonts w:ascii="宋体" w:hAnsi="宋体" w:eastAsia="宋体"/>
                <w:sz w:val="16"/>
              </w:rPr>
              <w:t>220.29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60F656">
            <w:pPr>
              <w:jc w:val="center"/>
            </w:pPr>
            <w:r>
              <w:rPr>
                <w:rFonts w:ascii="宋体" w:hAnsi="宋体" w:eastAsia="宋体"/>
                <w:sz w:val="16"/>
              </w:rPr>
              <w:t>227.19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B2B105">
            <w:pPr>
              <w:jc w:val="center"/>
            </w:pPr>
            <w:r>
              <w:rPr>
                <w:rFonts w:ascii="宋体" w:hAnsi="宋体" w:eastAsia="宋体"/>
                <w:sz w:val="16"/>
              </w:rPr>
              <w:t>227.19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FDF76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5BFC95">
            <w:pPr>
              <w:jc w:val="center"/>
            </w:pPr>
            <w:r>
              <w:rPr>
                <w:rFonts w:ascii="宋体" w:hAnsi="宋体" w:eastAsia="宋体"/>
                <w:sz w:val="16"/>
              </w:rPr>
              <w:t>100.00%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51AD1B">
            <w:pPr>
              <w:jc w:val="center"/>
            </w:pPr>
            <w:r>
              <w:rPr>
                <w:rFonts w:ascii="宋体" w:hAnsi="宋体" w:eastAsia="宋体"/>
                <w:sz w:val="16"/>
              </w:rPr>
              <w:t>10</w:t>
            </w:r>
          </w:p>
        </w:tc>
      </w:tr>
      <w:tr w14:paraId="2D3DDFD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E72E45">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FA2034C">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E49F53D">
            <w:pPr>
              <w:jc w:val="center"/>
            </w:pPr>
            <w:r>
              <w:rPr>
                <w:rFonts w:ascii="宋体" w:hAnsi="宋体" w:eastAsia="宋体"/>
                <w:sz w:val="16"/>
              </w:rPr>
              <w:t>实际完成情况</w:t>
            </w:r>
          </w:p>
        </w:tc>
      </w:tr>
      <w:tr w14:paraId="39F8CA9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FD4F3D"/>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B6CA3B6">
            <w:pPr>
              <w:jc w:val="both"/>
            </w:pPr>
            <w:r>
              <w:rPr>
                <w:rFonts w:ascii="宋体" w:hAnsi="宋体" w:eastAsia="宋体"/>
                <w:sz w:val="16"/>
              </w:rPr>
              <w:t xml:space="preserve">目标1：正确贯彻执行党和国家的教育方针，政策，法规；目标2：维护学校的教学秩序，为学生创造良好的学习环境；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3：积极稳妥地推进教育改革，按教育规律办事，不断提高教育质量；目标4：根据学校规模，设置学校管理机构，建立健全各项规章制度和岗位责任制；目标5：坚持教书育人，服务育人，环境育人方针，加强对学生的思想品德教育，使学生的德智体全面发展；</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目标6：抓好教师队伍建设，使每个教师都热心于教育事业； 目标7：做好安全防范，保证学生的人身安全。</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D0AD58A">
            <w:pPr>
              <w:jc w:val="both"/>
            </w:pPr>
            <w:r>
              <w:rPr>
                <w:rFonts w:ascii="宋体" w:hAnsi="宋体" w:eastAsia="宋体"/>
                <w:sz w:val="16"/>
              </w:rPr>
              <w:t>截至2024年12月31日，我单位共计支出227.19万元，预算执行率100%</w:t>
            </w:r>
            <w:r>
              <w:rPr>
                <w:rFonts w:hint="eastAsia" w:ascii="宋体" w:hAnsi="宋体"/>
                <w:sz w:val="16"/>
                <w:lang w:eastAsia="zh-CN"/>
              </w:rPr>
              <w:t>。</w:t>
            </w:r>
            <w:r>
              <w:rPr>
                <w:rFonts w:ascii="宋体" w:hAnsi="宋体" w:eastAsia="宋体"/>
                <w:sz w:val="16"/>
              </w:rPr>
              <w:t>已完成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的思想品德教育，使学生的德智体全面发展；抓好教师队伍建设，使每个教师都热心于教育事业；做好安全防范，保证学生的人身安全。</w:t>
            </w:r>
          </w:p>
        </w:tc>
      </w:tr>
      <w:tr w14:paraId="2EF96C6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658D40">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AAAD9E">
            <w:pPr>
              <w:jc w:val="center"/>
            </w:pPr>
            <w:r>
              <w:rPr>
                <w:rFonts w:ascii="宋体" w:hAnsi="宋体" w:eastAsia="宋体"/>
                <w:sz w:val="16"/>
              </w:rPr>
              <w:t>二级指标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CFA77C">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C72F0F">
            <w:pPr>
              <w:jc w:val="center"/>
            </w:pPr>
            <w:r>
              <w:rPr>
                <w:rFonts w:ascii="宋体" w:hAnsi="宋体" w:eastAsia="宋体"/>
                <w:sz w:val="16"/>
              </w:rPr>
              <w:t>预期指标值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6E9589">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636363">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7A72D9">
            <w:pPr>
              <w:jc w:val="center"/>
            </w:pPr>
            <w:r>
              <w:rPr>
                <w:rFonts w:ascii="宋体" w:hAnsi="宋体" w:eastAsia="宋体"/>
                <w:sz w:val="16"/>
              </w:rPr>
              <w:t>实际完成指标值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6915BA">
            <w:pPr>
              <w:jc w:val="center"/>
            </w:pPr>
            <w:r>
              <w:rPr>
                <w:rFonts w:ascii="宋体" w:hAnsi="宋体" w:eastAsia="宋体"/>
                <w:sz w:val="16"/>
              </w:rPr>
              <w:t>得分</w:t>
            </w:r>
          </w:p>
        </w:tc>
      </w:tr>
      <w:tr w14:paraId="5F56FD6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056210">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3DD39E">
            <w:pPr>
              <w:jc w:val="center"/>
            </w:pPr>
            <w:r>
              <w:rPr>
                <w:rFonts w:ascii="宋体" w:hAnsi="宋体" w:eastAsia="宋体"/>
                <w:sz w:val="16"/>
              </w:rPr>
              <w:t>数量指标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584D3">
            <w:pPr>
              <w:jc w:val="center"/>
            </w:pPr>
            <w:r>
              <w:rPr>
                <w:rFonts w:ascii="宋体" w:hAnsi="宋体" w:eastAsia="宋体"/>
                <w:sz w:val="16"/>
              </w:rPr>
              <w:t>享受资助补助政策幼儿园数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A06857">
            <w:pPr>
              <w:jc w:val="center"/>
            </w:pPr>
            <w:r>
              <w:rPr>
                <w:rFonts w:ascii="宋体" w:hAnsi="宋体" w:eastAsia="宋体"/>
                <w:sz w:val="16"/>
              </w:rPr>
              <w:t>=1所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671354">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F18620">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99952E">
            <w:pPr>
              <w:jc w:val="center"/>
            </w:pPr>
            <w:r>
              <w:rPr>
                <w:rFonts w:ascii="宋体" w:hAnsi="宋体" w:eastAsia="宋体"/>
                <w:sz w:val="16"/>
              </w:rPr>
              <w:t>1所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5D4321">
            <w:pPr>
              <w:jc w:val="center"/>
            </w:pPr>
            <w:r>
              <w:rPr>
                <w:rFonts w:ascii="宋体" w:hAnsi="宋体" w:eastAsia="宋体"/>
                <w:sz w:val="16"/>
              </w:rPr>
              <w:t>30</w:t>
            </w:r>
          </w:p>
        </w:tc>
      </w:tr>
      <w:tr w14:paraId="1775CA5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49708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158FA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87FB95">
            <w:pPr>
              <w:jc w:val="center"/>
            </w:pPr>
            <w:r>
              <w:rPr>
                <w:rFonts w:ascii="宋体" w:hAnsi="宋体" w:eastAsia="宋体"/>
                <w:sz w:val="16"/>
              </w:rPr>
              <w:t>享受资助补助政策幼儿数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F401F7">
            <w:pPr>
              <w:jc w:val="center"/>
            </w:pPr>
            <w:r>
              <w:rPr>
                <w:rFonts w:ascii="宋体" w:hAnsi="宋体" w:eastAsia="宋体"/>
                <w:sz w:val="16"/>
              </w:rPr>
              <w:t>&gt;=162人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C9E5B0">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9705EF">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092086">
            <w:pPr>
              <w:jc w:val="center"/>
            </w:pPr>
            <w:r>
              <w:rPr>
                <w:rFonts w:ascii="宋体" w:hAnsi="宋体" w:eastAsia="宋体"/>
                <w:sz w:val="16"/>
              </w:rPr>
              <w:t>164人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5D9D96">
            <w:pPr>
              <w:jc w:val="center"/>
            </w:pPr>
            <w:r>
              <w:rPr>
                <w:rFonts w:ascii="宋体" w:hAnsi="宋体" w:eastAsia="宋体"/>
                <w:sz w:val="16"/>
              </w:rPr>
              <w:t>30</w:t>
            </w:r>
          </w:p>
        </w:tc>
      </w:tr>
      <w:tr w14:paraId="5D28CD8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B88667">
            <w:pPr>
              <w:jc w:val="center"/>
            </w:pPr>
            <w:r>
              <w:rPr>
                <w:rFonts w:ascii="宋体" w:hAnsi="宋体" w:eastAsia="宋体"/>
                <w:sz w:val="16"/>
              </w:rPr>
              <w:t>社会效益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34D370">
            <w:pPr>
              <w:jc w:val="center"/>
            </w:pPr>
            <w:r>
              <w:rPr>
                <w:rFonts w:ascii="宋体" w:hAnsi="宋体" w:eastAsia="宋体"/>
                <w:sz w:val="16"/>
              </w:rPr>
              <w:t>社会效益指标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C94E0">
            <w:pPr>
              <w:jc w:val="center"/>
            </w:pPr>
            <w:r>
              <w:rPr>
                <w:rFonts w:ascii="宋体" w:hAnsi="宋体" w:eastAsia="宋体"/>
                <w:sz w:val="16"/>
              </w:rPr>
              <w:t>减轻学生家庭负担</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15E364">
            <w:pPr>
              <w:jc w:val="center"/>
            </w:pPr>
            <w:r>
              <w:rPr>
                <w:rFonts w:ascii="宋体" w:hAnsi="宋体" w:eastAsia="宋体"/>
                <w:sz w:val="16"/>
              </w:rPr>
              <w:t>有效减轻</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625E78">
            <w:pPr>
              <w:jc w:val="center"/>
            </w:pPr>
            <w:r>
              <w:rPr>
                <w:rFonts w:ascii="宋体" w:hAnsi="宋体" w:eastAsia="宋体"/>
                <w:sz w:val="16"/>
              </w:rPr>
              <w:t>其他计划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847A9B">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E1DC27">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79E6F4">
            <w:pPr>
              <w:jc w:val="center"/>
            </w:pPr>
            <w:r>
              <w:rPr>
                <w:rFonts w:ascii="宋体" w:hAnsi="宋体" w:eastAsia="宋体"/>
                <w:sz w:val="16"/>
              </w:rPr>
              <w:t>30</w:t>
            </w:r>
          </w:p>
        </w:tc>
      </w:tr>
    </w:tbl>
    <w:p w14:paraId="26523AAB">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D9503F9">
        <w:tblPrEx>
          <w:tblCellMar>
            <w:top w:w="0" w:type="dxa"/>
            <w:left w:w="108" w:type="dxa"/>
            <w:bottom w:w="0" w:type="dxa"/>
            <w:right w:w="108" w:type="dxa"/>
          </w:tblCellMar>
        </w:tblPrEx>
        <w:tc>
          <w:tcPr>
            <w:tcW w:w="8847" w:type="dxa"/>
            <w:gridSpan w:val="9"/>
            <w:vAlign w:val="center"/>
          </w:tcPr>
          <w:p w14:paraId="7BC41BAF">
            <w:pPr>
              <w:jc w:val="center"/>
            </w:pPr>
            <w:r>
              <w:rPr>
                <w:rFonts w:ascii="宋体" w:hAnsi="宋体" w:eastAsia="宋体"/>
                <w:sz w:val="24"/>
              </w:rPr>
              <w:t>项目支出绩效自评表</w:t>
            </w:r>
          </w:p>
        </w:tc>
      </w:tr>
      <w:tr w14:paraId="598EE2B1">
        <w:tblPrEx>
          <w:tblCellMar>
            <w:top w:w="0" w:type="dxa"/>
            <w:left w:w="108" w:type="dxa"/>
            <w:bottom w:w="0" w:type="dxa"/>
            <w:right w:w="108" w:type="dxa"/>
          </w:tblCellMar>
        </w:tblPrEx>
        <w:tc>
          <w:tcPr>
            <w:tcW w:w="8847" w:type="dxa"/>
            <w:gridSpan w:val="9"/>
            <w:vAlign w:val="center"/>
          </w:tcPr>
          <w:p w14:paraId="74C500E2">
            <w:pPr>
              <w:jc w:val="center"/>
            </w:pPr>
            <w:r>
              <w:rPr>
                <w:rFonts w:ascii="宋体" w:hAnsi="宋体" w:eastAsia="宋体"/>
                <w:sz w:val="24"/>
              </w:rPr>
              <w:t>(2024年度)</w:t>
            </w:r>
          </w:p>
        </w:tc>
      </w:tr>
      <w:tr w14:paraId="2A23EEB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18CC64">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ACAE1E5">
            <w:pPr>
              <w:jc w:val="center"/>
            </w:pPr>
            <w:r>
              <w:rPr>
                <w:rFonts w:ascii="宋体" w:hAnsi="宋体" w:eastAsia="宋体"/>
                <w:sz w:val="16"/>
              </w:rPr>
              <w:t>县配套学前教育经费</w:t>
            </w:r>
          </w:p>
        </w:tc>
      </w:tr>
      <w:tr w14:paraId="3963522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034183">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644B3E6">
            <w:pPr>
              <w:jc w:val="center"/>
            </w:pPr>
            <w:r>
              <w:rPr>
                <w:rFonts w:ascii="宋体" w:hAnsi="宋体" w:eastAsia="宋体"/>
                <w:sz w:val="16"/>
              </w:rPr>
              <w:t>民丰县未来幼儿园</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5C382B">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C1E39BB">
            <w:pPr>
              <w:jc w:val="center"/>
            </w:pPr>
            <w:r>
              <w:rPr>
                <w:rFonts w:ascii="宋体" w:hAnsi="宋体" w:eastAsia="宋体"/>
                <w:sz w:val="16"/>
              </w:rPr>
              <w:t>民丰县未来幼儿园</w:t>
            </w:r>
          </w:p>
        </w:tc>
      </w:tr>
      <w:tr w14:paraId="092C49A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FE451C">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741DA">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979F27">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18DF61">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DB53CB">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AD1EAD">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8998B8">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D8A684">
            <w:pPr>
              <w:jc w:val="center"/>
            </w:pPr>
            <w:r>
              <w:rPr>
                <w:rFonts w:ascii="宋体" w:hAnsi="宋体" w:eastAsia="宋体"/>
                <w:sz w:val="16"/>
              </w:rPr>
              <w:t>得分</w:t>
            </w:r>
          </w:p>
        </w:tc>
      </w:tr>
      <w:tr w14:paraId="78D620A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33AF2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7B4D72">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C20375">
            <w:pPr>
              <w:jc w:val="center"/>
            </w:pPr>
            <w:r>
              <w:rPr>
                <w:rFonts w:ascii="宋体" w:hAnsi="宋体" w:eastAsia="宋体"/>
                <w:sz w:val="16"/>
              </w:rPr>
              <w:t>8.36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E0444B">
            <w:pPr>
              <w:jc w:val="center"/>
            </w:pPr>
            <w:r>
              <w:rPr>
                <w:rFonts w:ascii="宋体" w:hAnsi="宋体" w:eastAsia="宋体"/>
                <w:sz w:val="16"/>
              </w:rPr>
              <w:t>8.36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339660">
            <w:pPr>
              <w:jc w:val="center"/>
            </w:pPr>
            <w:r>
              <w:rPr>
                <w:rFonts w:ascii="宋体" w:hAnsi="宋体" w:eastAsia="宋体"/>
                <w:sz w:val="16"/>
              </w:rPr>
              <w:t>8.36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A6633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C965CE">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E3C0E6">
            <w:pPr>
              <w:jc w:val="center"/>
            </w:pPr>
            <w:r>
              <w:rPr>
                <w:rFonts w:ascii="宋体" w:hAnsi="宋体" w:eastAsia="宋体"/>
                <w:sz w:val="16"/>
              </w:rPr>
              <w:t>10.00分</w:t>
            </w:r>
          </w:p>
        </w:tc>
      </w:tr>
      <w:tr w14:paraId="1045AE2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3577D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F6F584">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243BE1">
            <w:pPr>
              <w:jc w:val="center"/>
            </w:pPr>
            <w:r>
              <w:rPr>
                <w:rFonts w:ascii="宋体" w:hAnsi="宋体" w:eastAsia="宋体"/>
                <w:sz w:val="16"/>
              </w:rPr>
              <w:t>8.36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E40AA6">
            <w:pPr>
              <w:jc w:val="center"/>
            </w:pPr>
            <w:r>
              <w:rPr>
                <w:rFonts w:ascii="宋体" w:hAnsi="宋体" w:eastAsia="宋体"/>
                <w:sz w:val="16"/>
              </w:rPr>
              <w:t>8.36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961BCA">
            <w:pPr>
              <w:jc w:val="center"/>
            </w:pPr>
            <w:r>
              <w:rPr>
                <w:rFonts w:ascii="宋体" w:hAnsi="宋体" w:eastAsia="宋体"/>
                <w:sz w:val="16"/>
              </w:rPr>
              <w:t>8.36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7EF9A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1F080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398BCB">
            <w:pPr>
              <w:jc w:val="center"/>
            </w:pPr>
            <w:r>
              <w:rPr>
                <w:rFonts w:ascii="宋体" w:hAnsi="宋体" w:eastAsia="宋体"/>
                <w:sz w:val="16"/>
              </w:rPr>
              <w:t>—</w:t>
            </w:r>
          </w:p>
        </w:tc>
      </w:tr>
      <w:tr w14:paraId="49BE4A6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1F175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8A8DBE">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301BF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E2194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3173A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CF155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33826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E67405">
            <w:pPr>
              <w:jc w:val="center"/>
            </w:pPr>
            <w:r>
              <w:rPr>
                <w:rFonts w:ascii="宋体" w:hAnsi="宋体" w:eastAsia="宋体"/>
                <w:sz w:val="16"/>
              </w:rPr>
              <w:t>—</w:t>
            </w:r>
          </w:p>
        </w:tc>
      </w:tr>
      <w:tr w14:paraId="7E74030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F86C0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DAE2A">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B44C3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DC0E2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C6FFA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AD282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6FC6F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2AAD65">
            <w:pPr>
              <w:jc w:val="center"/>
            </w:pPr>
            <w:r>
              <w:rPr>
                <w:rFonts w:ascii="宋体" w:hAnsi="宋体" w:eastAsia="宋体"/>
                <w:sz w:val="16"/>
              </w:rPr>
              <w:t>—</w:t>
            </w:r>
          </w:p>
        </w:tc>
      </w:tr>
      <w:tr w14:paraId="1E185C9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87AE6C">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B945EA5">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3D081F5">
            <w:pPr>
              <w:jc w:val="center"/>
            </w:pPr>
            <w:r>
              <w:rPr>
                <w:rFonts w:ascii="宋体" w:hAnsi="宋体" w:eastAsia="宋体"/>
                <w:sz w:val="16"/>
              </w:rPr>
              <w:t>实际完成情况</w:t>
            </w:r>
          </w:p>
        </w:tc>
      </w:tr>
      <w:tr w14:paraId="7D9FFA7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F6A9D7"/>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DE8423A">
            <w:pPr>
              <w:jc w:val="both"/>
            </w:pPr>
            <w:r>
              <w:rPr>
                <w:rFonts w:ascii="宋体" w:hAnsi="宋体" w:eastAsia="宋体"/>
                <w:sz w:val="16"/>
              </w:rPr>
              <w:t>根据《自治区农村学前三年免费教育经费保障机制管理办法》新财教</w:t>
            </w:r>
            <w:r>
              <w:rPr>
                <w:rFonts w:hint="eastAsia" w:ascii="宋体" w:hAnsi="宋体"/>
                <w:sz w:val="16"/>
                <w:lang w:eastAsia="zh-CN"/>
              </w:rPr>
              <w:t>〔2017〕19号</w:t>
            </w:r>
            <w:r>
              <w:rPr>
                <w:rFonts w:ascii="宋体" w:hAnsi="宋体" w:eastAsia="宋体"/>
                <w:sz w:val="16"/>
              </w:rPr>
              <w:t>文件要求实施本项目。项目实施内容：保障我县1所幼儿园162名学生220天的伙食补助，按照每人每年516元标准进行补助。通过项目实施，减轻学前教育困难家庭幼儿生活费负担，促进教育资源公平均衡配置。</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3B6F939">
            <w:pPr>
              <w:jc w:val="both"/>
            </w:pPr>
            <w:r>
              <w:rPr>
                <w:rFonts w:ascii="宋体" w:hAnsi="宋体" w:eastAsia="宋体"/>
                <w:sz w:val="16"/>
              </w:rPr>
              <w:t>截至2024年12月底，本项目预算安排8.36万元，实际支出8.36万元，预算执行率100%已实施完成，民丰县未来幼儿园年底实际享受学生数164人每人补助509.71元。通过项目实施，减轻学前教育困难家庭幼儿生活费负担，促进教育资源公平均衡配置。</w:t>
            </w:r>
          </w:p>
        </w:tc>
      </w:tr>
      <w:tr w14:paraId="5A6CC97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1A8E51F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BF0DB7">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1A5B22">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D7DFFB">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699280">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6A185F">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68E3C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3E6E5B">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A6CD07">
            <w:pPr>
              <w:jc w:val="center"/>
            </w:pPr>
            <w:r>
              <w:rPr>
                <w:rFonts w:ascii="宋体" w:hAnsi="宋体" w:eastAsia="宋体"/>
                <w:sz w:val="16"/>
              </w:rPr>
              <w:t>偏差原因分析及改进措施</w:t>
            </w:r>
          </w:p>
        </w:tc>
      </w:tr>
      <w:tr w14:paraId="27BC7A3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D0304D">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73FFD6">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811D39">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4869CA">
            <w:pPr>
              <w:jc w:val="center"/>
            </w:pPr>
            <w:r>
              <w:rPr>
                <w:rFonts w:ascii="宋体" w:hAnsi="宋体" w:eastAsia="宋体"/>
                <w:sz w:val="16"/>
              </w:rPr>
              <w:t>保障幼儿园数量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85AC32">
            <w:pPr>
              <w:jc w:val="center"/>
            </w:pPr>
            <w:r>
              <w:rPr>
                <w:rFonts w:ascii="宋体" w:hAnsi="宋体" w:eastAsia="宋体"/>
                <w:sz w:val="16"/>
              </w:rPr>
              <w:t>=1所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061C67">
            <w:pPr>
              <w:jc w:val="center"/>
            </w:pPr>
            <w:r>
              <w:rPr>
                <w:rFonts w:ascii="宋体" w:hAnsi="宋体" w:eastAsia="宋体"/>
                <w:sz w:val="16"/>
              </w:rPr>
              <w:t>=1所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89289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2BC2B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78EA70">
            <w:pPr>
              <w:jc w:val="center"/>
            </w:pPr>
          </w:p>
        </w:tc>
      </w:tr>
      <w:tr w14:paraId="5928992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8098A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BF248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9D873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8E42FA">
            <w:pPr>
              <w:jc w:val="center"/>
            </w:pPr>
            <w:r>
              <w:rPr>
                <w:rFonts w:ascii="宋体" w:hAnsi="宋体" w:eastAsia="宋体"/>
                <w:sz w:val="16"/>
              </w:rPr>
              <w:t>保障在园幼儿人数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1F261C">
            <w:pPr>
              <w:jc w:val="center"/>
            </w:pPr>
            <w:r>
              <w:rPr>
                <w:rFonts w:ascii="宋体" w:hAnsi="宋体" w:eastAsia="宋体"/>
                <w:sz w:val="16"/>
              </w:rPr>
              <w:t>&gt;=162人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D6303F">
            <w:pPr>
              <w:jc w:val="center"/>
            </w:pPr>
            <w:r>
              <w:rPr>
                <w:rFonts w:ascii="宋体" w:hAnsi="宋体" w:eastAsia="宋体"/>
                <w:sz w:val="16"/>
              </w:rPr>
              <w:t>=164人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75478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C767FF">
            <w:pPr>
              <w:jc w:val="center"/>
            </w:pPr>
            <w:r>
              <w:rPr>
                <w:rFonts w:ascii="宋体" w:hAnsi="宋体" w:eastAsia="宋体"/>
                <w:sz w:val="16"/>
              </w:rPr>
              <w:t>9.88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19A3AE">
            <w:pPr>
              <w:jc w:val="center"/>
            </w:pPr>
            <w:r>
              <w:rPr>
                <w:rFonts w:ascii="宋体" w:hAnsi="宋体" w:eastAsia="宋体"/>
                <w:sz w:val="16"/>
              </w:rPr>
              <w:t>其他幼儿园转学至本幼儿园</w:t>
            </w:r>
          </w:p>
        </w:tc>
      </w:tr>
      <w:tr w14:paraId="3E020A3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FF348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5A709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451AAA">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E3C086">
            <w:pPr>
              <w:jc w:val="center"/>
            </w:pPr>
            <w:r>
              <w:rPr>
                <w:rFonts w:ascii="宋体" w:hAnsi="宋体" w:eastAsia="宋体"/>
                <w:sz w:val="16"/>
              </w:rPr>
              <w:t>补助发放覆盖率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AA45A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1E4F7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EF99B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29DA8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86B616">
            <w:pPr>
              <w:jc w:val="center"/>
            </w:pPr>
          </w:p>
        </w:tc>
      </w:tr>
      <w:tr w14:paraId="5E32105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57590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AE80A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4E478C">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0DC3E2">
            <w:pPr>
              <w:jc w:val="center"/>
            </w:pPr>
            <w:r>
              <w:rPr>
                <w:rFonts w:ascii="宋体" w:hAnsi="宋体" w:eastAsia="宋体"/>
                <w:sz w:val="16"/>
              </w:rPr>
              <w:t>项目按期完成率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6E9BC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8A01F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12682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70F5E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BB31B1">
            <w:pPr>
              <w:jc w:val="center"/>
            </w:pPr>
          </w:p>
        </w:tc>
      </w:tr>
      <w:tr w14:paraId="57B62D7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05234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38171E">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36EA2D">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93946D">
            <w:pPr>
              <w:jc w:val="center"/>
            </w:pPr>
            <w:r>
              <w:rPr>
                <w:rFonts w:ascii="宋体" w:hAnsi="宋体" w:eastAsia="宋体"/>
                <w:sz w:val="16"/>
              </w:rPr>
              <w:t>人均补助标准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6EABBE">
            <w:pPr>
              <w:jc w:val="center"/>
            </w:pPr>
            <w:r>
              <w:rPr>
                <w:rFonts w:ascii="宋体" w:hAnsi="宋体" w:eastAsia="宋体"/>
                <w:sz w:val="16"/>
              </w:rPr>
              <w:t>&lt;=516元/年/人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5AB578">
            <w:pPr>
              <w:jc w:val="center"/>
            </w:pPr>
            <w:r>
              <w:rPr>
                <w:rFonts w:ascii="宋体" w:hAnsi="宋体" w:eastAsia="宋体"/>
                <w:sz w:val="16"/>
              </w:rPr>
              <w:t>=509.71元/年/人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98746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050D46">
            <w:pPr>
              <w:jc w:val="center"/>
            </w:pPr>
            <w:r>
              <w:rPr>
                <w:rFonts w:ascii="宋体" w:hAnsi="宋体" w:eastAsia="宋体"/>
                <w:sz w:val="16"/>
              </w:rPr>
              <w:t>19.39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076EDD">
            <w:pPr>
              <w:jc w:val="center"/>
            </w:pPr>
            <w:r>
              <w:rPr>
                <w:rFonts w:ascii="宋体" w:hAnsi="宋体" w:eastAsia="宋体"/>
                <w:sz w:val="16"/>
              </w:rPr>
              <w:t>该项目实际值人数增加所以标准和实际值金额少了。</w:t>
            </w:r>
          </w:p>
        </w:tc>
      </w:tr>
      <w:tr w14:paraId="3BDCDD9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41099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958F0F">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1C58DC">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B373C5">
            <w:pPr>
              <w:jc w:val="center"/>
            </w:pPr>
            <w:r>
              <w:rPr>
                <w:rFonts w:ascii="宋体" w:hAnsi="宋体" w:eastAsia="宋体"/>
                <w:sz w:val="16"/>
              </w:rPr>
              <w:t>有效保障教育资源公平均衡配置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5AA58B">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8DF45D">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9D96A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2ED70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38E178">
            <w:pPr>
              <w:jc w:val="center"/>
            </w:pPr>
          </w:p>
        </w:tc>
      </w:tr>
      <w:tr w14:paraId="535B2F8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5B8B3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C5B94E">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C27CCB">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5CCEA2">
            <w:pPr>
              <w:jc w:val="center"/>
            </w:pPr>
            <w:r>
              <w:rPr>
                <w:rFonts w:ascii="宋体" w:hAnsi="宋体" w:eastAsia="宋体"/>
                <w:sz w:val="16"/>
              </w:rPr>
              <w:t>受益幼儿满意度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28CE2F">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C89559">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ED915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0558D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FF75F5">
            <w:pPr>
              <w:jc w:val="center"/>
            </w:pPr>
          </w:p>
        </w:tc>
      </w:tr>
      <w:tr w14:paraId="31DFEBBE">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FD04D7C">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751F80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86A8F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DDEB63">
            <w:pPr>
              <w:jc w:val="center"/>
            </w:pPr>
            <w:r>
              <w:rPr>
                <w:rFonts w:ascii="宋体" w:hAnsi="宋体" w:eastAsia="宋体"/>
                <w:sz w:val="16"/>
              </w:rPr>
              <w:t>99.27分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ED3FE89"/>
        </w:tc>
      </w:tr>
    </w:tbl>
    <w:p w14:paraId="4A921478">
      <w:r>
        <w:br w:type="page"/>
      </w:r>
    </w:p>
    <w:p w14:paraId="0EC2E097">
      <w:pPr>
        <w:spacing w:line="640" w:lineRule="exact"/>
        <w:ind w:firstLine="640"/>
        <w:jc w:val="both"/>
        <w:outlineLvl w:val="2"/>
      </w:pPr>
      <w:r>
        <w:rPr>
          <w:rFonts w:ascii="黑体" w:hAnsi="黑体" w:eastAsia="黑体"/>
          <w:sz w:val="32"/>
        </w:rPr>
        <w:t>十二、其他需说明的事项</w:t>
      </w:r>
    </w:p>
    <w:p w14:paraId="739C3389">
      <w:pPr>
        <w:spacing w:line="580" w:lineRule="exact"/>
        <w:ind w:firstLine="640"/>
        <w:jc w:val="both"/>
      </w:pPr>
      <w:r>
        <w:rPr>
          <w:rFonts w:ascii="仿宋_GB2312" w:hAnsi="仿宋_GB2312" w:eastAsia="仿宋_GB2312"/>
          <w:b w:val="0"/>
          <w:sz w:val="32"/>
        </w:rPr>
        <w:t>本单位无其他需说明的事项。</w:t>
      </w:r>
    </w:p>
    <w:p w14:paraId="3C21EBC5">
      <w:r>
        <w:br w:type="page"/>
      </w:r>
    </w:p>
    <w:p w14:paraId="5A26118D">
      <w:pPr>
        <w:spacing w:line="240" w:lineRule="auto"/>
        <w:jc w:val="center"/>
        <w:outlineLvl w:val="1"/>
      </w:pPr>
      <w:r>
        <w:rPr>
          <w:rFonts w:ascii="黑体" w:hAnsi="黑体" w:eastAsia="黑体"/>
          <w:sz w:val="32"/>
        </w:rPr>
        <w:t>第三部分 专业名词解释</w:t>
      </w:r>
    </w:p>
    <w:p w14:paraId="00350FD9">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99E7FDA">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E583E57">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BC60EF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13F622D">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89F9F8F">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22E87C1">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59AE184">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78DCADB">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D0A2E62">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2440DC2">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4FB1B8E">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48548D4">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1D5C335">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8469CDB">
      <w:r>
        <w:br w:type="page"/>
      </w:r>
    </w:p>
    <w:p w14:paraId="3B7D8503">
      <w:pPr>
        <w:spacing w:line="240" w:lineRule="auto"/>
        <w:jc w:val="center"/>
        <w:outlineLvl w:val="1"/>
      </w:pPr>
      <w:r>
        <w:rPr>
          <w:rFonts w:ascii="黑体" w:hAnsi="黑体" w:eastAsia="黑体"/>
          <w:sz w:val="32"/>
        </w:rPr>
        <w:t>第四部分 部门决算报表（见附表）</w:t>
      </w:r>
    </w:p>
    <w:p w14:paraId="4DE497B1">
      <w:pPr>
        <w:spacing w:line="240" w:lineRule="auto"/>
        <w:ind w:firstLine="640"/>
        <w:jc w:val="both"/>
      </w:pPr>
      <w:r>
        <w:rPr>
          <w:rFonts w:ascii="仿宋_GB2312" w:hAnsi="仿宋_GB2312" w:eastAsia="仿宋_GB2312"/>
          <w:b w:val="0"/>
          <w:sz w:val="32"/>
        </w:rPr>
        <w:t>一、《收入支出决算总表》</w:t>
      </w:r>
    </w:p>
    <w:p w14:paraId="618A6972">
      <w:pPr>
        <w:spacing w:line="240" w:lineRule="auto"/>
        <w:ind w:firstLine="640"/>
        <w:jc w:val="both"/>
      </w:pPr>
      <w:r>
        <w:rPr>
          <w:rFonts w:ascii="仿宋_GB2312" w:hAnsi="仿宋_GB2312" w:eastAsia="仿宋_GB2312"/>
          <w:b w:val="0"/>
          <w:sz w:val="32"/>
        </w:rPr>
        <w:t>二、《收入决算表》</w:t>
      </w:r>
    </w:p>
    <w:p w14:paraId="6FBA4C53">
      <w:pPr>
        <w:spacing w:line="240" w:lineRule="auto"/>
        <w:ind w:firstLine="640"/>
        <w:jc w:val="both"/>
      </w:pPr>
      <w:r>
        <w:rPr>
          <w:rFonts w:ascii="仿宋_GB2312" w:hAnsi="仿宋_GB2312" w:eastAsia="仿宋_GB2312"/>
          <w:b w:val="0"/>
          <w:sz w:val="32"/>
        </w:rPr>
        <w:t>三、《支出决算表》</w:t>
      </w:r>
    </w:p>
    <w:p w14:paraId="7448459F">
      <w:pPr>
        <w:spacing w:line="240" w:lineRule="auto"/>
        <w:ind w:firstLine="640"/>
        <w:jc w:val="both"/>
      </w:pPr>
      <w:r>
        <w:rPr>
          <w:rFonts w:ascii="仿宋_GB2312" w:hAnsi="仿宋_GB2312" w:eastAsia="仿宋_GB2312"/>
          <w:b w:val="0"/>
          <w:sz w:val="32"/>
        </w:rPr>
        <w:t>四、《财政拨款收入支出决算总表》</w:t>
      </w:r>
    </w:p>
    <w:p w14:paraId="78624458">
      <w:pPr>
        <w:spacing w:line="240" w:lineRule="auto"/>
        <w:ind w:firstLine="640"/>
        <w:jc w:val="both"/>
      </w:pPr>
      <w:r>
        <w:rPr>
          <w:rFonts w:ascii="仿宋_GB2312" w:hAnsi="仿宋_GB2312" w:eastAsia="仿宋_GB2312"/>
          <w:b w:val="0"/>
          <w:sz w:val="32"/>
        </w:rPr>
        <w:t>五、《一般公共预算财政拨款支出决算表》</w:t>
      </w:r>
    </w:p>
    <w:p w14:paraId="0A0FB86E">
      <w:pPr>
        <w:spacing w:line="240" w:lineRule="auto"/>
        <w:ind w:firstLine="640"/>
        <w:jc w:val="both"/>
      </w:pPr>
      <w:r>
        <w:rPr>
          <w:rFonts w:ascii="仿宋_GB2312" w:hAnsi="仿宋_GB2312" w:eastAsia="仿宋_GB2312"/>
          <w:b w:val="0"/>
          <w:sz w:val="32"/>
        </w:rPr>
        <w:t>六、《一般公共预算财政拨款基本支出决算表》</w:t>
      </w:r>
    </w:p>
    <w:p w14:paraId="329BBB85">
      <w:pPr>
        <w:spacing w:line="240" w:lineRule="auto"/>
        <w:ind w:firstLine="640"/>
        <w:jc w:val="both"/>
      </w:pPr>
      <w:r>
        <w:rPr>
          <w:rFonts w:ascii="仿宋_GB2312" w:hAnsi="仿宋_GB2312" w:eastAsia="仿宋_GB2312"/>
          <w:b w:val="0"/>
          <w:sz w:val="32"/>
        </w:rPr>
        <w:t>七、《政府性基金预算财政拨款收入支出决算表》</w:t>
      </w:r>
    </w:p>
    <w:p w14:paraId="16DED895">
      <w:pPr>
        <w:spacing w:line="240" w:lineRule="auto"/>
        <w:ind w:firstLine="640"/>
        <w:jc w:val="both"/>
      </w:pPr>
      <w:r>
        <w:rPr>
          <w:rFonts w:ascii="仿宋_GB2312" w:hAnsi="仿宋_GB2312" w:eastAsia="仿宋_GB2312"/>
          <w:b w:val="0"/>
          <w:sz w:val="32"/>
        </w:rPr>
        <w:t>八、《国有资本经营预算财政拨款收入支出决算表》</w:t>
      </w:r>
    </w:p>
    <w:p w14:paraId="32F25293">
      <w:pPr>
        <w:spacing w:line="240" w:lineRule="auto"/>
        <w:ind w:firstLine="640"/>
        <w:jc w:val="both"/>
      </w:pPr>
      <w:r>
        <w:rPr>
          <w:rFonts w:ascii="仿宋_GB2312" w:hAnsi="仿宋_GB2312" w:eastAsia="仿宋_GB2312"/>
          <w:b w:val="0"/>
          <w:sz w:val="32"/>
        </w:rPr>
        <w:t>九、《财政拨款“三公”经费支出决算表》</w:t>
      </w:r>
    </w:p>
    <w:p w14:paraId="3F496A49">
      <w:pPr>
        <w:spacing w:line="240" w:lineRule="auto"/>
        <w:ind w:firstLine="640"/>
        <w:jc w:val="both"/>
      </w:pPr>
    </w:p>
    <w:p w14:paraId="2DC50167">
      <w:pPr>
        <w:spacing w:line="240" w:lineRule="auto"/>
        <w:ind w:firstLine="640"/>
        <w:jc w:val="both"/>
      </w:pPr>
    </w:p>
    <w:p w14:paraId="1CFC843A">
      <w:pPr>
        <w:spacing w:line="240" w:lineRule="auto"/>
        <w:ind w:firstLine="640"/>
        <w:jc w:val="both"/>
      </w:pPr>
    </w:p>
    <w:p w14:paraId="2FDB6CDC">
      <w:pPr>
        <w:spacing w:line="240" w:lineRule="auto"/>
        <w:ind w:firstLine="640"/>
        <w:jc w:val="both"/>
      </w:pPr>
    </w:p>
    <w:p w14:paraId="69772F78">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C56F019-F11F-4ACC-A95F-A84D9729A6B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7467DB4D-1A2F-4BB8-AC48-CCE25A9609C0}"/>
  </w:font>
  <w:font w:name="仿宋_GB2312">
    <w:panose1 w:val="02010609030101010101"/>
    <w:charset w:val="86"/>
    <w:family w:val="modern"/>
    <w:pitch w:val="default"/>
    <w:sig w:usb0="00000001" w:usb1="080E0000" w:usb2="00000000" w:usb3="00000000" w:csb0="00040000" w:csb1="00000000"/>
    <w:embedRegular r:id="rId3" w:fontKey="{F39ABBB1-D7B0-4EEC-8D86-00C029A4278D}"/>
  </w:font>
  <w:font w:name="楷体_GB2312">
    <w:panose1 w:val="02010609030101010101"/>
    <w:charset w:val="86"/>
    <w:family w:val="auto"/>
    <w:pitch w:val="default"/>
    <w:sig w:usb0="00000001" w:usb1="080E0000" w:usb2="00000000" w:usb3="00000000" w:csb0="00040000" w:csb1="00000000"/>
    <w:embedRegular r:id="rId4" w:fontKey="{86DDA138-6C4C-4E29-B06B-642AF7AF462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003685E"/>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3CC4D48"/>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4178</Words>
  <Characters>4806</Characters>
  <Lines>0</Lines>
  <Paragraphs>0</Paragraphs>
  <TotalTime>1</TotalTime>
  <ScaleCrop>false</ScaleCrop>
  <LinksUpToDate>false</LinksUpToDate>
  <CharactersWithSpaces>4916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2025-09-25T08:16:53Z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eyJoZGlkIjoiYjM4NWYyMWE2NWU1OGNiMmIxMmZkYzA5MWEwNzJlZmIiLCJ1c2VySWQiOiI0MzE2NzY3NzkifQ==</vt:lpwstr>
  </property>
</Properties>
</file>