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3B0C3F">
      <w:r>
        <w:br w:type="page"/>
      </w:r>
    </w:p>
    <w:p w14:paraId="39B7FA19">
      <w:pPr>
        <w:spacing w:line="640" w:lineRule="exact"/>
        <w:jc w:val="center"/>
        <w:outlineLvl w:val="1"/>
      </w:pPr>
      <w:r>
        <w:rPr>
          <w:rFonts w:ascii="黑体" w:hAnsi="黑体" w:eastAsia="黑体"/>
          <w:sz w:val="32"/>
        </w:rPr>
        <w:t>第一部分 单位概况</w:t>
      </w:r>
    </w:p>
    <w:p w14:paraId="1A11DE4D">
      <w:pPr>
        <w:spacing w:line="640" w:lineRule="exact"/>
        <w:ind w:firstLine="640"/>
        <w:jc w:val="both"/>
        <w:outlineLvl w:val="2"/>
      </w:pPr>
      <w:r>
        <w:rPr>
          <w:rFonts w:ascii="黑体" w:hAnsi="黑体" w:eastAsia="黑体"/>
          <w:sz w:val="32"/>
        </w:rPr>
        <w:t>一、主要职能</w:t>
      </w:r>
    </w:p>
    <w:p w14:paraId="4533CDC9">
      <w:pPr>
        <w:spacing w:line="580" w:lineRule="exact"/>
        <w:ind w:firstLine="640"/>
        <w:jc w:val="both"/>
      </w:pPr>
      <w:r>
        <w:rPr>
          <w:rFonts w:ascii="仿宋_GB2312" w:hAnsi="仿宋_GB2312" w:eastAsia="仿宋_GB2312"/>
          <w:sz w:val="32"/>
        </w:rPr>
        <w:t>（一）根据党的路线、方针、政策，以及民丰县党委的工作部署和要求，确定民丰县总工会工作的指导思想</w:t>
      </w:r>
      <w:r>
        <w:rPr>
          <w:rFonts w:hint="eastAsia" w:ascii="仿宋_GB2312" w:hAnsi="仿宋_GB2312" w:eastAsia="仿宋_GB2312"/>
          <w:sz w:val="32"/>
          <w:lang w:eastAsia="zh-CN"/>
        </w:rPr>
        <w:t>；</w:t>
      </w:r>
      <w:r>
        <w:rPr>
          <w:rFonts w:ascii="仿宋_GB2312" w:hAnsi="仿宋_GB2312" w:eastAsia="仿宋_GB2312"/>
          <w:sz w:val="32"/>
        </w:rPr>
        <w:t>组织指导和调查研究</w:t>
      </w:r>
      <w:r>
        <w:rPr>
          <w:rFonts w:hint="eastAsia" w:ascii="仿宋_GB2312" w:hAnsi="仿宋_GB2312" w:eastAsia="仿宋_GB2312"/>
          <w:sz w:val="32"/>
          <w:lang w:eastAsia="zh-CN"/>
        </w:rPr>
        <w:t>民丰县工会工作。</w:t>
      </w:r>
    </w:p>
    <w:p w14:paraId="17AD8B83">
      <w:pPr>
        <w:spacing w:line="580" w:lineRule="exact"/>
        <w:ind w:firstLine="640"/>
        <w:jc w:val="both"/>
      </w:pPr>
      <w:r>
        <w:rPr>
          <w:rFonts w:ascii="仿宋_GB2312" w:hAnsi="仿宋_GB2312" w:eastAsia="仿宋_GB2312"/>
          <w:sz w:val="32"/>
        </w:rPr>
        <w:t>（二）依照法律和章程，组织和指导全县各级工会履行“维护、建设、参与、教育”</w:t>
      </w:r>
      <w:r>
        <w:rPr>
          <w:rFonts w:hint="eastAsia" w:ascii="仿宋_GB2312" w:hAnsi="仿宋_GB2312" w:eastAsia="仿宋_GB2312"/>
          <w:sz w:val="32"/>
          <w:lang w:eastAsia="zh-CN"/>
        </w:rPr>
        <w:t>等各</w:t>
      </w:r>
      <w:r>
        <w:rPr>
          <w:rFonts w:ascii="仿宋_GB2312" w:hAnsi="仿宋_GB2312" w:eastAsia="仿宋_GB2312"/>
          <w:sz w:val="32"/>
        </w:rPr>
        <w:t>项社会职能，贯彻执行民美县党委和全国总工会的决定，开展工会各项业务与有关方面协助解决工会工作中的有关问题。</w:t>
      </w:r>
    </w:p>
    <w:p w14:paraId="7DA18CEB">
      <w:pPr>
        <w:spacing w:line="580" w:lineRule="exact"/>
        <w:ind w:firstLine="640"/>
        <w:jc w:val="both"/>
      </w:pPr>
      <w:r>
        <w:rPr>
          <w:rFonts w:ascii="仿宋_GB2312" w:hAnsi="仿宋_GB2312" w:eastAsia="仿宋_GB2312"/>
          <w:sz w:val="32"/>
        </w:rPr>
        <w:t>（三）对有关职工利益的重大问题进行调查研究，向民丰县党委、民丰县人民政府反映职工群众的情绪、愿望和要求并提出意见和建议：参与涉及职工切身利益的有关政策、法规、措施和制度的修改、制定工作。</w:t>
      </w:r>
    </w:p>
    <w:p w14:paraId="4908E6A5">
      <w:pPr>
        <w:spacing w:line="580" w:lineRule="exact"/>
        <w:ind w:firstLine="640"/>
        <w:jc w:val="both"/>
      </w:pPr>
      <w:r>
        <w:rPr>
          <w:rFonts w:ascii="仿宋_GB2312" w:hAnsi="仿宋_GB2312" w:eastAsia="仿宋_GB2312"/>
          <w:sz w:val="32"/>
        </w:rPr>
        <w:t>（四）协助民丰县人民政府做好全县和民丰县各基层劳动模范、先进工作者的推荐、评选和表彰工作；负责民丰县劳动模范和先进工作者的管理工作。</w:t>
      </w:r>
    </w:p>
    <w:p w14:paraId="1EE0B779">
      <w:pPr>
        <w:spacing w:line="580" w:lineRule="exact"/>
        <w:ind w:firstLine="640"/>
        <w:jc w:val="both"/>
      </w:pPr>
      <w:r>
        <w:rPr>
          <w:rFonts w:ascii="仿宋_GB2312" w:hAnsi="仿宋_GB2312" w:eastAsia="仿宋_GB2312"/>
          <w:sz w:val="32"/>
        </w:rPr>
        <w:t>（五）指导各级工会自身建设和改革；协助有关部门监督检查《中华人民共和国劳动法》的贯彻执行情况；监督检查《</w:t>
      </w:r>
      <w:r>
        <w:rPr>
          <w:rFonts w:hint="eastAsia" w:ascii="仿宋_GB2312" w:hAnsi="仿宋_GB2312" w:eastAsia="仿宋_GB2312"/>
          <w:sz w:val="32"/>
          <w:lang w:eastAsia="zh-CN"/>
        </w:rPr>
        <w:t>中华人民共和国工会法》和</w:t>
      </w:r>
      <w:r>
        <w:rPr>
          <w:rFonts w:ascii="仿宋_GB2312" w:hAnsi="仿宋_GB2312" w:eastAsia="仿宋_GB2312"/>
          <w:sz w:val="32"/>
        </w:rPr>
        <w:t>《中国工会章程》的贯彻执行情况，研究制定工会的各项组织制度和民主制度。</w:t>
      </w:r>
    </w:p>
    <w:p w14:paraId="235EB34A">
      <w:pPr>
        <w:spacing w:line="580" w:lineRule="exact"/>
        <w:ind w:firstLine="640"/>
        <w:jc w:val="both"/>
      </w:pPr>
      <w:r>
        <w:rPr>
          <w:rFonts w:ascii="仿宋_GB2312" w:hAnsi="仿宋_GB2312" w:eastAsia="仿宋_GB2312"/>
          <w:sz w:val="32"/>
        </w:rPr>
        <w:t>（六）负责各基层党委和民丰县有关部门党委（党组）协调推荐本级和各基层工会的主要领导人选。按照有关规定、承担全县工会系统干部协管工作；指导企事业单位及各基层工会领导干部的培训工作。</w:t>
      </w:r>
    </w:p>
    <w:p w14:paraId="10C67385">
      <w:pPr>
        <w:spacing w:line="580" w:lineRule="exact"/>
        <w:ind w:firstLine="640"/>
        <w:jc w:val="both"/>
      </w:pPr>
      <w:r>
        <w:rPr>
          <w:rFonts w:ascii="仿宋_GB2312" w:hAnsi="仿宋_GB2312" w:eastAsia="仿宋_GB2312"/>
          <w:sz w:val="32"/>
        </w:rPr>
        <w:t>（七）负责工会经费的管理审查、审计工作；研究、制定兴办管理工会企</w:t>
      </w:r>
      <w:r>
        <w:rPr>
          <w:rFonts w:hint="eastAsia" w:ascii="仿宋_GB2312" w:hAnsi="仿宋_GB2312" w:eastAsia="仿宋_GB2312"/>
          <w:sz w:val="32"/>
          <w:lang w:eastAsia="zh-CN"/>
        </w:rPr>
        <w:t>、事业</w:t>
      </w:r>
      <w:r>
        <w:rPr>
          <w:rFonts w:ascii="仿宋_GB2312" w:hAnsi="仿宋_GB2312" w:eastAsia="仿宋_GB2312"/>
          <w:sz w:val="32"/>
        </w:rPr>
        <w:t>的有关政策和规定；负责对全县工会企事业发展的指导、协调工作。</w:t>
      </w:r>
    </w:p>
    <w:p w14:paraId="622D1382">
      <w:pPr>
        <w:spacing w:line="580" w:lineRule="exact"/>
        <w:ind w:firstLine="640"/>
        <w:jc w:val="both"/>
      </w:pPr>
      <w:r>
        <w:rPr>
          <w:rFonts w:ascii="仿宋_GB2312" w:hAnsi="仿宋_GB2312" w:eastAsia="仿宋_GB2312"/>
          <w:sz w:val="32"/>
        </w:rPr>
        <w:t>（八）开展工会相互交流，发展同级工会的友好往来和合作。</w:t>
      </w:r>
    </w:p>
    <w:p w14:paraId="3BCF00A9">
      <w:pPr>
        <w:spacing w:line="580" w:lineRule="exact"/>
        <w:ind w:firstLine="640"/>
        <w:jc w:val="both"/>
      </w:pPr>
      <w:r>
        <w:rPr>
          <w:rFonts w:ascii="仿宋_GB2312" w:hAnsi="仿宋_GB2312" w:eastAsia="仿宋_GB2312"/>
          <w:sz w:val="32"/>
        </w:rPr>
        <w:t>（九）承办民丰县党委、民丰县人民政府和地区工会交给的有关事项。</w:t>
      </w:r>
    </w:p>
    <w:p w14:paraId="02A6CF22">
      <w:pPr>
        <w:spacing w:line="640" w:lineRule="exact"/>
        <w:ind w:firstLine="640"/>
        <w:jc w:val="both"/>
        <w:outlineLvl w:val="2"/>
      </w:pPr>
      <w:r>
        <w:rPr>
          <w:rFonts w:ascii="黑体" w:hAnsi="黑体" w:eastAsia="黑体"/>
          <w:sz w:val="32"/>
        </w:rPr>
        <w:t>二、机构设置及人员情况</w:t>
      </w:r>
    </w:p>
    <w:p w14:paraId="01B7CFC1">
      <w:pPr>
        <w:spacing w:line="580" w:lineRule="exact"/>
        <w:ind w:firstLine="640"/>
        <w:jc w:val="both"/>
      </w:pPr>
      <w:r>
        <w:rPr>
          <w:rFonts w:ascii="仿宋_GB2312" w:hAnsi="仿宋_GB2312" w:eastAsia="仿宋_GB2312"/>
          <w:sz w:val="32"/>
        </w:rPr>
        <w:t>民丰县总工会2024年度，实有人数10人，其中：在职人员6人，增加0人；离休人员0人，增加0人；退休人员4人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48458997">
      <w:pPr>
        <w:spacing w:line="580" w:lineRule="exact"/>
        <w:ind w:firstLine="640"/>
        <w:jc w:val="both"/>
      </w:pPr>
      <w:r>
        <w:rPr>
          <w:rFonts w:ascii="仿宋_GB2312" w:hAnsi="仿宋_GB2312" w:eastAsia="仿宋_GB2312"/>
          <w:sz w:val="32"/>
        </w:rPr>
        <w:t>民丰县总工会无下属预算单位，下设1个科室，分别是：办公室。</w:t>
      </w:r>
    </w:p>
    <w:p w14:paraId="02BF5CB8">
      <w:r>
        <w:br w:type="page"/>
      </w:r>
    </w:p>
    <w:p w14:paraId="3A2C6277">
      <w:pPr>
        <w:spacing w:line="240" w:lineRule="auto"/>
        <w:jc w:val="center"/>
        <w:outlineLvl w:val="1"/>
      </w:pPr>
      <w:r>
        <w:rPr>
          <w:rFonts w:ascii="黑体" w:hAnsi="黑体" w:eastAsia="黑体"/>
          <w:sz w:val="32"/>
        </w:rPr>
        <w:t>第二部分 部门决算情况说明</w:t>
      </w:r>
    </w:p>
    <w:p w14:paraId="3CEE2532">
      <w:pPr>
        <w:spacing w:line="640" w:lineRule="exact"/>
        <w:ind w:firstLine="640"/>
        <w:jc w:val="both"/>
        <w:outlineLvl w:val="2"/>
      </w:pPr>
      <w:r>
        <w:rPr>
          <w:rFonts w:ascii="黑体" w:hAnsi="黑体" w:eastAsia="黑体"/>
          <w:sz w:val="32"/>
        </w:rPr>
        <w:t>一、收入支出决算总体情况说明</w:t>
      </w:r>
    </w:p>
    <w:p w14:paraId="7AC99A27">
      <w:pPr>
        <w:spacing w:line="580" w:lineRule="exact"/>
        <w:ind w:firstLine="640"/>
        <w:jc w:val="both"/>
      </w:pPr>
      <w:r>
        <w:rPr>
          <w:rFonts w:ascii="仿宋_GB2312" w:hAnsi="仿宋_GB2312" w:eastAsia="仿宋_GB2312"/>
          <w:b/>
          <w:sz w:val="32"/>
        </w:rPr>
        <w:t>2024年度收入总计138.97万元，</w:t>
      </w:r>
      <w:r>
        <w:rPr>
          <w:rFonts w:ascii="仿宋_GB2312" w:hAnsi="仿宋_GB2312" w:eastAsia="仿宋_GB2312"/>
          <w:b w:val="0"/>
          <w:sz w:val="32"/>
        </w:rPr>
        <w:t>其中：本年收入合计138.96万元，使用非财政拨款结余（含专用结余）0.00万元，年初结转和结余0.00万元。</w:t>
      </w:r>
    </w:p>
    <w:p w14:paraId="070265CF">
      <w:pPr>
        <w:spacing w:line="580" w:lineRule="exact"/>
        <w:ind w:firstLine="640"/>
        <w:jc w:val="both"/>
      </w:pPr>
      <w:r>
        <w:rPr>
          <w:rFonts w:ascii="仿宋_GB2312" w:hAnsi="仿宋_GB2312" w:eastAsia="仿宋_GB2312"/>
          <w:b/>
          <w:sz w:val="32"/>
        </w:rPr>
        <w:t>2024年度支出总计138.97万元，</w:t>
      </w:r>
      <w:r>
        <w:rPr>
          <w:rFonts w:ascii="仿宋_GB2312" w:hAnsi="仿宋_GB2312" w:eastAsia="仿宋_GB2312"/>
          <w:b w:val="0"/>
          <w:sz w:val="32"/>
        </w:rPr>
        <w:t>其中：本年支出合计138.97万元，结余分配0.00万元，年末结转和结余0.00万元。</w:t>
      </w:r>
    </w:p>
    <w:p w14:paraId="4927F565">
      <w:pPr>
        <w:spacing w:line="580" w:lineRule="exact"/>
        <w:ind w:firstLine="640"/>
        <w:jc w:val="both"/>
      </w:pPr>
      <w:r>
        <w:rPr>
          <w:rFonts w:ascii="仿宋_GB2312" w:hAnsi="仿宋_GB2312" w:eastAsia="仿宋_GB2312"/>
          <w:b w:val="0"/>
          <w:sz w:val="32"/>
        </w:rPr>
        <w:t>收入支出总体与上年相比，增加14.96万元，增长12.06%，主要原因是：本年在职人员工资调增、社保、公积金基数调增，人员经费增加。</w:t>
      </w:r>
    </w:p>
    <w:p w14:paraId="33BAFA0C">
      <w:pPr>
        <w:spacing w:line="640" w:lineRule="exact"/>
        <w:ind w:firstLine="640"/>
        <w:jc w:val="both"/>
        <w:outlineLvl w:val="2"/>
      </w:pPr>
      <w:r>
        <w:rPr>
          <w:rFonts w:ascii="黑体" w:hAnsi="黑体" w:eastAsia="黑体"/>
          <w:sz w:val="32"/>
        </w:rPr>
        <w:t>二、收入决算情况说明</w:t>
      </w:r>
    </w:p>
    <w:p w14:paraId="4C374A4C">
      <w:pPr>
        <w:spacing w:line="580" w:lineRule="exact"/>
        <w:ind w:firstLine="640"/>
        <w:jc w:val="both"/>
      </w:pPr>
      <w:r>
        <w:rPr>
          <w:rFonts w:ascii="仿宋_GB2312" w:hAnsi="仿宋_GB2312" w:eastAsia="仿宋_GB2312"/>
          <w:b/>
          <w:sz w:val="32"/>
        </w:rPr>
        <w:t>本年收入138.96万元，</w:t>
      </w:r>
      <w:r>
        <w:rPr>
          <w:rFonts w:ascii="仿宋_GB2312" w:hAnsi="仿宋_GB2312" w:eastAsia="仿宋_GB2312"/>
          <w:b w:val="0"/>
          <w:sz w:val="32"/>
        </w:rPr>
        <w:t>其中：财政拨款收入138.96万元，占100.00%；上级补助收入0.00万元，占0.00%；事业收入0.00万元，占0.00%；经营收入0.00万元，占0.00%；附属单位上缴收入0.00万元，占0.00%；其他收入0.00万元，占0.00%。</w:t>
      </w:r>
    </w:p>
    <w:p w14:paraId="19EFACAD">
      <w:pPr>
        <w:spacing w:line="640" w:lineRule="exact"/>
        <w:ind w:firstLine="640"/>
        <w:jc w:val="both"/>
        <w:outlineLvl w:val="2"/>
      </w:pPr>
      <w:r>
        <w:rPr>
          <w:rFonts w:ascii="黑体" w:hAnsi="黑体" w:eastAsia="黑体"/>
          <w:sz w:val="32"/>
        </w:rPr>
        <w:t>三、支出决算情况说明</w:t>
      </w:r>
    </w:p>
    <w:p w14:paraId="43928F94">
      <w:pPr>
        <w:spacing w:line="580" w:lineRule="exact"/>
        <w:ind w:firstLine="640"/>
        <w:jc w:val="both"/>
      </w:pPr>
      <w:r>
        <w:rPr>
          <w:rFonts w:ascii="仿宋_GB2312" w:hAnsi="仿宋_GB2312" w:eastAsia="仿宋_GB2312"/>
          <w:b/>
          <w:sz w:val="32"/>
        </w:rPr>
        <w:t>本年支出138.97万元，</w:t>
      </w:r>
      <w:r>
        <w:rPr>
          <w:rFonts w:ascii="仿宋_GB2312" w:hAnsi="仿宋_GB2312" w:eastAsia="仿宋_GB2312"/>
          <w:b w:val="0"/>
          <w:sz w:val="32"/>
        </w:rPr>
        <w:t>其中：基本支出138.97万元，占100.00%；项目支出0.00万元，占0.00%；上缴上级支出0.00万元，占0.00%；经营支出0.00万元，占0.00%；对附属单位补助支出0.00万元，占0.00%。</w:t>
      </w:r>
    </w:p>
    <w:p w14:paraId="39A9EF51">
      <w:pPr>
        <w:spacing w:line="640" w:lineRule="exact"/>
        <w:ind w:firstLine="640"/>
        <w:jc w:val="both"/>
        <w:outlineLvl w:val="2"/>
      </w:pPr>
      <w:r>
        <w:rPr>
          <w:rFonts w:ascii="黑体" w:hAnsi="黑体" w:eastAsia="黑体"/>
          <w:sz w:val="32"/>
        </w:rPr>
        <w:t>四、财政拨款收入支出决算总体情况说明</w:t>
      </w:r>
    </w:p>
    <w:p w14:paraId="1F16A966">
      <w:pPr>
        <w:spacing w:line="580" w:lineRule="exact"/>
        <w:ind w:firstLine="640"/>
        <w:jc w:val="both"/>
      </w:pPr>
      <w:r>
        <w:rPr>
          <w:rFonts w:ascii="仿宋_GB2312" w:hAnsi="仿宋_GB2312" w:eastAsia="仿宋_GB2312"/>
          <w:b/>
          <w:sz w:val="32"/>
        </w:rPr>
        <w:t>2024年度财政拨款收入总计138.96万元，</w:t>
      </w:r>
      <w:r>
        <w:rPr>
          <w:rFonts w:ascii="仿宋_GB2312" w:hAnsi="仿宋_GB2312" w:eastAsia="仿宋_GB2312"/>
          <w:b w:val="0"/>
          <w:sz w:val="32"/>
        </w:rPr>
        <w:t>其中：年初财政拨款结转和结余0.00万元，本年财政拨款收入138.96万元。</w:t>
      </w:r>
      <w:r>
        <w:rPr>
          <w:rFonts w:ascii="仿宋_GB2312" w:hAnsi="仿宋_GB2312" w:eastAsia="仿宋_GB2312"/>
          <w:b/>
          <w:sz w:val="32"/>
        </w:rPr>
        <w:t>财政拨款支出总计138.96万元，</w:t>
      </w:r>
      <w:r>
        <w:rPr>
          <w:rFonts w:ascii="仿宋_GB2312" w:hAnsi="仿宋_GB2312" w:eastAsia="仿宋_GB2312"/>
          <w:b w:val="0"/>
          <w:sz w:val="32"/>
        </w:rPr>
        <w:t>其中：年末财政拨款结转和结余0.00万元，本年财政拨款支出138.96万元。</w:t>
      </w:r>
    </w:p>
    <w:p w14:paraId="5C01B3A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增加14.95万元，增长12.06%，主要原因是：本年在职人员工资调增、社保、公积金基数调增，人员经费增加。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年初预算数138.80万元，决算数138.96万元，预决算差异率0.12%，主要原因是：年中追加人员工资、社保、公积金基数调增部分资金，导致预决算存在差异。</w:t>
      </w:r>
    </w:p>
    <w:p w14:paraId="3698C990">
      <w:pPr>
        <w:spacing w:line="640" w:lineRule="exact"/>
        <w:ind w:firstLine="640"/>
        <w:jc w:val="both"/>
        <w:outlineLvl w:val="2"/>
      </w:pPr>
      <w:r>
        <w:rPr>
          <w:rFonts w:ascii="黑体" w:hAnsi="黑体" w:eastAsia="黑体"/>
          <w:sz w:val="32"/>
        </w:rPr>
        <w:t>五、一般公共预算财政拨款支出决算情况说明</w:t>
      </w:r>
    </w:p>
    <w:p w14:paraId="50EE864B">
      <w:pPr>
        <w:spacing w:line="640" w:lineRule="exact"/>
        <w:ind w:firstLine="640"/>
        <w:jc w:val="both"/>
        <w:outlineLvl w:val="3"/>
      </w:pPr>
      <w:r>
        <w:rPr>
          <w:rFonts w:ascii="楷体_GB2312" w:hAnsi="楷体_GB2312" w:eastAsia="楷体_GB2312"/>
          <w:b/>
          <w:sz w:val="32"/>
        </w:rPr>
        <w:t>（一）一般公共预算财政拨款支出决算总体情况</w:t>
      </w:r>
    </w:p>
    <w:p w14:paraId="5A1F7319">
      <w:pPr>
        <w:spacing w:line="580" w:lineRule="exact"/>
        <w:ind w:firstLine="640"/>
        <w:jc w:val="both"/>
      </w:pPr>
      <w:r>
        <w:rPr>
          <w:rFonts w:ascii="仿宋_GB2312" w:hAnsi="仿宋_GB2312" w:eastAsia="仿宋_GB2312"/>
          <w:b/>
          <w:sz w:val="32"/>
        </w:rPr>
        <w:t>2024年度一般公共预算财政拨款支出138.96万元，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增加14.95万元，增长12.06%，主要原因是：本年在职人员工资调增，社保、公积金基数调增，人员经费增加。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年初预算数138.80万元，决算数138.96万元，预决算差异率0.12%，主要原因是：年中追加人员工资、社保、公积金基数调增部分资金，导致预决算存在差异。</w:t>
      </w:r>
    </w:p>
    <w:p w14:paraId="24D32C92">
      <w:pPr>
        <w:spacing w:line="640" w:lineRule="exact"/>
        <w:ind w:firstLine="640"/>
        <w:jc w:val="both"/>
        <w:outlineLvl w:val="3"/>
      </w:pPr>
      <w:r>
        <w:rPr>
          <w:rFonts w:ascii="楷体_GB2312" w:hAnsi="楷体_GB2312" w:eastAsia="楷体_GB2312"/>
          <w:b/>
          <w:sz w:val="32"/>
        </w:rPr>
        <w:t>（二）一般公共预算财政拨款支出决算结构情况</w:t>
      </w:r>
    </w:p>
    <w:p w14:paraId="38ABA5E2">
      <w:pPr>
        <w:spacing w:line="580" w:lineRule="exact"/>
        <w:ind w:firstLine="640"/>
        <w:jc w:val="both"/>
      </w:pPr>
      <w:r>
        <w:rPr>
          <w:rFonts w:ascii="仿宋_GB2312" w:hAnsi="仿宋_GB2312" w:eastAsia="仿宋_GB2312"/>
          <w:b w:val="0"/>
          <w:sz w:val="32"/>
        </w:rPr>
        <w:t>1.一般公共服务支出(类)103.87万元,占74.75%。</w:t>
      </w:r>
    </w:p>
    <w:p w14:paraId="1BF35E97">
      <w:pPr>
        <w:spacing w:line="580" w:lineRule="exact"/>
        <w:ind w:firstLine="640"/>
        <w:jc w:val="both"/>
      </w:pPr>
      <w:r>
        <w:rPr>
          <w:rFonts w:ascii="仿宋_GB2312" w:hAnsi="仿宋_GB2312" w:eastAsia="仿宋_GB2312"/>
          <w:b w:val="0"/>
          <w:sz w:val="32"/>
        </w:rPr>
        <w:t>2.社会保障和就业支出(类)17.78万元,占12.80%。</w:t>
      </w:r>
    </w:p>
    <w:p w14:paraId="6C5D15DB">
      <w:pPr>
        <w:spacing w:line="580" w:lineRule="exact"/>
        <w:ind w:firstLine="640"/>
        <w:jc w:val="both"/>
      </w:pPr>
      <w:r>
        <w:rPr>
          <w:rFonts w:ascii="仿宋_GB2312" w:hAnsi="仿宋_GB2312" w:eastAsia="仿宋_GB2312"/>
          <w:b w:val="0"/>
          <w:sz w:val="32"/>
        </w:rPr>
        <w:t>3.卫生健康支出(类)7.42万元,占5.34%。</w:t>
      </w:r>
    </w:p>
    <w:p w14:paraId="5570EDD3">
      <w:pPr>
        <w:spacing w:line="580" w:lineRule="exact"/>
        <w:ind w:firstLine="640"/>
        <w:jc w:val="both"/>
      </w:pPr>
      <w:r>
        <w:rPr>
          <w:rFonts w:ascii="仿宋_GB2312" w:hAnsi="仿宋_GB2312" w:eastAsia="仿宋_GB2312"/>
          <w:b w:val="0"/>
          <w:sz w:val="32"/>
        </w:rPr>
        <w:t>4.住房保障支出(类)9.88万元,占7.11%。</w:t>
      </w:r>
    </w:p>
    <w:p w14:paraId="14847DE0">
      <w:pPr>
        <w:spacing w:line="640" w:lineRule="exact"/>
        <w:ind w:firstLine="640"/>
        <w:jc w:val="both"/>
        <w:outlineLvl w:val="3"/>
      </w:pPr>
      <w:r>
        <w:rPr>
          <w:rFonts w:ascii="楷体_GB2312" w:hAnsi="楷体_GB2312" w:eastAsia="楷体_GB2312"/>
          <w:b/>
          <w:sz w:val="32"/>
        </w:rPr>
        <w:t>（三）一般公共预算财政拨款支出决算具体情况</w:t>
      </w:r>
    </w:p>
    <w:p w14:paraId="15A5CA37">
      <w:pPr>
        <w:spacing w:line="580" w:lineRule="exact"/>
        <w:ind w:firstLine="640"/>
        <w:jc w:val="both"/>
      </w:pPr>
      <w:r>
        <w:rPr>
          <w:rFonts w:ascii="仿宋_GB2312" w:hAnsi="仿宋_GB2312" w:eastAsia="仿宋_GB2312"/>
          <w:b w:val="0"/>
          <w:sz w:val="32"/>
        </w:rPr>
        <w:t>1.一般公共服务支出(类)群众团体事务(款)行政运行(项):支出决算数为103.87万元，比上年决算减少10.46万元，下降9.15%,主要原因是：本年科目调整，退休人员经费、职工住房公积金</w:t>
      </w:r>
      <w:r>
        <w:rPr>
          <w:rFonts w:hint="eastAsia" w:ascii="仿宋_GB2312" w:hAnsi="仿宋_GB2312" w:eastAsia="仿宋_GB2312"/>
          <w:b w:val="0"/>
          <w:sz w:val="32"/>
          <w:lang w:eastAsia="zh-CN"/>
        </w:rPr>
        <w:t>、</w:t>
      </w:r>
      <w:r>
        <w:rPr>
          <w:rFonts w:ascii="仿宋_GB2312" w:hAnsi="仿宋_GB2312" w:eastAsia="仿宋_GB2312"/>
          <w:b w:val="0"/>
          <w:sz w:val="32"/>
        </w:rPr>
        <w:t>医疗保险</w:t>
      </w:r>
      <w:r>
        <w:rPr>
          <w:rFonts w:hint="eastAsia" w:ascii="仿宋_GB2312" w:hAnsi="仿宋_GB2312" w:eastAsia="仿宋_GB2312"/>
          <w:b w:val="0"/>
          <w:sz w:val="32"/>
          <w:lang w:eastAsia="zh-CN"/>
        </w:rPr>
        <w:t>、</w:t>
      </w:r>
      <w:r>
        <w:rPr>
          <w:rFonts w:ascii="仿宋_GB2312" w:hAnsi="仿宋_GB2312" w:eastAsia="仿宋_GB2312"/>
          <w:b w:val="0"/>
          <w:sz w:val="32"/>
        </w:rPr>
        <w:t>公务员医疗补助等经费上年在主科目列支，本年单独列支。</w:t>
      </w:r>
    </w:p>
    <w:p w14:paraId="5CA7BB01">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3.98万元，比上年决算增加3.98万元，增长100.00%,主要原因是：本年功能科目调整，行政单位离退休上年度在主科目列支，本年单独列支，导致经费较上年增加。</w:t>
      </w:r>
    </w:p>
    <w:p w14:paraId="5E34C41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12.27万元，比上年决算增加2.59万元，增长26.76%,主要原因是：本年在职人员工资基数调增，养老缴费基数上涨，相应支出增加。</w:t>
      </w:r>
    </w:p>
    <w:p w14:paraId="63FE99C5">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1.53万元，比上年决算增加1.53万元，增长100.00%,主要原因是：2024年10月份开始缴纳在职职工职业年金单位部分，导致经费支出增加。</w:t>
      </w:r>
    </w:p>
    <w:p w14:paraId="04E31541">
      <w:pPr>
        <w:spacing w:line="580" w:lineRule="exact"/>
        <w:ind w:firstLine="640"/>
        <w:jc w:val="both"/>
      </w:pPr>
      <w:r>
        <w:rPr>
          <w:rFonts w:ascii="仿宋_GB2312" w:hAnsi="仿宋_GB2312" w:eastAsia="仿宋_GB2312"/>
          <w:b w:val="0"/>
          <w:sz w:val="32"/>
        </w:rPr>
        <w:t>5.卫生健康支出(类)行政事业单位医疗(款)行政单位医疗(项):支出决算数为4.99万元，比上年决算增加4.99万元，增长100.00%,主要原因是：本年功能科目调整，行政单位医疗支出上年度在主科目列支，本年单独列支，导致经费较上年增加。</w:t>
      </w:r>
    </w:p>
    <w:p w14:paraId="7B2E1D59">
      <w:pPr>
        <w:spacing w:line="580" w:lineRule="exact"/>
        <w:ind w:firstLine="640"/>
        <w:jc w:val="both"/>
      </w:pPr>
      <w:r>
        <w:rPr>
          <w:rFonts w:ascii="仿宋_GB2312" w:hAnsi="仿宋_GB2312" w:eastAsia="仿宋_GB2312"/>
          <w:b w:val="0"/>
          <w:sz w:val="32"/>
        </w:rPr>
        <w:t>6.卫生健康支出(类)行政事业单位医疗(款)公务员医疗补助(项):支出决算数为2.08万元，比上年决算增加2.08万元，增长100.00%,主要原因是：本年功能科目调整，公务员医疗补助上年度在主科目列支，本年单独列支，导致经费较上年增加。</w:t>
      </w:r>
    </w:p>
    <w:p w14:paraId="43D32A32">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7.卫生健康支出(类)行政事业单位医疗(款)其他行政事业单位医疗支出(项):支出决算数为0.35万元，比上年决算增加0.35万元，增长100.00%,主要原因是：本年功能科目调整，职工大病</w:t>
      </w:r>
      <w:r>
        <w:rPr>
          <w:rFonts w:hint="eastAsia" w:ascii="仿宋_GB2312" w:hAnsi="仿宋_GB2312" w:eastAsia="仿宋_GB2312"/>
          <w:b w:val="0"/>
          <w:sz w:val="32"/>
          <w:lang w:eastAsia="zh-CN"/>
        </w:rPr>
        <w:t>、</w:t>
      </w:r>
      <w:r>
        <w:rPr>
          <w:rFonts w:ascii="仿宋_GB2312" w:hAnsi="仿宋_GB2312" w:eastAsia="仿宋_GB2312"/>
          <w:b w:val="0"/>
          <w:sz w:val="32"/>
        </w:rPr>
        <w:t>工伤</w:t>
      </w:r>
      <w:r>
        <w:rPr>
          <w:rFonts w:hint="eastAsia" w:ascii="仿宋_GB2312" w:hAnsi="仿宋_GB2312" w:eastAsia="仿宋_GB2312"/>
          <w:b w:val="0"/>
          <w:sz w:val="32"/>
          <w:lang w:eastAsia="zh-CN"/>
        </w:rPr>
        <w:t>、</w:t>
      </w:r>
      <w:r>
        <w:rPr>
          <w:rFonts w:ascii="仿宋_GB2312" w:hAnsi="仿宋_GB2312" w:eastAsia="仿宋_GB2312"/>
          <w:b w:val="0"/>
          <w:sz w:val="32"/>
        </w:rPr>
        <w:t>失业保险上年度在主科目列支，本年单独列支，导致经费较上年增加。</w:t>
      </w:r>
    </w:p>
    <w:p w14:paraId="263A3289">
      <w:pPr>
        <w:spacing w:line="580" w:lineRule="exact"/>
        <w:ind w:firstLine="640"/>
        <w:jc w:val="both"/>
      </w:pPr>
      <w:r>
        <w:rPr>
          <w:rFonts w:ascii="仿宋_GB2312" w:hAnsi="仿宋_GB2312" w:eastAsia="仿宋_GB2312"/>
          <w:b w:val="0"/>
          <w:sz w:val="32"/>
        </w:rPr>
        <w:t>8.住房保障支出(类)住房改革支出(款)住房公积金(项):支出决算数为9.88万元，比上年决算增加9.88万元，增长100.00%,主要原因是：本年功能科目调整，住房公积金上年度在主科目列支，本年单独列支，导致经费较上年增加。</w:t>
      </w:r>
    </w:p>
    <w:p w14:paraId="4E65ED0F">
      <w:pPr>
        <w:spacing w:line="640" w:lineRule="exact"/>
        <w:ind w:firstLine="640"/>
        <w:jc w:val="both"/>
        <w:outlineLvl w:val="2"/>
      </w:pPr>
      <w:r>
        <w:rPr>
          <w:rFonts w:ascii="黑体" w:hAnsi="黑体" w:eastAsia="黑体"/>
          <w:sz w:val="32"/>
        </w:rPr>
        <w:t>六、一般公共预算财政拨款基本支出决算情况说明</w:t>
      </w:r>
    </w:p>
    <w:p w14:paraId="610F8A55">
      <w:pPr>
        <w:spacing w:line="580" w:lineRule="exact"/>
        <w:ind w:firstLine="640"/>
        <w:jc w:val="both"/>
      </w:pPr>
      <w:r>
        <w:rPr>
          <w:rFonts w:ascii="仿宋_GB2312" w:hAnsi="仿宋_GB2312" w:eastAsia="仿宋_GB2312"/>
          <w:b w:val="0"/>
          <w:sz w:val="32"/>
        </w:rPr>
        <w:t>2024年度一般公共预算财政拨款基本支出138.96万元，其中：</w:t>
      </w:r>
      <w:r>
        <w:rPr>
          <w:rFonts w:ascii="仿宋_GB2312" w:hAnsi="仿宋_GB2312" w:eastAsia="仿宋_GB2312"/>
          <w:b/>
          <w:sz w:val="32"/>
        </w:rPr>
        <w:t>人员经费130.93万元，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包括：基本工资、津贴补贴、奖金、绩效工资、机关事业单位基本养老保险缴费、职业年金缴费、职工基本医疗保险缴费、公务员医疗补助缴费、其他社会保障缴费、住房公积金、医疗费、退休费。</w:t>
      </w:r>
    </w:p>
    <w:p w14:paraId="00A1B86A">
      <w:pPr>
        <w:spacing w:line="580" w:lineRule="exact"/>
        <w:ind w:firstLine="640"/>
        <w:jc w:val="both"/>
      </w:pPr>
      <w:r>
        <w:rPr>
          <w:rFonts w:ascii="仿宋_GB2312" w:hAnsi="仿宋_GB2312" w:eastAsia="仿宋_GB2312"/>
          <w:b/>
          <w:sz w:val="32"/>
        </w:rPr>
        <w:t>公用经费8.03万元，</w:t>
      </w:r>
      <w:r>
        <w:rPr>
          <w:rFonts w:ascii="仿宋_GB2312" w:hAnsi="仿宋_GB2312" w:eastAsia="仿宋_GB2312"/>
          <w:b w:val="0"/>
          <w:sz w:val="32"/>
        </w:rPr>
        <w:t>包括：办公费、电费、差旅费、工会经费、公务用车运行维护费。</w:t>
      </w:r>
    </w:p>
    <w:p w14:paraId="37B133D0">
      <w:pPr>
        <w:spacing w:line="640" w:lineRule="exact"/>
        <w:ind w:firstLine="640"/>
        <w:jc w:val="both"/>
        <w:outlineLvl w:val="2"/>
      </w:pPr>
      <w:r>
        <w:rPr>
          <w:rFonts w:ascii="黑体" w:hAnsi="黑体" w:eastAsia="黑体"/>
          <w:sz w:val="32"/>
        </w:rPr>
        <w:t>七、政府性基金预算财政拨款收入支出决算情况说明</w:t>
      </w:r>
    </w:p>
    <w:p w14:paraId="1C72ACF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5360BAC">
      <w:pPr>
        <w:spacing w:line="640" w:lineRule="exact"/>
        <w:ind w:firstLine="640"/>
        <w:jc w:val="both"/>
        <w:outlineLvl w:val="2"/>
      </w:pPr>
      <w:r>
        <w:rPr>
          <w:rFonts w:ascii="黑体" w:hAnsi="黑体" w:eastAsia="黑体"/>
          <w:sz w:val="32"/>
        </w:rPr>
        <w:t>八、国有资本经营预算财政拨款收入支出决算情况说明</w:t>
      </w:r>
    </w:p>
    <w:p w14:paraId="38192B6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7C58197">
      <w:pPr>
        <w:spacing w:line="640" w:lineRule="exact"/>
        <w:ind w:firstLine="640"/>
        <w:jc w:val="both"/>
        <w:outlineLvl w:val="2"/>
      </w:pPr>
      <w:r>
        <w:rPr>
          <w:rFonts w:ascii="黑体" w:hAnsi="黑体" w:eastAsia="黑体"/>
          <w:sz w:val="32"/>
        </w:rPr>
        <w:t>九、财政拨款“三公”经费支出决算情况说明</w:t>
      </w:r>
    </w:p>
    <w:p w14:paraId="309A6D21">
      <w:pPr>
        <w:spacing w:line="580" w:lineRule="exact"/>
        <w:ind w:firstLine="640"/>
        <w:jc w:val="both"/>
      </w:pPr>
      <w:r>
        <w:rPr>
          <w:rFonts w:ascii="仿宋_GB2312" w:hAnsi="仿宋_GB2312" w:eastAsia="仿宋_GB2312"/>
          <w:b/>
          <w:sz w:val="32"/>
        </w:rPr>
        <w:t>2024年度财政拨款“三公”经费支出1.43万元，</w:t>
      </w:r>
      <w:r>
        <w:rPr>
          <w:rFonts w:ascii="仿宋_GB2312" w:hAnsi="仿宋_GB2312" w:eastAsia="仿宋_GB2312"/>
          <w:b w:val="0"/>
          <w:sz w:val="32"/>
        </w:rPr>
        <w:t>比上年增加0.53万元，增长58.89%，主要原因是：本单位公务用车日渐老化，维修维护成本增加，并且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1.43万元，占100.00%，比上年增加0.53万元，增长58.89%，主要原因是：本单位公务用车日渐老化，维修维护成本增加，并且因业务需求，用车次数增加，燃油费增加，导致公务用车运行维护费较上年增加。公务接待费支出0.00万元，占0.00%，比上年增加0.00万元，增长0.00%，主要原因是：2023年与2024年均未安排公务接待费支出。</w:t>
      </w:r>
    </w:p>
    <w:p w14:paraId="596488DB">
      <w:pPr>
        <w:spacing w:line="580" w:lineRule="exact"/>
        <w:ind w:firstLine="640"/>
        <w:jc w:val="both"/>
      </w:pPr>
      <w:r>
        <w:rPr>
          <w:rFonts w:ascii="仿宋_GB2312" w:hAnsi="仿宋_GB2312" w:eastAsia="仿宋_GB2312"/>
          <w:b/>
          <w:sz w:val="32"/>
        </w:rPr>
        <w:t>具体情况如下：</w:t>
      </w:r>
    </w:p>
    <w:p w14:paraId="4E34CD1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1194293">
      <w:pPr>
        <w:spacing w:line="580" w:lineRule="exact"/>
        <w:ind w:firstLine="640"/>
        <w:jc w:val="both"/>
      </w:pPr>
      <w:r>
        <w:rPr>
          <w:rFonts w:ascii="仿宋_GB2312" w:hAnsi="仿宋_GB2312" w:eastAsia="仿宋_GB2312"/>
          <w:b w:val="0"/>
          <w:sz w:val="32"/>
        </w:rPr>
        <w:t>公务用车购置及运行维护费1.43万元，其中：公务用车购置费0.00万元，公务用车运行维护费1.43万元。公务用车运行维护费开支内容包括车辆加油费、维修费、保险费、审车费、过路费等。公务用车购置数0辆，公务用车保有量1辆。国有资产占用情况中固定资产车辆2辆，与公务用车保有量差异原因是：差异车辆为一般业务用车，预算未安排公务用车运行维护费开支经费。</w:t>
      </w:r>
    </w:p>
    <w:p w14:paraId="361FA0D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65C4D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1.43万元，决算数1.43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1.43万元，决算数1.43万元，预决算差异率0.00%，主要原因是：严格按照预算执行，预决算无差异。公务接待费全年预算数0.00万元，决算数0.00万元，预决算差异率0.00%，主要原因是：本单位无公务接待费。</w:t>
      </w:r>
    </w:p>
    <w:p w14:paraId="6CC01C24">
      <w:pPr>
        <w:spacing w:line="640" w:lineRule="exact"/>
        <w:ind w:firstLine="640"/>
        <w:jc w:val="both"/>
        <w:outlineLvl w:val="2"/>
      </w:pPr>
      <w:r>
        <w:rPr>
          <w:rFonts w:ascii="黑体" w:hAnsi="黑体" w:eastAsia="黑体"/>
          <w:sz w:val="32"/>
        </w:rPr>
        <w:t>十、其他重要事项的情况说明</w:t>
      </w:r>
    </w:p>
    <w:p w14:paraId="0DED38E5">
      <w:pPr>
        <w:spacing w:line="640" w:lineRule="exact"/>
        <w:ind w:firstLine="640"/>
        <w:jc w:val="both"/>
        <w:outlineLvl w:val="3"/>
      </w:pPr>
      <w:r>
        <w:rPr>
          <w:rFonts w:ascii="楷体_GB2312" w:hAnsi="楷体_GB2312" w:eastAsia="楷体_GB2312"/>
          <w:b/>
          <w:sz w:val="32"/>
        </w:rPr>
        <w:t>（一）机关运行经费及公用经费支出情况</w:t>
      </w:r>
    </w:p>
    <w:p w14:paraId="44693013">
      <w:pPr>
        <w:spacing w:line="580" w:lineRule="exact"/>
        <w:ind w:firstLine="640"/>
        <w:jc w:val="both"/>
      </w:pPr>
      <w:r>
        <w:rPr>
          <w:rFonts w:ascii="仿宋_GB2312" w:hAnsi="仿宋_GB2312" w:eastAsia="仿宋_GB2312"/>
          <w:b w:val="0"/>
          <w:sz w:val="32"/>
        </w:rPr>
        <w:t>2024年度民丰县总工会（行政单位和参照公务员法管理事业单位）机关运行经费支出8.03万元，比上年增加5.43万元，增长208.85%，主要原因是：本年增加工会经费支出，导致机关运行经费支出增加。</w:t>
      </w:r>
    </w:p>
    <w:p w14:paraId="18D98524">
      <w:pPr>
        <w:spacing w:line="640" w:lineRule="exact"/>
        <w:ind w:firstLine="640"/>
        <w:jc w:val="both"/>
        <w:outlineLvl w:val="3"/>
      </w:pPr>
      <w:r>
        <w:rPr>
          <w:rFonts w:ascii="楷体_GB2312" w:hAnsi="楷体_GB2312" w:eastAsia="楷体_GB2312"/>
          <w:b/>
          <w:sz w:val="32"/>
        </w:rPr>
        <w:t>（二）政府采购情况</w:t>
      </w:r>
    </w:p>
    <w:p w14:paraId="34D00F09">
      <w:pPr>
        <w:spacing w:line="580" w:lineRule="exact"/>
        <w:ind w:firstLine="640"/>
        <w:jc w:val="both"/>
      </w:pPr>
      <w:r>
        <w:rPr>
          <w:rFonts w:ascii="仿宋_GB2312" w:hAnsi="仿宋_GB2312" w:eastAsia="仿宋_GB2312"/>
          <w:b w:val="0"/>
          <w:sz w:val="32"/>
        </w:rPr>
        <w:t>2024年度政府采购支出总额28.19万元，其中：政府采购货物支出25.53万元、政府采购工程支出0.00万元、政府采购服务支出2.67万元。</w:t>
      </w:r>
    </w:p>
    <w:p w14:paraId="214B7525">
      <w:pPr>
        <w:spacing w:line="580" w:lineRule="exact"/>
        <w:ind w:firstLine="640"/>
        <w:jc w:val="both"/>
      </w:pPr>
      <w:r>
        <w:rPr>
          <w:rFonts w:ascii="仿宋_GB2312" w:hAnsi="仿宋_GB2312" w:eastAsia="仿宋_GB2312"/>
          <w:b w:val="0"/>
          <w:sz w:val="32"/>
        </w:rPr>
        <w:t>授予中小企业合同金额28.19万元，占政府采购支出总额的100.00%，其中：授予小微企业合同金额28.19万元，占政府采购支出总额的100.00%。</w:t>
      </w:r>
    </w:p>
    <w:p w14:paraId="0262A1CB">
      <w:pPr>
        <w:spacing w:line="640" w:lineRule="exact"/>
        <w:ind w:firstLine="640"/>
        <w:jc w:val="both"/>
        <w:outlineLvl w:val="3"/>
      </w:pPr>
      <w:r>
        <w:rPr>
          <w:rFonts w:ascii="楷体_GB2312" w:hAnsi="楷体_GB2312" w:eastAsia="楷体_GB2312"/>
          <w:b/>
          <w:sz w:val="32"/>
        </w:rPr>
        <w:t>（三）国有资产占用情况说明</w:t>
      </w:r>
    </w:p>
    <w:p w14:paraId="1014A89D">
      <w:pPr>
        <w:spacing w:line="580" w:lineRule="exact"/>
        <w:ind w:firstLine="640"/>
        <w:jc w:val="both"/>
      </w:pPr>
      <w:r>
        <w:rPr>
          <w:rFonts w:ascii="仿宋_GB2312" w:hAnsi="仿宋_GB2312" w:eastAsia="仿宋_GB2312"/>
          <w:b w:val="0"/>
          <w:sz w:val="32"/>
        </w:rPr>
        <w:t>截至2024年12月31日，房屋0.00平方米，价值0.00万元。车辆2辆，价值24.69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6C418CAA">
      <w:pPr>
        <w:spacing w:line="640" w:lineRule="exact"/>
        <w:ind w:firstLine="640"/>
        <w:jc w:val="both"/>
        <w:outlineLvl w:val="2"/>
      </w:pPr>
      <w:r>
        <w:rPr>
          <w:rFonts w:ascii="黑体" w:hAnsi="黑体" w:eastAsia="黑体"/>
          <w:sz w:val="32"/>
        </w:rPr>
        <w:t>十一、预算绩效的情况说明</w:t>
      </w:r>
    </w:p>
    <w:p w14:paraId="34DE5BF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138.97万元，实际执行总额138.97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14:paraId="7CD1047A">
      <w:r>
        <w:br w:type="page"/>
      </w:r>
    </w:p>
    <w:tbl>
      <w:tblPr>
        <w:tblStyle w:val="9"/>
        <w:tblW w:w="0" w:type="auto"/>
        <w:tblInd w:w="-437" w:type="dxa"/>
        <w:tblLayout w:type="autofit"/>
        <w:tblCellMar>
          <w:top w:w="0" w:type="dxa"/>
          <w:left w:w="108" w:type="dxa"/>
          <w:bottom w:w="0" w:type="dxa"/>
          <w:right w:w="108" w:type="dxa"/>
        </w:tblCellMar>
      </w:tblPr>
      <w:tblGrid>
        <w:gridCol w:w="977"/>
        <w:gridCol w:w="1426"/>
        <w:gridCol w:w="983"/>
        <w:gridCol w:w="1142"/>
        <w:gridCol w:w="824"/>
        <w:gridCol w:w="983"/>
        <w:gridCol w:w="983"/>
        <w:gridCol w:w="983"/>
        <w:gridCol w:w="983"/>
      </w:tblGrid>
      <w:tr w14:paraId="672FD9AF">
        <w:tblPrEx>
          <w:tblCellMar>
            <w:top w:w="0" w:type="dxa"/>
            <w:left w:w="108" w:type="dxa"/>
            <w:bottom w:w="0" w:type="dxa"/>
            <w:right w:w="108" w:type="dxa"/>
          </w:tblCellMar>
        </w:tblPrEx>
        <w:tc>
          <w:tcPr>
            <w:tcW w:w="9284" w:type="dxa"/>
            <w:gridSpan w:val="9"/>
            <w:vAlign w:val="center"/>
          </w:tcPr>
          <w:p w14:paraId="08F9978D">
            <w:pPr>
              <w:jc w:val="center"/>
            </w:pPr>
            <w:r>
              <w:rPr>
                <w:rFonts w:ascii="宋体" w:hAnsi="宋体" w:eastAsia="宋体"/>
                <w:sz w:val="24"/>
              </w:rPr>
              <w:t>单位整体支出绩效自评表</w:t>
            </w:r>
          </w:p>
        </w:tc>
      </w:tr>
      <w:tr w14:paraId="794D6246">
        <w:tblPrEx>
          <w:tblCellMar>
            <w:top w:w="0" w:type="dxa"/>
            <w:left w:w="108" w:type="dxa"/>
            <w:bottom w:w="0" w:type="dxa"/>
            <w:right w:w="108" w:type="dxa"/>
          </w:tblCellMar>
        </w:tblPrEx>
        <w:tc>
          <w:tcPr>
            <w:tcW w:w="9284" w:type="dxa"/>
            <w:gridSpan w:val="9"/>
            <w:vAlign w:val="center"/>
          </w:tcPr>
          <w:p w14:paraId="2557E146">
            <w:pPr>
              <w:jc w:val="center"/>
            </w:pPr>
            <w:r>
              <w:rPr>
                <w:rFonts w:ascii="宋体" w:hAnsi="宋体" w:eastAsia="宋体"/>
                <w:sz w:val="24"/>
              </w:rPr>
              <w:t>（2024年度）</w:t>
            </w:r>
          </w:p>
        </w:tc>
      </w:tr>
      <w:tr w14:paraId="6B338CA5">
        <w:tblPrEx>
          <w:tblCellMar>
            <w:top w:w="0" w:type="dxa"/>
            <w:left w:w="108" w:type="dxa"/>
            <w:bottom w:w="0" w:type="dxa"/>
            <w:right w:w="108" w:type="dxa"/>
          </w:tblCellMar>
        </w:tblPrEx>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08F3D762">
            <w:pPr>
              <w:jc w:val="center"/>
            </w:pPr>
            <w:r>
              <w:rPr>
                <w:rFonts w:ascii="宋体" w:hAnsi="宋体" w:eastAsia="宋体"/>
                <w:sz w:val="16"/>
              </w:rPr>
              <w:t>单位名称</w:t>
            </w:r>
          </w:p>
        </w:tc>
        <w:tc>
          <w:tcPr>
            <w:tcW w:w="830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E719B57">
            <w:pPr>
              <w:jc w:val="center"/>
            </w:pPr>
            <w:r>
              <w:rPr>
                <w:rFonts w:ascii="宋体" w:hAnsi="宋体" w:eastAsia="宋体"/>
                <w:sz w:val="16"/>
              </w:rPr>
              <w:t>民丰县总工会</w:t>
            </w:r>
          </w:p>
        </w:tc>
      </w:tr>
      <w:tr w14:paraId="63F094C7">
        <w:tblPrEx>
          <w:tblCellMar>
            <w:top w:w="0" w:type="dxa"/>
            <w:left w:w="108" w:type="dxa"/>
            <w:bottom w:w="0" w:type="dxa"/>
            <w:right w:w="108" w:type="dxa"/>
          </w:tblCellMar>
        </w:tblPrEx>
        <w:tc>
          <w:tcPr>
            <w:tcW w:w="9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1C092">
            <w:pPr>
              <w:jc w:val="center"/>
            </w:pPr>
            <w:r>
              <w:rPr>
                <w:rFonts w:ascii="宋体" w:hAnsi="宋体" w:eastAsia="宋体"/>
                <w:sz w:val="16"/>
              </w:rPr>
              <w:t>年度预算（万元）</w:t>
            </w:r>
          </w:p>
        </w:tc>
        <w:tc>
          <w:tcPr>
            <w:tcW w:w="24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51B4E">
            <w:pPr>
              <w:jc w:val="center"/>
            </w:pPr>
            <w:r>
              <w:rPr>
                <w:rFonts w:ascii="宋体" w:hAnsi="宋体" w:eastAsia="宋体"/>
                <w:sz w:val="16"/>
              </w:rPr>
              <w:t>资金来源</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14:paraId="2414AC43">
            <w:pPr>
              <w:jc w:val="center"/>
            </w:pPr>
            <w:r>
              <w:rPr>
                <w:rFonts w:ascii="宋体" w:hAnsi="宋体" w:eastAsia="宋体"/>
                <w:sz w:val="16"/>
              </w:rPr>
              <w:t>年初预算数</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7C1DF94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166F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254D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A4D3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ECC33">
            <w:pPr>
              <w:jc w:val="center"/>
            </w:pPr>
            <w:r>
              <w:rPr>
                <w:rFonts w:ascii="宋体" w:hAnsi="宋体" w:eastAsia="宋体"/>
                <w:sz w:val="16"/>
              </w:rPr>
              <w:t>得分</w:t>
            </w:r>
          </w:p>
        </w:tc>
      </w:tr>
      <w:tr w14:paraId="07E10C02">
        <w:tblPrEx>
          <w:tblCellMar>
            <w:top w:w="0" w:type="dxa"/>
            <w:left w:w="108" w:type="dxa"/>
            <w:bottom w:w="0" w:type="dxa"/>
            <w:right w:w="108" w:type="dxa"/>
          </w:tblCellMar>
        </w:tblPrEx>
        <w:tc>
          <w:tcPr>
            <w:tcW w:w="977" w:type="dxa"/>
            <w:vMerge w:val="continue"/>
            <w:tcBorders>
              <w:top w:val="single" w:color="auto" w:sz="10" w:space="0"/>
              <w:left w:val="single" w:color="auto" w:sz="10" w:space="0"/>
              <w:bottom w:val="single" w:color="auto" w:sz="10" w:space="0"/>
              <w:right w:val="single" w:color="auto" w:sz="10" w:space="0"/>
              <w:insideV w:val="single" w:sz="10" w:space="0"/>
            </w:tcBorders>
          </w:tcPr>
          <w:p w14:paraId="7C109FC7"/>
        </w:tc>
        <w:tc>
          <w:tcPr>
            <w:tcW w:w="14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D5FDF">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B1721">
            <w:pPr>
              <w:jc w:val="center"/>
            </w:pPr>
            <w:r>
              <w:rPr>
                <w:rFonts w:ascii="宋体" w:hAnsi="宋体" w:eastAsia="宋体"/>
                <w:sz w:val="16"/>
              </w:rPr>
              <w:t>上级</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14:paraId="788D9186">
            <w:pPr>
              <w:jc w:val="center"/>
            </w:pPr>
            <w:r>
              <w:rPr>
                <w:rFonts w:ascii="宋体" w:hAnsi="宋体" w:eastAsia="宋体"/>
                <w:sz w:val="16"/>
              </w:rPr>
              <w:t>0.00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634D69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CD0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B7C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950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043C2">
            <w:pPr>
              <w:jc w:val="center"/>
            </w:pPr>
            <w:r>
              <w:rPr>
                <w:rFonts w:ascii="宋体" w:hAnsi="宋体" w:eastAsia="宋体"/>
                <w:sz w:val="16"/>
              </w:rPr>
              <w:t>-</w:t>
            </w:r>
          </w:p>
        </w:tc>
      </w:tr>
      <w:tr w14:paraId="290AD4A2">
        <w:tblPrEx>
          <w:tblCellMar>
            <w:top w:w="0" w:type="dxa"/>
            <w:left w:w="108" w:type="dxa"/>
            <w:bottom w:w="0" w:type="dxa"/>
            <w:right w:w="108" w:type="dxa"/>
          </w:tblCellMar>
        </w:tblPrEx>
        <w:tc>
          <w:tcPr>
            <w:tcW w:w="977" w:type="dxa"/>
            <w:vMerge w:val="continue"/>
            <w:tcBorders>
              <w:top w:val="single" w:color="auto" w:sz="10" w:space="0"/>
              <w:left w:val="single" w:color="auto" w:sz="10" w:space="0"/>
              <w:bottom w:val="single" w:color="auto" w:sz="10" w:space="0"/>
              <w:right w:val="single" w:color="auto" w:sz="10" w:space="0"/>
              <w:insideV w:val="single" w:sz="10" w:space="0"/>
            </w:tcBorders>
          </w:tcPr>
          <w:p w14:paraId="29E8A75F"/>
        </w:tc>
        <w:tc>
          <w:tcPr>
            <w:tcW w:w="1426" w:type="dxa"/>
            <w:vMerge w:val="continue"/>
            <w:tcBorders>
              <w:top w:val="single" w:color="auto" w:sz="10" w:space="0"/>
              <w:left w:val="single" w:color="auto" w:sz="10" w:space="0"/>
              <w:bottom w:val="single" w:color="auto" w:sz="10" w:space="0"/>
              <w:right w:val="single" w:color="auto" w:sz="10" w:space="0"/>
              <w:insideV w:val="single" w:sz="10" w:space="0"/>
            </w:tcBorders>
          </w:tcPr>
          <w:p w14:paraId="6AF667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E9413">
            <w:pPr>
              <w:jc w:val="center"/>
            </w:pPr>
            <w:r>
              <w:rPr>
                <w:rFonts w:ascii="宋体" w:hAnsi="宋体" w:eastAsia="宋体"/>
                <w:sz w:val="16"/>
              </w:rPr>
              <w:t>本级</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14:paraId="01C26DBF">
            <w:pPr>
              <w:jc w:val="center"/>
            </w:pPr>
            <w:r>
              <w:rPr>
                <w:rFonts w:ascii="宋体" w:hAnsi="宋体" w:eastAsia="宋体"/>
                <w:sz w:val="16"/>
              </w:rPr>
              <w:t>138.80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42FD7DA6">
            <w:pPr>
              <w:jc w:val="center"/>
            </w:pPr>
            <w:r>
              <w:rPr>
                <w:rFonts w:ascii="宋体" w:hAnsi="宋体" w:eastAsia="宋体"/>
                <w:sz w:val="16"/>
              </w:rPr>
              <w:t>138.97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59319">
            <w:pPr>
              <w:jc w:val="center"/>
            </w:pPr>
            <w:r>
              <w:rPr>
                <w:rFonts w:ascii="宋体" w:hAnsi="宋体" w:eastAsia="宋体"/>
                <w:sz w:val="16"/>
              </w:rPr>
              <w:t>138.97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368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360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77E6F">
            <w:pPr>
              <w:jc w:val="center"/>
            </w:pPr>
            <w:r>
              <w:rPr>
                <w:rFonts w:ascii="宋体" w:hAnsi="宋体" w:eastAsia="宋体"/>
                <w:sz w:val="16"/>
              </w:rPr>
              <w:t>-</w:t>
            </w:r>
          </w:p>
        </w:tc>
      </w:tr>
      <w:tr w14:paraId="2E27A2BE">
        <w:tblPrEx>
          <w:tblCellMar>
            <w:top w:w="0" w:type="dxa"/>
            <w:left w:w="108" w:type="dxa"/>
            <w:bottom w:w="0" w:type="dxa"/>
            <w:right w:w="108" w:type="dxa"/>
          </w:tblCellMar>
        </w:tblPrEx>
        <w:tc>
          <w:tcPr>
            <w:tcW w:w="977" w:type="dxa"/>
            <w:vMerge w:val="continue"/>
            <w:tcBorders>
              <w:top w:val="single" w:color="auto" w:sz="10" w:space="0"/>
              <w:left w:val="single" w:color="auto" w:sz="10" w:space="0"/>
              <w:bottom w:val="single" w:color="auto" w:sz="10" w:space="0"/>
              <w:right w:val="single" w:color="auto" w:sz="10" w:space="0"/>
              <w:insideV w:val="single" w:sz="10" w:space="0"/>
            </w:tcBorders>
          </w:tcPr>
          <w:p w14:paraId="7CFC5187"/>
        </w:tc>
        <w:tc>
          <w:tcPr>
            <w:tcW w:w="1426" w:type="dxa"/>
            <w:vMerge w:val="continue"/>
            <w:tcBorders>
              <w:top w:val="single" w:color="auto" w:sz="10" w:space="0"/>
              <w:left w:val="single" w:color="auto" w:sz="10" w:space="0"/>
              <w:bottom w:val="single" w:color="auto" w:sz="10" w:space="0"/>
              <w:right w:val="single" w:color="auto" w:sz="10" w:space="0"/>
              <w:insideV w:val="single" w:sz="10" w:space="0"/>
            </w:tcBorders>
          </w:tcPr>
          <w:p w14:paraId="62F613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E2429">
            <w:pPr>
              <w:jc w:val="center"/>
            </w:pPr>
            <w:r>
              <w:rPr>
                <w:rFonts w:ascii="宋体" w:hAnsi="宋体" w:eastAsia="宋体"/>
                <w:sz w:val="16"/>
              </w:rPr>
              <w:t>其他</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14:paraId="2E9CC5A6">
            <w:pPr>
              <w:jc w:val="center"/>
            </w:pPr>
            <w:r>
              <w:rPr>
                <w:rFonts w:ascii="宋体" w:hAnsi="宋体" w:eastAsia="宋体"/>
                <w:sz w:val="16"/>
              </w:rPr>
              <w:t>0.00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3D9FAE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4B8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5F9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308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616B9">
            <w:pPr>
              <w:jc w:val="center"/>
            </w:pPr>
            <w:r>
              <w:rPr>
                <w:rFonts w:ascii="宋体" w:hAnsi="宋体" w:eastAsia="宋体"/>
                <w:sz w:val="16"/>
              </w:rPr>
              <w:t>-</w:t>
            </w:r>
          </w:p>
        </w:tc>
      </w:tr>
      <w:tr w14:paraId="3780F304">
        <w:tblPrEx>
          <w:tblCellMar>
            <w:top w:w="0" w:type="dxa"/>
            <w:left w:w="108" w:type="dxa"/>
            <w:bottom w:w="0" w:type="dxa"/>
            <w:right w:w="108" w:type="dxa"/>
          </w:tblCellMar>
        </w:tblPrEx>
        <w:tc>
          <w:tcPr>
            <w:tcW w:w="977" w:type="dxa"/>
            <w:vMerge w:val="continue"/>
            <w:tcBorders>
              <w:top w:val="single" w:color="auto" w:sz="10" w:space="0"/>
              <w:left w:val="single" w:color="auto" w:sz="10" w:space="0"/>
              <w:bottom w:val="single" w:color="auto" w:sz="10" w:space="0"/>
              <w:right w:val="single" w:color="auto" w:sz="10" w:space="0"/>
              <w:insideV w:val="single" w:sz="10" w:space="0"/>
            </w:tcBorders>
          </w:tcPr>
          <w:p w14:paraId="57966CEB"/>
        </w:tc>
        <w:tc>
          <w:tcPr>
            <w:tcW w:w="1426" w:type="dxa"/>
            <w:tcBorders>
              <w:top w:val="single" w:color="auto" w:sz="10" w:space="0"/>
              <w:left w:val="single" w:color="auto" w:sz="10" w:space="0"/>
              <w:bottom w:val="single" w:color="auto" w:sz="10" w:space="0"/>
              <w:right w:val="single" w:color="auto" w:sz="10" w:space="0"/>
              <w:insideV w:val="single" w:sz="10" w:space="0"/>
            </w:tcBorders>
            <w:vAlign w:val="center"/>
          </w:tcPr>
          <w:p w14:paraId="7BDF790F">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67E55">
            <w:pPr>
              <w:jc w:val="center"/>
            </w:pPr>
            <w:r>
              <w:rPr>
                <w:rFonts w:ascii="宋体" w:hAnsi="宋体" w:eastAsia="宋体"/>
                <w:sz w:val="16"/>
              </w:rPr>
              <w:t>-</w:t>
            </w:r>
          </w:p>
        </w:tc>
        <w:tc>
          <w:tcPr>
            <w:tcW w:w="1142" w:type="dxa"/>
            <w:tcBorders>
              <w:top w:val="single" w:color="auto" w:sz="10" w:space="0"/>
              <w:left w:val="single" w:color="auto" w:sz="10" w:space="0"/>
              <w:bottom w:val="single" w:color="auto" w:sz="10" w:space="0"/>
              <w:right w:val="single" w:color="auto" w:sz="10" w:space="0"/>
              <w:insideV w:val="single" w:sz="10" w:space="0"/>
            </w:tcBorders>
            <w:vAlign w:val="center"/>
          </w:tcPr>
          <w:p w14:paraId="1A9BD0E0">
            <w:pPr>
              <w:jc w:val="center"/>
            </w:pPr>
            <w:r>
              <w:rPr>
                <w:rFonts w:ascii="宋体" w:hAnsi="宋体" w:eastAsia="宋体"/>
                <w:sz w:val="16"/>
              </w:rPr>
              <w:t>138.80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0EF2905F">
            <w:pPr>
              <w:jc w:val="center"/>
            </w:pPr>
            <w:r>
              <w:rPr>
                <w:rFonts w:ascii="宋体" w:hAnsi="宋体" w:eastAsia="宋体"/>
                <w:sz w:val="16"/>
              </w:rPr>
              <w:t>138.97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D5F36">
            <w:pPr>
              <w:jc w:val="center"/>
            </w:pPr>
            <w:r>
              <w:rPr>
                <w:rFonts w:ascii="宋体" w:hAnsi="宋体" w:eastAsia="宋体"/>
                <w:sz w:val="16"/>
              </w:rPr>
              <w:t>138.97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B57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5D2BC">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2D3D4">
            <w:pPr>
              <w:jc w:val="center"/>
            </w:pPr>
            <w:r>
              <w:rPr>
                <w:rFonts w:ascii="宋体" w:hAnsi="宋体" w:eastAsia="宋体"/>
                <w:sz w:val="16"/>
              </w:rPr>
              <w:t>10</w:t>
            </w:r>
          </w:p>
        </w:tc>
      </w:tr>
      <w:tr w14:paraId="23396F4F">
        <w:tblPrEx>
          <w:tblCellMar>
            <w:top w:w="0" w:type="dxa"/>
            <w:left w:w="108" w:type="dxa"/>
            <w:bottom w:w="0" w:type="dxa"/>
            <w:right w:w="108" w:type="dxa"/>
          </w:tblCellMar>
        </w:tblPrEx>
        <w:tc>
          <w:tcPr>
            <w:tcW w:w="9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2C740">
            <w:pPr>
              <w:jc w:val="center"/>
            </w:pPr>
            <w:r>
              <w:rPr>
                <w:rFonts w:ascii="宋体" w:hAnsi="宋体" w:eastAsia="宋体"/>
                <w:sz w:val="16"/>
              </w:rPr>
              <w:t>年度总体目标</w:t>
            </w:r>
          </w:p>
        </w:tc>
        <w:tc>
          <w:tcPr>
            <w:tcW w:w="35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13819E">
            <w:pPr>
              <w:jc w:val="center"/>
            </w:pPr>
            <w:r>
              <w:rPr>
                <w:rFonts w:ascii="宋体" w:hAnsi="宋体" w:eastAsia="宋体"/>
                <w:sz w:val="16"/>
              </w:rPr>
              <w:t>预期目标</w:t>
            </w:r>
          </w:p>
        </w:tc>
        <w:tc>
          <w:tcPr>
            <w:tcW w:w="47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715BB0">
            <w:pPr>
              <w:jc w:val="center"/>
            </w:pPr>
            <w:r>
              <w:rPr>
                <w:rFonts w:ascii="宋体" w:hAnsi="宋体" w:eastAsia="宋体"/>
                <w:sz w:val="16"/>
              </w:rPr>
              <w:t>实际完成情况</w:t>
            </w:r>
          </w:p>
        </w:tc>
      </w:tr>
      <w:tr w14:paraId="46D9EA6B">
        <w:tblPrEx>
          <w:tblCellMar>
            <w:top w:w="0" w:type="dxa"/>
            <w:left w:w="108" w:type="dxa"/>
            <w:bottom w:w="0" w:type="dxa"/>
            <w:right w:w="108" w:type="dxa"/>
          </w:tblCellMar>
        </w:tblPrEx>
        <w:tc>
          <w:tcPr>
            <w:tcW w:w="977" w:type="dxa"/>
            <w:vMerge w:val="continue"/>
            <w:tcBorders>
              <w:top w:val="single" w:color="auto" w:sz="10" w:space="0"/>
              <w:left w:val="single" w:color="auto" w:sz="10" w:space="0"/>
              <w:bottom w:val="single" w:color="auto" w:sz="10" w:space="0"/>
              <w:right w:val="single" w:color="auto" w:sz="10" w:space="0"/>
              <w:insideV w:val="single" w:sz="10" w:space="0"/>
            </w:tcBorders>
          </w:tcPr>
          <w:p w14:paraId="07969794"/>
        </w:tc>
        <w:tc>
          <w:tcPr>
            <w:tcW w:w="355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F8D1D3">
            <w:pPr>
              <w:jc w:val="both"/>
            </w:pPr>
            <w:r>
              <w:rPr>
                <w:rFonts w:ascii="宋体" w:hAnsi="宋体" w:eastAsia="宋体"/>
                <w:sz w:val="16"/>
              </w:rPr>
              <w:t>目标1：强化工会干部人才队伍建设，积极开展能力素质提升工程。计划企业组建工会组织10家，年内举办基层工会干部培训不少于35人；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进一步突出和履行维护各族职工的合法权益，加强为基层和职工群众服务，推动工会组织群众化、民主化和法制化；有效提升工会服务职工能力，有效稳定职工队伍，发挥工会组织的桥梁纽带作用，加强企业和员工的沟通，增强企业的吸引力和凝聚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负责全县工会工作，制定全县工会工作总体规划；依据《工会章程》做好基层工会换届选举和工会组建工作、督促基层建立健全各项工作制度；协助政府做好劳模的推荐评选和管理工作，负责做好全国、自治区工会先进集体、先进个人的评选推荐工作；负责全县工会经费和工会资产的管理，做好基层工会法人资格审批，证件更换和工会年度统计工作；做好企业厂务公开制度的推行指导及督查工作。</w:t>
            </w:r>
          </w:p>
        </w:tc>
        <w:tc>
          <w:tcPr>
            <w:tcW w:w="47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3A3E03">
            <w:pPr>
              <w:jc w:val="both"/>
            </w:pPr>
            <w:r>
              <w:rPr>
                <w:rFonts w:ascii="宋体" w:hAnsi="宋体" w:eastAsia="宋体"/>
                <w:sz w:val="16"/>
              </w:rPr>
              <w:t>构建纵横交织、覆盖广泛的工会组织体系和联系广泛、服务职工的工会工作体系。完善县级工会组织机构，依据有关规定要求按期进行县级工会换届，选举产生县级工会委员会、经费审查委员会；积极争取县委的重视支持，不断健全和完善县总工会领导班子建设，按规定配备工会经费审查委员会主任；不断优化工会干部队伍结构，充分发挥县总工会兼职挂职副主席作用，按照县总工会改革实施方案配齐配强兼挂职副主席，努力做到兼职副主席由优秀的一线产业工人代表兼任。不断推进全县辖区内区域性、行业性工会联合会建设，同步建立健全工会女职工组织。全县企业工会组建总数和职工入会总数分别比上年增长5%以上，不断推进25人以上的企业工会规范化建设；全县7个乡镇工会依法规范建设，基层工会主席按要求配备；不断推进继续做好基层工会法人资格依法登记工作；聚焦“新业态”领域，以货车司机、快递员、外卖配送员等新就业形态劳动者为重点，通过深入开展入会专项行动，实现对新就业形态劳动者的有效覆盖。融合统筹使用工会专职工作人员，通过招聘社会化工会工作者、发展工会积极分子等途径，不断充实壮大县级工会和基层工会工作力量。提高县工会委员会、常委会中劳模和一线职工比例，增强县级工会领导机构的广泛性和代表性,企业已经组建工会组织10家，举办培训工会干部35人。</w:t>
            </w:r>
          </w:p>
        </w:tc>
      </w:tr>
      <w:tr w14:paraId="38199435">
        <w:tblPrEx>
          <w:tblCellMar>
            <w:top w:w="0" w:type="dxa"/>
            <w:left w:w="108" w:type="dxa"/>
            <w:bottom w:w="0" w:type="dxa"/>
            <w:right w:w="108" w:type="dxa"/>
          </w:tblCellMar>
        </w:tblPrEx>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429DA502">
            <w:pPr>
              <w:jc w:val="center"/>
            </w:pPr>
            <w:r>
              <w:rPr>
                <w:rFonts w:ascii="宋体" w:hAnsi="宋体" w:eastAsia="宋体"/>
                <w:sz w:val="16"/>
              </w:rPr>
              <w:t>一级指标</w:t>
            </w:r>
          </w:p>
        </w:tc>
        <w:tc>
          <w:tcPr>
            <w:tcW w:w="1426" w:type="dxa"/>
            <w:tcBorders>
              <w:top w:val="single" w:color="auto" w:sz="10" w:space="0"/>
              <w:left w:val="single" w:color="auto" w:sz="10" w:space="0"/>
              <w:bottom w:val="single" w:color="auto" w:sz="10" w:space="0"/>
              <w:right w:val="single" w:color="auto" w:sz="10" w:space="0"/>
              <w:insideV w:val="single" w:sz="10" w:space="0"/>
            </w:tcBorders>
            <w:vAlign w:val="center"/>
          </w:tcPr>
          <w:p w14:paraId="2901179B">
            <w:pPr>
              <w:jc w:val="center"/>
            </w:pPr>
            <w:r>
              <w:rPr>
                <w:rFonts w:ascii="宋体" w:hAnsi="宋体" w:eastAsia="宋体"/>
                <w:sz w:val="16"/>
              </w:rPr>
              <w:t>二级指标</w:t>
            </w:r>
          </w:p>
        </w:tc>
        <w:tc>
          <w:tcPr>
            <w:tcW w:w="21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01B66">
            <w:pPr>
              <w:jc w:val="center"/>
            </w:pPr>
            <w:r>
              <w:rPr>
                <w:rFonts w:ascii="宋体" w:hAnsi="宋体" w:eastAsia="宋体"/>
                <w:sz w:val="16"/>
              </w:rPr>
              <w:t>三级指标</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0AEA8BD9">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04F0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3471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96453">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84F5B">
            <w:pPr>
              <w:jc w:val="center"/>
            </w:pPr>
            <w:r>
              <w:rPr>
                <w:rFonts w:ascii="宋体" w:hAnsi="宋体" w:eastAsia="宋体"/>
                <w:sz w:val="16"/>
              </w:rPr>
              <w:t>得分</w:t>
            </w:r>
          </w:p>
        </w:tc>
      </w:tr>
      <w:tr w14:paraId="2B955101">
        <w:tblPrEx>
          <w:tblCellMar>
            <w:top w:w="0" w:type="dxa"/>
            <w:left w:w="108" w:type="dxa"/>
            <w:bottom w:w="0" w:type="dxa"/>
            <w:right w:w="108" w:type="dxa"/>
          </w:tblCellMar>
        </w:tblPrEx>
        <w:tc>
          <w:tcPr>
            <w:tcW w:w="9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18A22">
            <w:pPr>
              <w:jc w:val="center"/>
            </w:pPr>
            <w:r>
              <w:rPr>
                <w:rFonts w:ascii="宋体" w:hAnsi="宋体" w:eastAsia="宋体"/>
                <w:sz w:val="16"/>
              </w:rPr>
              <w:t>履职效能</w:t>
            </w:r>
          </w:p>
        </w:tc>
        <w:tc>
          <w:tcPr>
            <w:tcW w:w="14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24663">
            <w:pPr>
              <w:jc w:val="center"/>
            </w:pPr>
            <w:r>
              <w:rPr>
                <w:rFonts w:ascii="宋体" w:hAnsi="宋体" w:eastAsia="宋体"/>
                <w:sz w:val="16"/>
              </w:rPr>
              <w:t>数量指标</w:t>
            </w:r>
          </w:p>
        </w:tc>
        <w:tc>
          <w:tcPr>
            <w:tcW w:w="21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76D6A">
            <w:pPr>
              <w:jc w:val="center"/>
            </w:pPr>
            <w:r>
              <w:rPr>
                <w:rFonts w:ascii="宋体" w:hAnsi="宋体" w:eastAsia="宋体"/>
                <w:sz w:val="16"/>
              </w:rPr>
              <w:t>企业组建工会数量</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1CB9567A">
            <w:pPr>
              <w:jc w:val="center"/>
            </w:pPr>
            <w:r>
              <w:rPr>
                <w:rFonts w:ascii="宋体" w:hAnsi="宋体" w:eastAsia="宋体"/>
                <w:sz w:val="16"/>
              </w:rPr>
              <w:t>=10家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1A70A">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5B6B5">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C57D7">
            <w:pPr>
              <w:jc w:val="center"/>
            </w:pPr>
            <w:r>
              <w:rPr>
                <w:rFonts w:ascii="宋体" w:hAnsi="宋体" w:eastAsia="宋体"/>
                <w:sz w:val="16"/>
              </w:rPr>
              <w:t>10家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54DB6">
            <w:pPr>
              <w:jc w:val="center"/>
            </w:pPr>
            <w:r>
              <w:rPr>
                <w:rFonts w:ascii="宋体" w:hAnsi="宋体" w:eastAsia="宋体"/>
                <w:sz w:val="16"/>
              </w:rPr>
              <w:t>23</w:t>
            </w:r>
          </w:p>
        </w:tc>
      </w:tr>
      <w:tr w14:paraId="7F77DDE2">
        <w:tblPrEx>
          <w:tblCellMar>
            <w:top w:w="0" w:type="dxa"/>
            <w:left w:w="108" w:type="dxa"/>
            <w:bottom w:w="0" w:type="dxa"/>
            <w:right w:w="108" w:type="dxa"/>
          </w:tblCellMar>
        </w:tblPrEx>
        <w:tc>
          <w:tcPr>
            <w:tcW w:w="977" w:type="dxa"/>
            <w:vMerge w:val="continue"/>
            <w:tcBorders>
              <w:top w:val="single" w:color="auto" w:sz="10" w:space="0"/>
              <w:left w:val="single" w:color="auto" w:sz="10" w:space="0"/>
              <w:bottom w:val="single" w:color="auto" w:sz="10" w:space="0"/>
              <w:right w:val="single" w:color="auto" w:sz="10" w:space="0"/>
              <w:insideV w:val="single" w:sz="10" w:space="0"/>
            </w:tcBorders>
          </w:tcPr>
          <w:p w14:paraId="6E04C98B"/>
        </w:tc>
        <w:tc>
          <w:tcPr>
            <w:tcW w:w="1426" w:type="dxa"/>
            <w:vMerge w:val="continue"/>
            <w:tcBorders>
              <w:top w:val="single" w:color="auto" w:sz="10" w:space="0"/>
              <w:left w:val="single" w:color="auto" w:sz="10" w:space="0"/>
              <w:bottom w:val="single" w:color="auto" w:sz="10" w:space="0"/>
              <w:right w:val="single" w:color="auto" w:sz="10" w:space="0"/>
              <w:insideV w:val="single" w:sz="10" w:space="0"/>
            </w:tcBorders>
          </w:tcPr>
          <w:p w14:paraId="3DD64B20"/>
        </w:tc>
        <w:tc>
          <w:tcPr>
            <w:tcW w:w="21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B3D0B">
            <w:pPr>
              <w:jc w:val="center"/>
            </w:pPr>
            <w:r>
              <w:rPr>
                <w:rFonts w:ascii="宋体" w:hAnsi="宋体" w:eastAsia="宋体"/>
                <w:sz w:val="16"/>
              </w:rPr>
              <w:t>培训工会干部人数</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2A750C4F">
            <w:pPr>
              <w:jc w:val="center"/>
            </w:pPr>
            <w:r>
              <w:rPr>
                <w:rFonts w:ascii="宋体" w:hAnsi="宋体" w:eastAsia="宋体"/>
                <w:sz w:val="16"/>
              </w:rPr>
              <w:t>&gt;=35人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6A757">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57136">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D53E4">
            <w:pPr>
              <w:jc w:val="center"/>
            </w:pPr>
            <w:r>
              <w:rPr>
                <w:rFonts w:ascii="宋体" w:hAnsi="宋体" w:eastAsia="宋体"/>
                <w:sz w:val="16"/>
              </w:rPr>
              <w:t>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A144E">
            <w:pPr>
              <w:jc w:val="center"/>
            </w:pPr>
            <w:r>
              <w:rPr>
                <w:rFonts w:ascii="宋体" w:hAnsi="宋体" w:eastAsia="宋体"/>
                <w:sz w:val="16"/>
              </w:rPr>
              <w:t>23</w:t>
            </w:r>
          </w:p>
        </w:tc>
      </w:tr>
      <w:tr w14:paraId="65B2F1FA">
        <w:tblPrEx>
          <w:tblCellMar>
            <w:top w:w="0" w:type="dxa"/>
            <w:left w:w="108" w:type="dxa"/>
            <w:bottom w:w="0" w:type="dxa"/>
            <w:right w:w="108" w:type="dxa"/>
          </w:tblCellMar>
        </w:tblPrEx>
        <w:tc>
          <w:tcPr>
            <w:tcW w:w="977" w:type="dxa"/>
            <w:vMerge w:val="continue"/>
            <w:tcBorders>
              <w:top w:val="single" w:color="auto" w:sz="10" w:space="0"/>
              <w:left w:val="single" w:color="auto" w:sz="10" w:space="0"/>
              <w:bottom w:val="single" w:color="auto" w:sz="10" w:space="0"/>
              <w:right w:val="single" w:color="auto" w:sz="10" w:space="0"/>
              <w:insideV w:val="single" w:sz="10" w:space="0"/>
            </w:tcBorders>
          </w:tcPr>
          <w:p w14:paraId="0C9E7D39"/>
        </w:tc>
        <w:tc>
          <w:tcPr>
            <w:tcW w:w="1426" w:type="dxa"/>
            <w:vMerge w:val="continue"/>
            <w:tcBorders>
              <w:top w:val="single" w:color="auto" w:sz="10" w:space="0"/>
              <w:left w:val="single" w:color="auto" w:sz="10" w:space="0"/>
              <w:bottom w:val="single" w:color="auto" w:sz="10" w:space="0"/>
              <w:right w:val="single" w:color="auto" w:sz="10" w:space="0"/>
              <w:insideV w:val="single" w:sz="10" w:space="0"/>
            </w:tcBorders>
          </w:tcPr>
          <w:p w14:paraId="6BD5726D"/>
        </w:tc>
        <w:tc>
          <w:tcPr>
            <w:tcW w:w="21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D210D">
            <w:pPr>
              <w:jc w:val="center"/>
            </w:pPr>
            <w:r>
              <w:rPr>
                <w:rFonts w:ascii="宋体" w:hAnsi="宋体" w:eastAsia="宋体"/>
                <w:sz w:val="16"/>
              </w:rPr>
              <w:t>开展安全生产检查次数</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62305B07">
            <w:pPr>
              <w:jc w:val="center"/>
            </w:pPr>
            <w:r>
              <w:rPr>
                <w:rFonts w:ascii="宋体" w:hAnsi="宋体" w:eastAsia="宋体"/>
                <w:sz w:val="16"/>
              </w:rPr>
              <w:t>&gt;=8次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1239C">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99ED1">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A704E">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C23CD">
            <w:pPr>
              <w:jc w:val="center"/>
            </w:pPr>
            <w:r>
              <w:rPr>
                <w:rFonts w:ascii="宋体" w:hAnsi="宋体" w:eastAsia="宋体"/>
                <w:sz w:val="16"/>
              </w:rPr>
              <w:t>22</w:t>
            </w:r>
          </w:p>
        </w:tc>
      </w:tr>
      <w:tr w14:paraId="1E7854CF">
        <w:tblPrEx>
          <w:tblCellMar>
            <w:top w:w="0" w:type="dxa"/>
            <w:left w:w="108" w:type="dxa"/>
            <w:bottom w:w="0" w:type="dxa"/>
            <w:right w:w="108" w:type="dxa"/>
          </w:tblCellMar>
        </w:tblPrEx>
        <w:trPr>
          <w:trHeight w:val="500" w:hRule="atLeast"/>
        </w:trPr>
        <w:tc>
          <w:tcPr>
            <w:tcW w:w="977" w:type="dxa"/>
            <w:tcBorders>
              <w:top w:val="single" w:color="auto" w:sz="10" w:space="0"/>
              <w:left w:val="single" w:color="auto" w:sz="10" w:space="0"/>
              <w:bottom w:val="single" w:color="auto" w:sz="10" w:space="0"/>
              <w:right w:val="single" w:color="auto" w:sz="10" w:space="0"/>
              <w:insideV w:val="single" w:sz="10" w:space="0"/>
            </w:tcBorders>
          </w:tcPr>
          <w:p w14:paraId="23613EB2"/>
        </w:tc>
        <w:tc>
          <w:tcPr>
            <w:tcW w:w="1426" w:type="dxa"/>
            <w:tcBorders>
              <w:top w:val="single" w:color="auto" w:sz="10" w:space="0"/>
              <w:left w:val="single" w:color="auto" w:sz="10" w:space="0"/>
              <w:bottom w:val="single" w:color="auto" w:sz="10" w:space="0"/>
              <w:right w:val="single" w:color="auto" w:sz="10" w:space="0"/>
              <w:insideV w:val="single" w:sz="10" w:space="0"/>
            </w:tcBorders>
          </w:tcPr>
          <w:p w14:paraId="685C1448"/>
        </w:tc>
        <w:tc>
          <w:tcPr>
            <w:tcW w:w="21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9072">
            <w:pPr>
              <w:jc w:val="center"/>
            </w:pPr>
            <w:r>
              <w:rPr>
                <w:rFonts w:ascii="宋体" w:hAnsi="宋体" w:eastAsia="宋体"/>
                <w:sz w:val="16"/>
              </w:rPr>
              <w:t>宣传和职工技能竞赛次数</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45027CC9">
            <w:pPr>
              <w:jc w:val="center"/>
            </w:pPr>
            <w:r>
              <w:rPr>
                <w:rFonts w:ascii="宋体" w:hAnsi="宋体" w:eastAsia="宋体"/>
                <w:sz w:val="16"/>
              </w:rPr>
              <w:t>&gt;=8次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3AD55">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173C8">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EECCD">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894EB">
            <w:pPr>
              <w:jc w:val="center"/>
            </w:pPr>
            <w:r>
              <w:rPr>
                <w:rFonts w:ascii="宋体" w:hAnsi="宋体" w:eastAsia="宋体"/>
                <w:sz w:val="16"/>
              </w:rPr>
              <w:t>22</w:t>
            </w:r>
          </w:p>
        </w:tc>
      </w:tr>
    </w:tbl>
    <w:p w14:paraId="7D4C8AC9">
      <w:r>
        <w:br w:type="page"/>
      </w:r>
    </w:p>
    <w:p w14:paraId="13577350">
      <w:pPr>
        <w:spacing w:line="640" w:lineRule="exact"/>
        <w:ind w:firstLine="640"/>
        <w:jc w:val="both"/>
        <w:outlineLvl w:val="2"/>
      </w:pPr>
      <w:r>
        <w:rPr>
          <w:rFonts w:ascii="黑体" w:hAnsi="黑体" w:eastAsia="黑体"/>
          <w:sz w:val="32"/>
        </w:rPr>
        <w:t>十二、其他需说明的事项</w:t>
      </w:r>
    </w:p>
    <w:p w14:paraId="1A6BDE3F">
      <w:pPr>
        <w:spacing w:line="580" w:lineRule="exact"/>
        <w:ind w:firstLine="640"/>
        <w:jc w:val="both"/>
      </w:pPr>
      <w:r>
        <w:rPr>
          <w:rFonts w:ascii="仿宋_GB2312" w:hAnsi="仿宋_GB2312" w:eastAsia="仿宋_GB2312"/>
          <w:b w:val="0"/>
          <w:sz w:val="32"/>
        </w:rPr>
        <w:t>本单位无其他需说明的事项。</w:t>
      </w:r>
    </w:p>
    <w:p w14:paraId="645FA539">
      <w:r>
        <w:br w:type="page"/>
      </w:r>
    </w:p>
    <w:p w14:paraId="6F89140D">
      <w:pPr>
        <w:spacing w:line="240" w:lineRule="auto"/>
        <w:jc w:val="center"/>
        <w:outlineLvl w:val="1"/>
      </w:pPr>
      <w:r>
        <w:rPr>
          <w:rFonts w:ascii="黑体" w:hAnsi="黑体" w:eastAsia="黑体"/>
          <w:sz w:val="32"/>
        </w:rPr>
        <w:t>第三部分 专业名词解释</w:t>
      </w:r>
    </w:p>
    <w:p w14:paraId="287AE4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055D8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46D3DB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B96141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FD410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16603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ECCBC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1ED77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42504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270EA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C36B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0C90AB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A4DBF8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F42B5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4B47DE">
      <w:r>
        <w:br w:type="page"/>
      </w:r>
    </w:p>
    <w:p w14:paraId="11828928">
      <w:pPr>
        <w:spacing w:line="240" w:lineRule="auto"/>
        <w:jc w:val="center"/>
        <w:outlineLvl w:val="1"/>
      </w:pPr>
      <w:r>
        <w:rPr>
          <w:rFonts w:ascii="黑体" w:hAnsi="黑体" w:eastAsia="黑体"/>
          <w:sz w:val="32"/>
        </w:rPr>
        <w:t>第四部分 部门决算报表（见附表）</w:t>
      </w:r>
    </w:p>
    <w:p w14:paraId="2B496D0F">
      <w:pPr>
        <w:spacing w:line="240" w:lineRule="auto"/>
        <w:ind w:firstLine="640"/>
        <w:jc w:val="both"/>
      </w:pPr>
      <w:r>
        <w:rPr>
          <w:rFonts w:ascii="仿宋_GB2312" w:hAnsi="仿宋_GB2312" w:eastAsia="仿宋_GB2312"/>
          <w:b w:val="0"/>
          <w:sz w:val="32"/>
        </w:rPr>
        <w:t>一、《收入支出决算总表》</w:t>
      </w:r>
    </w:p>
    <w:p w14:paraId="4D1E7A58">
      <w:pPr>
        <w:spacing w:line="240" w:lineRule="auto"/>
        <w:ind w:firstLine="640"/>
        <w:jc w:val="both"/>
      </w:pPr>
      <w:r>
        <w:rPr>
          <w:rFonts w:ascii="仿宋_GB2312" w:hAnsi="仿宋_GB2312" w:eastAsia="仿宋_GB2312"/>
          <w:b w:val="0"/>
          <w:sz w:val="32"/>
        </w:rPr>
        <w:t>二、《收入决算表》</w:t>
      </w:r>
    </w:p>
    <w:p w14:paraId="045BBC68">
      <w:pPr>
        <w:spacing w:line="240" w:lineRule="auto"/>
        <w:ind w:firstLine="640"/>
        <w:jc w:val="both"/>
      </w:pPr>
      <w:r>
        <w:rPr>
          <w:rFonts w:ascii="仿宋_GB2312" w:hAnsi="仿宋_GB2312" w:eastAsia="仿宋_GB2312"/>
          <w:b w:val="0"/>
          <w:sz w:val="32"/>
        </w:rPr>
        <w:t>三、《支出决算表》</w:t>
      </w:r>
    </w:p>
    <w:p w14:paraId="2AF90DDF">
      <w:pPr>
        <w:spacing w:line="240" w:lineRule="auto"/>
        <w:ind w:firstLine="640"/>
        <w:jc w:val="both"/>
      </w:pPr>
      <w:r>
        <w:rPr>
          <w:rFonts w:ascii="仿宋_GB2312" w:hAnsi="仿宋_GB2312" w:eastAsia="仿宋_GB2312"/>
          <w:b w:val="0"/>
          <w:sz w:val="32"/>
        </w:rPr>
        <w:t>四、《财政拨款收入支出决算总表》</w:t>
      </w:r>
    </w:p>
    <w:p w14:paraId="1786FED1">
      <w:pPr>
        <w:spacing w:line="240" w:lineRule="auto"/>
        <w:ind w:firstLine="640"/>
        <w:jc w:val="both"/>
      </w:pPr>
      <w:r>
        <w:rPr>
          <w:rFonts w:ascii="仿宋_GB2312" w:hAnsi="仿宋_GB2312" w:eastAsia="仿宋_GB2312"/>
          <w:b w:val="0"/>
          <w:sz w:val="32"/>
        </w:rPr>
        <w:t>五、《一般公共预算财政拨款支出决算表》</w:t>
      </w:r>
    </w:p>
    <w:p w14:paraId="3814BEF7">
      <w:pPr>
        <w:spacing w:line="240" w:lineRule="auto"/>
        <w:ind w:firstLine="640"/>
        <w:jc w:val="both"/>
      </w:pPr>
      <w:r>
        <w:rPr>
          <w:rFonts w:ascii="仿宋_GB2312" w:hAnsi="仿宋_GB2312" w:eastAsia="仿宋_GB2312"/>
          <w:b w:val="0"/>
          <w:sz w:val="32"/>
        </w:rPr>
        <w:t>六、《一般公共预算财政拨款基本支出决算表》</w:t>
      </w:r>
    </w:p>
    <w:p w14:paraId="1EDCC746">
      <w:pPr>
        <w:spacing w:line="240" w:lineRule="auto"/>
        <w:ind w:firstLine="640"/>
        <w:jc w:val="both"/>
      </w:pPr>
      <w:r>
        <w:rPr>
          <w:rFonts w:ascii="仿宋_GB2312" w:hAnsi="仿宋_GB2312" w:eastAsia="仿宋_GB2312"/>
          <w:b w:val="0"/>
          <w:sz w:val="32"/>
        </w:rPr>
        <w:t>七、《政府性基金预算财政拨款收入支出决算表》</w:t>
      </w:r>
    </w:p>
    <w:p w14:paraId="46C17AD1">
      <w:pPr>
        <w:spacing w:line="240" w:lineRule="auto"/>
        <w:ind w:firstLine="640"/>
        <w:jc w:val="both"/>
      </w:pPr>
      <w:r>
        <w:rPr>
          <w:rFonts w:ascii="仿宋_GB2312" w:hAnsi="仿宋_GB2312" w:eastAsia="仿宋_GB2312"/>
          <w:b w:val="0"/>
          <w:sz w:val="32"/>
        </w:rPr>
        <w:t>八、《国有资本经营预算财政拨款收入支出决算表》</w:t>
      </w:r>
    </w:p>
    <w:p w14:paraId="2D73FD47">
      <w:pPr>
        <w:spacing w:line="240" w:lineRule="auto"/>
        <w:ind w:firstLine="640"/>
        <w:jc w:val="both"/>
      </w:pPr>
      <w:r>
        <w:rPr>
          <w:rFonts w:ascii="仿宋_GB2312" w:hAnsi="仿宋_GB2312" w:eastAsia="仿宋_GB2312"/>
          <w:b w:val="0"/>
          <w:sz w:val="32"/>
        </w:rPr>
        <w:t>九、《财政拨款“三公”经费支出决算表》</w:t>
      </w:r>
    </w:p>
    <w:p w14:paraId="181E621F">
      <w:pPr>
        <w:spacing w:line="240" w:lineRule="auto"/>
        <w:ind w:firstLine="640"/>
        <w:jc w:val="both"/>
      </w:pPr>
    </w:p>
    <w:p w14:paraId="4EBE7FF8">
      <w:pPr>
        <w:spacing w:line="240" w:lineRule="auto"/>
        <w:ind w:firstLine="640"/>
        <w:jc w:val="both"/>
      </w:pPr>
    </w:p>
    <w:p w14:paraId="4B88742C">
      <w:pPr>
        <w:spacing w:line="240" w:lineRule="auto"/>
        <w:ind w:firstLine="640"/>
        <w:jc w:val="both"/>
      </w:pPr>
    </w:p>
    <w:p w14:paraId="58C3097D">
      <w:pPr>
        <w:spacing w:line="240" w:lineRule="auto"/>
        <w:ind w:firstLine="640"/>
        <w:jc w:val="both"/>
      </w:pPr>
    </w:p>
    <w:p w14:paraId="2449898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8B33A1"/>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934CEB"/>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4819</Words>
  <Characters>5474</Characters>
  <Lines>0</Lines>
  <Paragraphs>0</Paragraphs>
  <TotalTime>6</TotalTime>
  <ScaleCrop>false</ScaleCrop>
  <LinksUpToDate>false</LinksUpToDate>
  <CharactersWithSpaces>5482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2025-09-25T02:46:38Z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