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C9677B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民丰县应急管理局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3495975">
      <w:r>
        <w:br w:type="page"/>
      </w:r>
    </w:p>
    <w:p w14:paraId="69A17805">
      <w:pPr>
        <w:spacing w:line="640" w:lineRule="exact"/>
        <w:jc w:val="center"/>
        <w:outlineLvl w:val="1"/>
      </w:pPr>
      <w:r>
        <w:rPr>
          <w:rFonts w:ascii="黑体" w:hAnsi="黑体" w:eastAsia="黑体"/>
          <w:sz w:val="32"/>
        </w:rPr>
        <w:t>第一部分 单位概况</w:t>
      </w:r>
    </w:p>
    <w:p w14:paraId="6DFC3C75">
      <w:pPr>
        <w:spacing w:line="640" w:lineRule="exact"/>
        <w:ind w:firstLine="640"/>
        <w:jc w:val="both"/>
        <w:outlineLvl w:val="2"/>
      </w:pPr>
      <w:r>
        <w:rPr>
          <w:rFonts w:ascii="黑体" w:hAnsi="黑体" w:eastAsia="黑体"/>
          <w:sz w:val="32"/>
        </w:rPr>
        <w:t>一、主要职能</w:t>
      </w:r>
    </w:p>
    <w:p w14:paraId="10B7A26F">
      <w:pPr>
        <w:spacing w:line="580" w:lineRule="exact"/>
        <w:ind w:firstLine="640"/>
        <w:jc w:val="both"/>
      </w:pPr>
      <w:r>
        <w:rPr>
          <w:rFonts w:hint="eastAsia" w:ascii="仿宋_GB2312" w:hAnsi="仿宋_GB2312" w:eastAsia="仿宋_GB2312"/>
          <w:sz w:val="32"/>
          <w:lang w:eastAsia="zh-CN"/>
        </w:rPr>
        <w:t>（一）</w:t>
      </w:r>
      <w:r>
        <w:rPr>
          <w:rFonts w:ascii="仿宋_GB2312" w:hAnsi="仿宋_GB2312" w:eastAsia="仿宋_GB2312"/>
          <w:sz w:val="32"/>
        </w:rPr>
        <w:t>负责应急管理工作，指导各单位、各部门应对安全生产类、自然灾害类突发事件和综合防灾减灾救灾工作负责安全生产综合监督管理和工矿商贸行业安全生产监督管理工作。</w:t>
      </w:r>
    </w:p>
    <w:p w14:paraId="1745DD2F">
      <w:pPr>
        <w:spacing w:line="580" w:lineRule="exact"/>
        <w:ind w:firstLine="640"/>
        <w:jc w:val="both"/>
      </w:pPr>
      <w:r>
        <w:rPr>
          <w:rFonts w:hint="eastAsia" w:ascii="仿宋_GB2312" w:hAnsi="仿宋_GB2312" w:eastAsia="仿宋_GB2312"/>
          <w:sz w:val="32"/>
          <w:lang w:eastAsia="zh-CN"/>
        </w:rPr>
        <w:t>（二）</w:t>
      </w:r>
      <w:r>
        <w:rPr>
          <w:rFonts w:ascii="仿宋_GB2312" w:hAnsi="仿宋_GB2312" w:eastAsia="仿宋_GB2312"/>
          <w:sz w:val="32"/>
        </w:rPr>
        <w:t>制定应急预案体系建设、安全生产和综合防灾减灾规划，贯彻落实相关法律、法规、规章、标准和规范性文件。</w:t>
      </w:r>
    </w:p>
    <w:p w14:paraId="067910A1">
      <w:pPr>
        <w:spacing w:line="580" w:lineRule="exact"/>
        <w:ind w:firstLine="640"/>
        <w:jc w:val="both"/>
      </w:pPr>
      <w:r>
        <w:rPr>
          <w:rFonts w:hint="eastAsia" w:ascii="仿宋_GB2312" w:hAnsi="仿宋_GB2312" w:eastAsia="仿宋_GB2312"/>
          <w:sz w:val="32"/>
          <w:lang w:eastAsia="zh-CN"/>
        </w:rPr>
        <w:t>（三）</w:t>
      </w:r>
      <w:r>
        <w:rPr>
          <w:rFonts w:ascii="仿宋_GB2312" w:hAnsi="仿宋_GB2312" w:eastAsia="仿宋_GB2312"/>
          <w:sz w:val="32"/>
        </w:rPr>
        <w:t>负责安全生产类、自然灾害类应急预案体系建设，建立完善事故灾害和自然灾害分级应对制度，组织编制总体应急预案和安全生产类、自然灾害类专项预案，综合协调应急预案衔接工作，组织开展预案演练，推动应急避难设施建设。</w:t>
      </w:r>
    </w:p>
    <w:p w14:paraId="306339B3">
      <w:pPr>
        <w:spacing w:line="580" w:lineRule="exact"/>
        <w:ind w:firstLine="640"/>
        <w:jc w:val="both"/>
      </w:pPr>
      <w:r>
        <w:rPr>
          <w:rFonts w:hint="eastAsia" w:ascii="仿宋_GB2312" w:hAnsi="仿宋_GB2312" w:eastAsia="仿宋_GB2312"/>
          <w:sz w:val="32"/>
          <w:lang w:eastAsia="zh-CN"/>
        </w:rPr>
        <w:t>（四）</w:t>
      </w:r>
      <w:r>
        <w:rPr>
          <w:rFonts w:ascii="仿宋_GB2312" w:hAnsi="仿宋_GB2312" w:eastAsia="仿宋_GB2312"/>
          <w:sz w:val="32"/>
        </w:rPr>
        <w:t>牵头建立统一的应急管理信息系统，负责编制和落实信息传输渠道规划和布局。建立监测预警和灾情报告制度。健全自然灾害信息资源获取和共享机制，依法统一发布灾情。</w:t>
      </w:r>
    </w:p>
    <w:p w14:paraId="30DA6EC5">
      <w:pPr>
        <w:spacing w:line="580" w:lineRule="exact"/>
        <w:ind w:firstLine="640"/>
        <w:jc w:val="both"/>
      </w:pPr>
      <w:r>
        <w:rPr>
          <w:rFonts w:hint="eastAsia" w:ascii="仿宋_GB2312" w:hAnsi="仿宋_GB2312" w:eastAsia="仿宋_GB2312"/>
          <w:sz w:val="32"/>
          <w:lang w:eastAsia="zh-CN"/>
        </w:rPr>
        <w:t>（五）</w:t>
      </w:r>
      <w:r>
        <w:rPr>
          <w:rFonts w:ascii="仿宋_GB2312" w:hAnsi="仿宋_GB2312" w:eastAsia="仿宋_GB2312"/>
          <w:sz w:val="32"/>
        </w:rPr>
        <w:t>组织指导协调安全生产类、自然灾害类突发事件应急救援，承担应对重大灾害指挥部工作，综合研判突发事件发展态势并提出应对建议，做好重大灾害应急处置工作。</w:t>
      </w:r>
    </w:p>
    <w:p w14:paraId="58539ABE">
      <w:pPr>
        <w:spacing w:line="580" w:lineRule="exact"/>
        <w:ind w:firstLine="640"/>
        <w:jc w:val="both"/>
      </w:pPr>
      <w:r>
        <w:rPr>
          <w:rFonts w:hint="eastAsia" w:ascii="仿宋_GB2312" w:hAnsi="仿宋_GB2312" w:eastAsia="仿宋_GB2312"/>
          <w:sz w:val="32"/>
          <w:lang w:eastAsia="zh-CN"/>
        </w:rPr>
        <w:t>（六）</w:t>
      </w:r>
      <w:r>
        <w:rPr>
          <w:rFonts w:ascii="仿宋_GB2312" w:hAnsi="仿宋_GB2312" w:eastAsia="仿宋_GB2312"/>
          <w:sz w:val="32"/>
        </w:rPr>
        <w:t>牵头协调指挥各类应急专业队伍，建立应急协调联动机制，推进应急指挥平台对接，衔接解放军和武警部队参与应急救援工作。</w:t>
      </w:r>
    </w:p>
    <w:p w14:paraId="3C4EC1AE">
      <w:pPr>
        <w:spacing w:line="580" w:lineRule="exact"/>
        <w:ind w:firstLine="640"/>
        <w:jc w:val="both"/>
      </w:pPr>
      <w:r>
        <w:rPr>
          <w:rFonts w:hint="eastAsia" w:ascii="仿宋_GB2312" w:hAnsi="仿宋_GB2312" w:eastAsia="仿宋_GB2312"/>
          <w:sz w:val="32"/>
          <w:lang w:eastAsia="zh-CN"/>
        </w:rPr>
        <w:t>（七）</w:t>
      </w:r>
      <w:r>
        <w:rPr>
          <w:rFonts w:ascii="仿宋_GB2312" w:hAnsi="仿宋_GB2312" w:eastAsia="仿宋_GB2312"/>
          <w:sz w:val="32"/>
        </w:rPr>
        <w:t>统筹应急救援力量建设，负责消防、森林和草原火灾扑救、抗洪抢险、地震和地质灾害救援、安全生产事故救援专业应急救援力量建设，管理指挥县综合性应急救援队伍，指导各单位、各部门社会应急救援力量建设。</w:t>
      </w:r>
    </w:p>
    <w:p w14:paraId="717B3BCA">
      <w:pPr>
        <w:spacing w:line="580" w:lineRule="exact"/>
        <w:ind w:firstLine="640"/>
        <w:jc w:val="both"/>
      </w:pPr>
      <w:r>
        <w:rPr>
          <w:rFonts w:hint="eastAsia" w:ascii="仿宋_GB2312" w:hAnsi="仿宋_GB2312" w:eastAsia="仿宋_GB2312"/>
          <w:sz w:val="32"/>
          <w:lang w:eastAsia="zh-CN"/>
        </w:rPr>
        <w:t>（八）</w:t>
      </w:r>
      <w:r>
        <w:rPr>
          <w:rFonts w:ascii="仿宋_GB2312" w:hAnsi="仿宋_GB2312" w:eastAsia="仿宋_GB2312"/>
          <w:sz w:val="32"/>
        </w:rPr>
        <w:t>负责消防工作，指导消防监督、火灾预防、火灾扑救等工作。</w:t>
      </w:r>
    </w:p>
    <w:p w14:paraId="220D8DB5">
      <w:pPr>
        <w:spacing w:line="580" w:lineRule="exact"/>
        <w:ind w:firstLine="640"/>
        <w:jc w:val="both"/>
      </w:pPr>
      <w:r>
        <w:rPr>
          <w:rFonts w:hint="eastAsia" w:ascii="仿宋_GB2312" w:hAnsi="仿宋_GB2312" w:eastAsia="仿宋_GB2312"/>
          <w:sz w:val="32"/>
          <w:lang w:eastAsia="zh-CN"/>
        </w:rPr>
        <w:t>（九）</w:t>
      </w:r>
      <w:r>
        <w:rPr>
          <w:rFonts w:ascii="仿宋_GB2312" w:hAnsi="仿宋_GB2312" w:eastAsia="仿宋_GB2312"/>
          <w:sz w:val="32"/>
        </w:rPr>
        <w:t>指导协调森林和草原火灾、水旱灾害、地震和地质灾害防治工作，负责自然灾害综合监测预警工作，指导开展自然灾害综合风险评估工作。</w:t>
      </w:r>
    </w:p>
    <w:p w14:paraId="2D3AAC94">
      <w:pPr>
        <w:spacing w:line="580" w:lineRule="exact"/>
        <w:ind w:firstLine="640"/>
        <w:jc w:val="both"/>
      </w:pPr>
      <w:r>
        <w:rPr>
          <w:rFonts w:hint="eastAsia" w:ascii="仿宋_GB2312" w:hAnsi="仿宋_GB2312" w:eastAsia="仿宋_GB2312"/>
          <w:sz w:val="32"/>
          <w:lang w:eastAsia="zh-CN"/>
        </w:rPr>
        <w:t>（十）</w:t>
      </w:r>
      <w:r>
        <w:rPr>
          <w:rFonts w:ascii="仿宋_GB2312" w:hAnsi="仿宋_GB2312" w:eastAsia="仿宋_GB2312"/>
          <w:sz w:val="32"/>
        </w:rPr>
        <w:t>组织协调灾害救助工作，组织指导灾情核查、损失评估、救灾捐赠工作，管理、分配中央、自治区、地区、县政府救灾款物并监督使用。</w:t>
      </w:r>
    </w:p>
    <w:p w14:paraId="199C2540">
      <w:pPr>
        <w:spacing w:line="580" w:lineRule="exact"/>
        <w:ind w:firstLine="640"/>
        <w:jc w:val="both"/>
      </w:pPr>
      <w:r>
        <w:rPr>
          <w:rFonts w:hint="eastAsia" w:ascii="仿宋_GB2312" w:hAnsi="仿宋_GB2312" w:eastAsia="仿宋_GB2312"/>
          <w:sz w:val="32"/>
          <w:lang w:eastAsia="zh-CN"/>
        </w:rPr>
        <w:t>（十一）</w:t>
      </w:r>
      <w:r>
        <w:rPr>
          <w:rFonts w:ascii="仿宋_GB2312" w:hAnsi="仿宋_GB2312" w:eastAsia="仿宋_GB2312"/>
          <w:sz w:val="32"/>
        </w:rPr>
        <w:t>依法行使安全生产综合监督管理职权，指导协调、监督检查各单位、各部门安全生产工作，组织开展安全生产巡查、考核工作。</w:t>
      </w:r>
    </w:p>
    <w:p w14:paraId="253DD095">
      <w:pPr>
        <w:spacing w:line="580" w:lineRule="exact"/>
        <w:ind w:firstLine="640"/>
        <w:jc w:val="both"/>
      </w:pPr>
      <w:r>
        <w:rPr>
          <w:rFonts w:hint="eastAsia" w:ascii="仿宋_GB2312" w:hAnsi="仿宋_GB2312" w:eastAsia="仿宋_GB2312"/>
          <w:sz w:val="32"/>
          <w:lang w:eastAsia="zh-CN"/>
        </w:rPr>
        <w:t>（十二）</w:t>
      </w:r>
      <w:r>
        <w:rPr>
          <w:rFonts w:ascii="仿宋_GB2312" w:hAnsi="仿宋_GB2312" w:eastAsia="仿宋_GB2312"/>
          <w:sz w:val="32"/>
        </w:rPr>
        <w:t>依法监督检查工矿商贸(煤矿除外)生产经营单位贯彻执行安全生产法律法规情况及其安全生产条件和有关设备(特种设备除外)、</w:t>
      </w:r>
      <w:r>
        <w:rPr>
          <w:rFonts w:hint="eastAsia" w:ascii="仿宋_GB2312" w:hAnsi="仿宋_GB2312" w:eastAsia="仿宋_GB2312"/>
          <w:sz w:val="32"/>
          <w:lang w:eastAsia="zh-CN"/>
        </w:rPr>
        <w:t>材料</w:t>
      </w:r>
      <w:r>
        <w:rPr>
          <w:rFonts w:ascii="仿宋_GB2312" w:hAnsi="仿宋_GB2312" w:eastAsia="仿宋_GB2312"/>
          <w:sz w:val="32"/>
        </w:rPr>
        <w:t>、劳动防护用品的安全生产管理工作。负责监督管理工矿商贸行业安全生产工作。依法组织并指导监督实施安全生产准入制度。负责危险化学品安全监督管理综合工作和烟花爆竹安全生产监督管理工作。</w:t>
      </w:r>
    </w:p>
    <w:p w14:paraId="782ECD3E">
      <w:pPr>
        <w:spacing w:line="580" w:lineRule="exact"/>
        <w:ind w:firstLine="640"/>
        <w:jc w:val="both"/>
      </w:pPr>
      <w:r>
        <w:rPr>
          <w:rFonts w:hint="eastAsia" w:ascii="仿宋_GB2312" w:hAnsi="仿宋_GB2312" w:eastAsia="仿宋_GB2312"/>
          <w:sz w:val="32"/>
          <w:lang w:eastAsia="zh-CN"/>
        </w:rPr>
        <w:t>（十三）</w:t>
      </w:r>
      <w:r>
        <w:rPr>
          <w:rFonts w:ascii="仿宋_GB2312" w:hAnsi="仿宋_GB2312" w:eastAsia="仿宋_GB2312"/>
          <w:sz w:val="32"/>
        </w:rPr>
        <w:t>依法组织指导安全生产事故调查处理，监督事故查处和责任追究落实情况。组织开展自然灾害类突发事</w:t>
      </w:r>
      <w:bookmarkStart w:id="0" w:name="_GoBack"/>
      <w:bookmarkEnd w:id="0"/>
      <w:r>
        <w:rPr>
          <w:rFonts w:ascii="仿宋_GB2312" w:hAnsi="仿宋_GB2312" w:eastAsia="仿宋_GB2312"/>
          <w:sz w:val="32"/>
        </w:rPr>
        <w:t>件的调查评估工作。</w:t>
      </w:r>
    </w:p>
    <w:p w14:paraId="3DFC12B1">
      <w:pPr>
        <w:spacing w:line="580" w:lineRule="exact"/>
        <w:ind w:firstLine="640"/>
        <w:jc w:val="both"/>
      </w:pPr>
      <w:r>
        <w:rPr>
          <w:rFonts w:hint="eastAsia" w:ascii="仿宋_GB2312" w:hAnsi="仿宋_GB2312" w:eastAsia="仿宋_GB2312"/>
          <w:sz w:val="32"/>
          <w:lang w:eastAsia="zh-CN"/>
        </w:rPr>
        <w:t>（十四）</w:t>
      </w:r>
      <w:r>
        <w:rPr>
          <w:rFonts w:ascii="仿宋_GB2312" w:hAnsi="仿宋_GB2312" w:eastAsia="仿宋_GB2312"/>
          <w:sz w:val="32"/>
        </w:rPr>
        <w:t>制定应急物资储备和应急救援装备规划并组织实施，会同县发展和改革委员会等部门建立健全应急物资信息平台和</w:t>
      </w:r>
      <w:r>
        <w:rPr>
          <w:rFonts w:hint="eastAsia" w:ascii="仿宋_GB2312" w:hAnsi="仿宋_GB2312" w:eastAsia="仿宋_GB2312"/>
          <w:sz w:val="32"/>
          <w:lang w:eastAsia="zh-CN"/>
        </w:rPr>
        <w:t>调度</w:t>
      </w:r>
      <w:r>
        <w:rPr>
          <w:rFonts w:ascii="仿宋_GB2312" w:hAnsi="仿宋_GB2312" w:eastAsia="仿宋_GB2312"/>
          <w:sz w:val="32"/>
        </w:rPr>
        <w:t>制度，在救灾时统一调度。</w:t>
      </w:r>
    </w:p>
    <w:p w14:paraId="28047544">
      <w:pPr>
        <w:spacing w:line="580" w:lineRule="exact"/>
        <w:ind w:firstLine="640"/>
        <w:jc w:val="both"/>
      </w:pPr>
      <w:r>
        <w:rPr>
          <w:rFonts w:hint="eastAsia" w:ascii="仿宋_GB2312" w:hAnsi="仿宋_GB2312" w:eastAsia="仿宋_GB2312"/>
          <w:sz w:val="32"/>
          <w:lang w:eastAsia="zh-CN"/>
        </w:rPr>
        <w:t>（十五）</w:t>
      </w:r>
      <w:r>
        <w:rPr>
          <w:rFonts w:ascii="仿宋_GB2312" w:hAnsi="仿宋_GB2312" w:eastAsia="仿宋_GB2312"/>
          <w:sz w:val="32"/>
        </w:rPr>
        <w:t>负责应急管理、安全生产宣传教育和培训工作，组织指导应急管理、安全生产的科学技术研究、推广应用和信息化建设工作。</w:t>
      </w:r>
    </w:p>
    <w:p w14:paraId="765C7382">
      <w:pPr>
        <w:spacing w:line="580" w:lineRule="exact"/>
        <w:ind w:firstLine="640"/>
        <w:jc w:val="both"/>
      </w:pPr>
      <w:r>
        <w:rPr>
          <w:rFonts w:hint="eastAsia" w:ascii="仿宋_GB2312" w:hAnsi="仿宋_GB2312" w:eastAsia="仿宋_GB2312"/>
          <w:sz w:val="32"/>
          <w:lang w:eastAsia="zh-CN"/>
        </w:rPr>
        <w:t>（十六）</w:t>
      </w:r>
      <w:r>
        <w:rPr>
          <w:rFonts w:ascii="仿宋_GB2312" w:hAnsi="仿宋_GB2312" w:eastAsia="仿宋_GB2312"/>
          <w:sz w:val="32"/>
        </w:rPr>
        <w:t>完成民丰县委、县政府交办的其他任务。</w:t>
      </w:r>
    </w:p>
    <w:p w14:paraId="4AB5C78D">
      <w:pPr>
        <w:spacing w:line="580" w:lineRule="exact"/>
        <w:ind w:firstLine="640"/>
        <w:jc w:val="both"/>
      </w:pPr>
      <w:r>
        <w:rPr>
          <w:rFonts w:hint="eastAsia" w:ascii="仿宋_GB2312" w:hAnsi="仿宋_GB2312" w:eastAsia="仿宋_GB2312"/>
          <w:sz w:val="32"/>
          <w:lang w:eastAsia="zh-CN"/>
        </w:rPr>
        <w:t>（十七）</w:t>
      </w:r>
      <w:r>
        <w:rPr>
          <w:rFonts w:ascii="仿宋_GB2312" w:hAnsi="仿宋_GB2312" w:eastAsia="仿宋_GB2312"/>
          <w:sz w:val="32"/>
        </w:rPr>
        <w:t>职能转变。民丰县应急管理局应加强、优化</w:t>
      </w:r>
      <w:r>
        <w:rPr>
          <w:rFonts w:hint="eastAsia" w:ascii="仿宋_GB2312" w:hAnsi="仿宋_GB2312" w:eastAsia="仿宋_GB2312"/>
          <w:sz w:val="32"/>
          <w:lang w:eastAsia="zh-CN"/>
        </w:rPr>
        <w:t>统筹</w:t>
      </w:r>
      <w:r>
        <w:rPr>
          <w:rFonts w:ascii="仿宋_GB2312" w:hAnsi="仿宋_GB2312" w:eastAsia="仿宋_GB2312"/>
          <w:sz w:val="32"/>
        </w:rPr>
        <w:t>应急能力建设，构建统一领导、权责一致、权威高效的应急能力体系，推动形成统一指挥、专常兼备、反应灵敏上下联动、平战结合的应急管理体制。一是坚持以防为主防抗款结合，坚持常态减灾和非常态救灾相统一，努力实</w:t>
      </w:r>
      <w:r>
        <w:rPr>
          <w:rFonts w:hint="eastAsia" w:ascii="仿宋_GB2312" w:hAnsi="仿宋_GB2312" w:eastAsia="仿宋_GB2312"/>
          <w:sz w:val="32"/>
          <w:lang w:eastAsia="zh-CN"/>
        </w:rPr>
        <w:t>现坚</w:t>
      </w:r>
      <w:r>
        <w:rPr>
          <w:rFonts w:ascii="仿宋_GB2312" w:hAnsi="仿宋_GB2312" w:eastAsia="仿宋_GB2312"/>
          <w:sz w:val="32"/>
        </w:rPr>
        <w:t>持常态减灾和非常态救灾相统一，</w:t>
      </w:r>
      <w:r>
        <w:rPr>
          <w:rFonts w:hint="eastAsia" w:ascii="仿宋_GB2312" w:hAnsi="仿宋_GB2312" w:eastAsia="仿宋_GB2312"/>
          <w:sz w:val="32"/>
          <w:lang w:eastAsia="zh-CN"/>
        </w:rPr>
        <w:t>努力</w:t>
      </w:r>
      <w:r>
        <w:rPr>
          <w:rFonts w:ascii="仿宋_GB2312" w:hAnsi="仿宋_GB2312" w:eastAsia="仿宋_GB2312"/>
          <w:sz w:val="32"/>
        </w:rPr>
        <w:t>从注重灾后救助向注重灾前预防转变，从应对单一灾种向综合减灾转变，从减少灾害损失向减轻灾害风险转变，提高应急管理水平和防灾减灾救灾能力，防范化解重大安全风险是坚持以人为本，把确保人民群众生命安全放在首位，确保受灾群众基本生活，加强应急预案演练，增强公民防灾减灾意识，提升公众知识普及和自救互救技能，切实减少人员伤亡和财产损失。三是树立安全发展理念，坚持生命至上、安全第一，完善安全生产责任，坚决</w:t>
      </w:r>
      <w:r>
        <w:rPr>
          <w:rFonts w:hint="eastAsia" w:ascii="仿宋_GB2312" w:hAnsi="仿宋_GB2312" w:eastAsia="仿宋_GB2312"/>
          <w:sz w:val="32"/>
          <w:lang w:eastAsia="zh-CN"/>
        </w:rPr>
        <w:t>遏制</w:t>
      </w:r>
      <w:r>
        <w:rPr>
          <w:rFonts w:ascii="仿宋_GB2312" w:hAnsi="仿宋_GB2312" w:eastAsia="仿宋_GB2312"/>
          <w:sz w:val="32"/>
        </w:rPr>
        <w:t>重特大安全事故。</w:t>
      </w:r>
    </w:p>
    <w:p w14:paraId="4E46D056">
      <w:pPr>
        <w:spacing w:line="580" w:lineRule="exact"/>
        <w:ind w:firstLine="640"/>
        <w:jc w:val="both"/>
      </w:pPr>
      <w:r>
        <w:rPr>
          <w:rFonts w:hint="eastAsia" w:ascii="仿宋_GB2312" w:hAnsi="仿宋_GB2312" w:eastAsia="仿宋_GB2312"/>
          <w:sz w:val="32"/>
          <w:lang w:eastAsia="zh-CN"/>
        </w:rPr>
        <w:t>（十八）</w:t>
      </w:r>
      <w:r>
        <w:rPr>
          <w:rFonts w:ascii="仿宋_GB2312" w:hAnsi="仿宋_GB2312" w:eastAsia="仿宋_GB2312"/>
          <w:sz w:val="32"/>
        </w:rPr>
        <w:t>有关职责分工，与民丰县自然资源局、民丰县水利局、民丰县林业和草原局等部门在自然灾害防救方面的职责分工。民丰县应急管理局负责组织制定全县总体应急预案和安全生产类、自然灾害类专项预案，综合协调应急预案衔接工作，组织开展预案演练。指导自然灾害应急救援；组织协调重大灾害应急救援工作，并按权限做出决定；承担应对重大灾害指挥部工作，做好重大灾害应急处置工作。组织编制综合防灾减灾规划，指导协调相关部门森林和草原火灾</w:t>
      </w:r>
      <w:r>
        <w:rPr>
          <w:rFonts w:hint="eastAsia" w:ascii="仿宋_GB2312" w:hAnsi="仿宋_GB2312" w:eastAsia="仿宋_GB2312"/>
          <w:sz w:val="32"/>
          <w:lang w:eastAsia="zh-CN"/>
        </w:rPr>
        <w:t>水旱灾害</w:t>
      </w:r>
      <w:r>
        <w:rPr>
          <w:rFonts w:ascii="仿宋_GB2312" w:hAnsi="仿宋_GB2312" w:eastAsia="仿宋_GB2312"/>
          <w:sz w:val="32"/>
        </w:rPr>
        <w:t>、地震和地质灾害等防治工作；会同自然资源局、水利局、气象局、林业和草原局等有关部门建立统一的应急管理信息平台，建立监测预警和灾情报告制度，健全自然灾害信息资源获取和共享机制，依法</w:t>
      </w:r>
      <w:r>
        <w:rPr>
          <w:rFonts w:hint="eastAsia" w:ascii="仿宋_GB2312" w:hAnsi="仿宋_GB2312" w:eastAsia="仿宋_GB2312"/>
          <w:sz w:val="32"/>
          <w:lang w:eastAsia="zh-CN"/>
        </w:rPr>
        <w:t>逐一</w:t>
      </w:r>
      <w:r>
        <w:rPr>
          <w:rFonts w:ascii="仿宋_GB2312" w:hAnsi="仿宋_GB2312" w:eastAsia="仿宋_GB2312"/>
          <w:sz w:val="32"/>
        </w:rPr>
        <w:t>发布灾情。开展多灾种和灾害链综合监测预警，开展自然灾害综合风险评估。负责森林和草原火情监测预警工作，发布森林和草原火险、火灾信息。</w:t>
      </w:r>
    </w:p>
    <w:p w14:paraId="456A063B">
      <w:pPr>
        <w:spacing w:line="640" w:lineRule="exact"/>
        <w:ind w:firstLine="640"/>
        <w:jc w:val="both"/>
        <w:outlineLvl w:val="2"/>
      </w:pPr>
      <w:r>
        <w:rPr>
          <w:rFonts w:ascii="黑体" w:hAnsi="黑体" w:eastAsia="黑体"/>
          <w:sz w:val="32"/>
        </w:rPr>
        <w:t>二、机构设置及人员情况</w:t>
      </w:r>
    </w:p>
    <w:p w14:paraId="7A6FB322">
      <w:pPr>
        <w:spacing w:line="580" w:lineRule="exact"/>
        <w:ind w:firstLine="640"/>
        <w:jc w:val="both"/>
      </w:pPr>
      <w:r>
        <w:rPr>
          <w:rFonts w:ascii="仿宋_GB2312" w:hAnsi="仿宋_GB2312" w:eastAsia="仿宋_GB2312"/>
          <w:sz w:val="32"/>
        </w:rPr>
        <w:t>民丰县应急管理局2024年度，实有人数16人，其中：在职人员11人，增加1人；离休人员0人，增加0人；退休人员5人,增加0人。</w:t>
      </w:r>
    </w:p>
    <w:p w14:paraId="08C4EDB1">
      <w:pPr>
        <w:spacing w:line="580" w:lineRule="exact"/>
        <w:ind w:firstLine="640"/>
        <w:jc w:val="both"/>
      </w:pPr>
      <w:r>
        <w:rPr>
          <w:rFonts w:ascii="仿宋_GB2312" w:hAnsi="仿宋_GB2312" w:eastAsia="仿宋_GB2312"/>
          <w:sz w:val="32"/>
        </w:rPr>
        <w:t>民丰县应急管理局无下属预算单位，下设3个科室，分别是：安全生产委员会办公室、自然灾害综合监测预警中心、矿山安全服务保障中心。</w:t>
      </w:r>
    </w:p>
    <w:p w14:paraId="3E934076">
      <w:r>
        <w:br w:type="page"/>
      </w:r>
    </w:p>
    <w:p w14:paraId="219DD4F3">
      <w:pPr>
        <w:spacing w:line="240" w:lineRule="auto"/>
        <w:jc w:val="center"/>
        <w:outlineLvl w:val="1"/>
      </w:pPr>
      <w:r>
        <w:rPr>
          <w:rFonts w:ascii="黑体" w:hAnsi="黑体" w:eastAsia="黑体"/>
          <w:sz w:val="32"/>
        </w:rPr>
        <w:t>第二部分 部门决算情况说明</w:t>
      </w:r>
    </w:p>
    <w:p w14:paraId="63A709F4">
      <w:pPr>
        <w:spacing w:line="640" w:lineRule="exact"/>
        <w:ind w:firstLine="640"/>
        <w:jc w:val="both"/>
        <w:outlineLvl w:val="2"/>
      </w:pPr>
      <w:r>
        <w:rPr>
          <w:rFonts w:ascii="黑体" w:hAnsi="黑体" w:eastAsia="黑体"/>
          <w:sz w:val="32"/>
        </w:rPr>
        <w:t>一、收入支出决算总体情况说明</w:t>
      </w:r>
    </w:p>
    <w:p w14:paraId="67AB5074">
      <w:pPr>
        <w:spacing w:line="580" w:lineRule="exact"/>
        <w:ind w:firstLine="640"/>
        <w:jc w:val="both"/>
      </w:pPr>
      <w:r>
        <w:rPr>
          <w:rFonts w:ascii="仿宋_GB2312" w:hAnsi="仿宋_GB2312" w:eastAsia="仿宋_GB2312"/>
          <w:b/>
          <w:sz w:val="32"/>
        </w:rPr>
        <w:t>2024年度收入总计579.14万元，</w:t>
      </w:r>
      <w:r>
        <w:rPr>
          <w:rFonts w:ascii="仿宋_GB2312" w:hAnsi="仿宋_GB2312" w:eastAsia="仿宋_GB2312"/>
          <w:b w:val="0"/>
          <w:sz w:val="32"/>
        </w:rPr>
        <w:t>其中：本年收入合计579.14万元，使用非财政拨款结余（含专用结余）0.00万元，年初结转和结余0.00万元。</w:t>
      </w:r>
    </w:p>
    <w:p w14:paraId="6807AE73">
      <w:pPr>
        <w:spacing w:line="580" w:lineRule="exact"/>
        <w:ind w:firstLine="640"/>
        <w:jc w:val="both"/>
      </w:pPr>
      <w:r>
        <w:rPr>
          <w:rFonts w:ascii="仿宋_GB2312" w:hAnsi="仿宋_GB2312" w:eastAsia="仿宋_GB2312"/>
          <w:b/>
          <w:sz w:val="32"/>
        </w:rPr>
        <w:t>2024年度支出总计579.14万元，</w:t>
      </w:r>
      <w:r>
        <w:rPr>
          <w:rFonts w:ascii="仿宋_GB2312" w:hAnsi="仿宋_GB2312" w:eastAsia="仿宋_GB2312"/>
          <w:b w:val="0"/>
          <w:sz w:val="32"/>
        </w:rPr>
        <w:t>其中：本年支出合计579.14万元，结余分配0.00万元，年末结转和结余0.00万元。</w:t>
      </w:r>
    </w:p>
    <w:p w14:paraId="79FE54F8">
      <w:pPr>
        <w:spacing w:line="580" w:lineRule="exact"/>
        <w:ind w:firstLine="640"/>
        <w:jc w:val="both"/>
      </w:pPr>
      <w:r>
        <w:rPr>
          <w:rFonts w:ascii="仿宋_GB2312" w:hAnsi="仿宋_GB2312" w:eastAsia="仿宋_GB2312"/>
          <w:b w:val="0"/>
          <w:sz w:val="32"/>
        </w:rPr>
        <w:t>收入支出总体与上年相比，增加194.07万元，增长50.40%，主要原因是：本年度增加中央自然灾害救灾资金（冬春临时生活困难救助资金）项目、和田地区民丰县2024年抗旱应急项目。</w:t>
      </w:r>
    </w:p>
    <w:p w14:paraId="6823C158">
      <w:pPr>
        <w:spacing w:line="640" w:lineRule="exact"/>
        <w:ind w:firstLine="640"/>
        <w:jc w:val="both"/>
        <w:outlineLvl w:val="2"/>
      </w:pPr>
      <w:r>
        <w:rPr>
          <w:rFonts w:ascii="黑体" w:hAnsi="黑体" w:eastAsia="黑体"/>
          <w:sz w:val="32"/>
        </w:rPr>
        <w:t>二、收入决算情况说明</w:t>
      </w:r>
    </w:p>
    <w:p w14:paraId="3D828DCF">
      <w:pPr>
        <w:spacing w:line="580" w:lineRule="exact"/>
        <w:ind w:firstLine="640"/>
        <w:jc w:val="both"/>
      </w:pPr>
      <w:r>
        <w:rPr>
          <w:rFonts w:ascii="仿宋_GB2312" w:hAnsi="仿宋_GB2312" w:eastAsia="仿宋_GB2312"/>
          <w:b/>
          <w:sz w:val="32"/>
        </w:rPr>
        <w:t>本年收入579.14万元，</w:t>
      </w:r>
      <w:r>
        <w:rPr>
          <w:rFonts w:ascii="仿宋_GB2312" w:hAnsi="仿宋_GB2312" w:eastAsia="仿宋_GB2312"/>
          <w:b w:val="0"/>
          <w:sz w:val="32"/>
        </w:rPr>
        <w:t>其中：财政拨款收入579.14万元，占100.00%；上级补助收入0.00万元，占0.00%；事业收入0.00万元，占0.00%；经营收入0.00万元，占0.00%；附属单位上缴收入0.00万元，占0.00%；其他收入0.00万元，占0.00%。</w:t>
      </w:r>
    </w:p>
    <w:p w14:paraId="5F3A5CB6">
      <w:pPr>
        <w:spacing w:line="640" w:lineRule="exact"/>
        <w:ind w:firstLine="640"/>
        <w:jc w:val="both"/>
        <w:outlineLvl w:val="2"/>
      </w:pPr>
      <w:r>
        <w:rPr>
          <w:rFonts w:ascii="黑体" w:hAnsi="黑体" w:eastAsia="黑体"/>
          <w:sz w:val="32"/>
        </w:rPr>
        <w:t>三、支出决算情况说明</w:t>
      </w:r>
    </w:p>
    <w:p w14:paraId="08A1CB84">
      <w:pPr>
        <w:spacing w:line="580" w:lineRule="exact"/>
        <w:ind w:firstLine="640"/>
        <w:jc w:val="both"/>
      </w:pPr>
      <w:r>
        <w:rPr>
          <w:rFonts w:ascii="仿宋_GB2312" w:hAnsi="仿宋_GB2312" w:eastAsia="仿宋_GB2312"/>
          <w:b/>
          <w:sz w:val="32"/>
        </w:rPr>
        <w:t>本年支出579.14万元，</w:t>
      </w:r>
      <w:r>
        <w:rPr>
          <w:rFonts w:ascii="仿宋_GB2312" w:hAnsi="仿宋_GB2312" w:eastAsia="仿宋_GB2312"/>
          <w:b w:val="0"/>
          <w:sz w:val="32"/>
        </w:rPr>
        <w:t>其中：基本支出232.18万元，占40.09%；项目支出346.95万元，占59.91%；上缴上级支出0.00万元，占0.00%；经营支出0.00万元，占0.00%；对附属单位补助支出0.00万元，占0.00%。</w:t>
      </w:r>
    </w:p>
    <w:p w14:paraId="4FE3B4C8">
      <w:pPr>
        <w:spacing w:line="640" w:lineRule="exact"/>
        <w:ind w:firstLine="640"/>
        <w:jc w:val="both"/>
        <w:outlineLvl w:val="2"/>
      </w:pPr>
      <w:r>
        <w:rPr>
          <w:rFonts w:ascii="黑体" w:hAnsi="黑体" w:eastAsia="黑体"/>
          <w:sz w:val="32"/>
        </w:rPr>
        <w:t>四、财政拨款收入支出决算总体情况说明</w:t>
      </w:r>
    </w:p>
    <w:p w14:paraId="534E645D">
      <w:pPr>
        <w:spacing w:line="580" w:lineRule="exact"/>
        <w:ind w:firstLine="640"/>
        <w:jc w:val="both"/>
      </w:pPr>
      <w:r>
        <w:rPr>
          <w:rFonts w:ascii="仿宋_GB2312" w:hAnsi="仿宋_GB2312" w:eastAsia="仿宋_GB2312"/>
          <w:b/>
          <w:sz w:val="32"/>
        </w:rPr>
        <w:t>2024年度财政拨款收入总计579.14万元，</w:t>
      </w:r>
      <w:r>
        <w:rPr>
          <w:rFonts w:ascii="仿宋_GB2312" w:hAnsi="仿宋_GB2312" w:eastAsia="仿宋_GB2312"/>
          <w:b w:val="0"/>
          <w:sz w:val="32"/>
        </w:rPr>
        <w:t>其中：年初财政拨款结转和结余0.00万元，本年财政拨款收入579.14万元。</w:t>
      </w:r>
      <w:r>
        <w:rPr>
          <w:rFonts w:ascii="仿宋_GB2312" w:hAnsi="仿宋_GB2312" w:eastAsia="仿宋_GB2312"/>
          <w:b/>
          <w:sz w:val="32"/>
        </w:rPr>
        <w:t>财政拨款支出总计579.14万元，</w:t>
      </w:r>
      <w:r>
        <w:rPr>
          <w:rFonts w:ascii="仿宋_GB2312" w:hAnsi="仿宋_GB2312" w:eastAsia="仿宋_GB2312"/>
          <w:b w:val="0"/>
          <w:sz w:val="32"/>
        </w:rPr>
        <w:t>其中：年末财政拨款结转和结余0.00万元，本年财政拨款支出579.14万元。</w:t>
      </w:r>
    </w:p>
    <w:p w14:paraId="0D77259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增加229.53万元，增长65.65%，主要原因是：本年度增加中央自然灾害救灾资金（冬春临时生活困难救助资金）项目、和田地区民丰县2024年抗旱应急项目。</w:t>
      </w:r>
      <w:r>
        <w:rPr>
          <w:rFonts w:ascii="仿宋_GB2312" w:hAnsi="仿宋_GB2312" w:eastAsia="仿宋_GB2312"/>
          <w:b/>
          <w:sz w:val="32"/>
        </w:rPr>
        <w:t>与年初预算相比，</w:t>
      </w:r>
      <w:r>
        <w:rPr>
          <w:rFonts w:ascii="仿宋_GB2312" w:hAnsi="仿宋_GB2312" w:eastAsia="仿宋_GB2312"/>
          <w:b w:val="0"/>
          <w:sz w:val="32"/>
        </w:rPr>
        <w:t>年初预算数512.28万元，决算数579.14万元，预决算差异率13.05%，主要原因是：年中追加中央自然灾害救灾资金（冬春临时生活困难救助资金）项目、和田地区民丰县2024年抗旱应急等项目，导致预决算存在差异。</w:t>
      </w:r>
    </w:p>
    <w:p w14:paraId="2CCA323D">
      <w:pPr>
        <w:spacing w:line="640" w:lineRule="exact"/>
        <w:ind w:firstLine="640"/>
        <w:jc w:val="both"/>
        <w:outlineLvl w:val="2"/>
      </w:pPr>
      <w:r>
        <w:rPr>
          <w:rFonts w:ascii="黑体" w:hAnsi="黑体" w:eastAsia="黑体"/>
          <w:sz w:val="32"/>
        </w:rPr>
        <w:t>五、一般公共预算财政拨款支出决算情况说明</w:t>
      </w:r>
    </w:p>
    <w:p w14:paraId="144D07A7">
      <w:pPr>
        <w:spacing w:line="640" w:lineRule="exact"/>
        <w:ind w:firstLine="640"/>
        <w:jc w:val="both"/>
        <w:outlineLvl w:val="3"/>
      </w:pPr>
      <w:r>
        <w:rPr>
          <w:rFonts w:ascii="楷体_GB2312" w:hAnsi="楷体_GB2312" w:eastAsia="楷体_GB2312"/>
          <w:b/>
          <w:sz w:val="32"/>
        </w:rPr>
        <w:t>（一）一般公共预算财政拨款支出决算总体情况</w:t>
      </w:r>
    </w:p>
    <w:p w14:paraId="121E5FC7">
      <w:pPr>
        <w:spacing w:line="580" w:lineRule="exact"/>
        <w:ind w:firstLine="640"/>
        <w:jc w:val="both"/>
      </w:pPr>
      <w:r>
        <w:rPr>
          <w:rFonts w:ascii="仿宋_GB2312" w:hAnsi="仿宋_GB2312" w:eastAsia="仿宋_GB2312"/>
          <w:b/>
          <w:sz w:val="32"/>
        </w:rPr>
        <w:t>2024年度一般公共预算财政拨款支出579.14万元，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增加229.53万元，增长65.65%，主要原因是：本年度增加中央自然灾害救灾资金（冬春临时生活困难救助资金）项目、和田地区民丰县2024年抗旱应急项目。</w:t>
      </w:r>
      <w:r>
        <w:rPr>
          <w:rFonts w:ascii="仿宋_GB2312" w:hAnsi="仿宋_GB2312" w:eastAsia="仿宋_GB2312"/>
          <w:b/>
          <w:sz w:val="32"/>
        </w:rPr>
        <w:t>与年初预算相比,</w:t>
      </w:r>
      <w:r>
        <w:rPr>
          <w:rFonts w:ascii="仿宋_GB2312" w:hAnsi="仿宋_GB2312" w:eastAsia="仿宋_GB2312"/>
          <w:b w:val="0"/>
          <w:sz w:val="32"/>
        </w:rPr>
        <w:t>年初预算数512.28万元，决算数579.14万元，预决算差异率13.05%，主要原因是：年中追加中央自然灾害救灾资金（冬春临时生活困难救助资金）项目、和田地区民丰县2024年抗旱应急等项目，导致预决算存在差异。</w:t>
      </w:r>
    </w:p>
    <w:p w14:paraId="5ABCC19D">
      <w:pPr>
        <w:spacing w:line="640" w:lineRule="exact"/>
        <w:ind w:firstLine="640"/>
        <w:jc w:val="both"/>
        <w:outlineLvl w:val="3"/>
      </w:pPr>
      <w:r>
        <w:rPr>
          <w:rFonts w:ascii="楷体_GB2312" w:hAnsi="楷体_GB2312" w:eastAsia="楷体_GB2312"/>
          <w:b/>
          <w:sz w:val="32"/>
        </w:rPr>
        <w:t>（二）一般公共预算财政拨款支出决算结构情况</w:t>
      </w:r>
    </w:p>
    <w:p w14:paraId="3D1349EC">
      <w:pPr>
        <w:spacing w:line="580" w:lineRule="exact"/>
        <w:ind w:firstLine="640"/>
        <w:jc w:val="both"/>
      </w:pPr>
      <w:r>
        <w:rPr>
          <w:rFonts w:ascii="仿宋_GB2312" w:hAnsi="仿宋_GB2312" w:eastAsia="仿宋_GB2312"/>
          <w:b w:val="0"/>
          <w:sz w:val="32"/>
        </w:rPr>
        <w:t>1.社会保障和就业支出(类)29.89万元,占5.16%。</w:t>
      </w:r>
    </w:p>
    <w:p w14:paraId="3369344B">
      <w:pPr>
        <w:spacing w:line="580" w:lineRule="exact"/>
        <w:ind w:firstLine="640"/>
        <w:jc w:val="both"/>
      </w:pPr>
      <w:r>
        <w:rPr>
          <w:rFonts w:ascii="仿宋_GB2312" w:hAnsi="仿宋_GB2312" w:eastAsia="仿宋_GB2312"/>
          <w:b w:val="0"/>
          <w:sz w:val="32"/>
        </w:rPr>
        <w:t>2.卫生健康支出(类)12.09万元,占2.09%。</w:t>
      </w:r>
    </w:p>
    <w:p w14:paraId="61ACF689">
      <w:pPr>
        <w:spacing w:line="580" w:lineRule="exact"/>
        <w:ind w:firstLine="640"/>
        <w:jc w:val="both"/>
      </w:pPr>
      <w:r>
        <w:rPr>
          <w:rFonts w:ascii="仿宋_GB2312" w:hAnsi="仿宋_GB2312" w:eastAsia="仿宋_GB2312"/>
          <w:b w:val="0"/>
          <w:sz w:val="32"/>
        </w:rPr>
        <w:t>3.住房保障支出(类)15.91万元,占2.75%。</w:t>
      </w:r>
    </w:p>
    <w:p w14:paraId="3ECE84D0">
      <w:pPr>
        <w:spacing w:line="580" w:lineRule="exact"/>
        <w:ind w:firstLine="640"/>
        <w:jc w:val="both"/>
      </w:pPr>
      <w:r>
        <w:rPr>
          <w:rFonts w:ascii="仿宋_GB2312" w:hAnsi="仿宋_GB2312" w:eastAsia="仿宋_GB2312"/>
          <w:b w:val="0"/>
          <w:sz w:val="32"/>
        </w:rPr>
        <w:t>4.灾害防治及应急管理支出(类)521.25万元,占90.00%。</w:t>
      </w:r>
    </w:p>
    <w:p w14:paraId="69F6E6AA">
      <w:pPr>
        <w:spacing w:line="640" w:lineRule="exact"/>
        <w:ind w:firstLine="640"/>
        <w:jc w:val="both"/>
        <w:outlineLvl w:val="3"/>
      </w:pPr>
      <w:r>
        <w:rPr>
          <w:rFonts w:ascii="楷体_GB2312" w:hAnsi="楷体_GB2312" w:eastAsia="楷体_GB2312"/>
          <w:b/>
          <w:sz w:val="32"/>
        </w:rPr>
        <w:t>（三）一般公共预算财政拨款支出决算具体情况</w:t>
      </w:r>
    </w:p>
    <w:p w14:paraId="2194E2E4">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5.63万元，比上年决算增加5.63万元，增长100.00%,主要原因是：本年功能科目调整，行政单位离退休上年度在主科目列支，本年单独列支，导致经费较上年增加。</w:t>
      </w:r>
    </w:p>
    <w:p w14:paraId="2A03A6F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21.51万元，比上年决算增加0.75万元，增长3.61%,主要原因是：本年在职人员工资基数调增，养老缴费基数上涨，相应支出增加。</w:t>
      </w:r>
    </w:p>
    <w:p w14:paraId="562108A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2.75万元，比上年决算减少10.10万元，下降78.60%,主要原因是：本年无新增退休人员，职业年金缴费较上年减少。</w:t>
      </w:r>
    </w:p>
    <w:p w14:paraId="0DD77B24">
      <w:pPr>
        <w:spacing w:line="580" w:lineRule="exact"/>
        <w:ind w:firstLine="640"/>
        <w:jc w:val="both"/>
      </w:pPr>
      <w:r>
        <w:rPr>
          <w:rFonts w:ascii="仿宋_GB2312" w:hAnsi="仿宋_GB2312" w:eastAsia="仿宋_GB2312"/>
          <w:b w:val="0"/>
          <w:sz w:val="32"/>
        </w:rPr>
        <w:t>4.卫生健康支出(类)行政事业单位医疗(款)行政单位医疗(项):支出决算数为8.74万元，比上年决算增加8.74万元，增长100.00%,主要原因是：本年功能科目调整，行政单位医疗上年度在主科目列支，本年单独列支，导致经费较上年增加。</w:t>
      </w:r>
    </w:p>
    <w:p w14:paraId="72101E08">
      <w:pPr>
        <w:spacing w:line="580" w:lineRule="exact"/>
        <w:ind w:firstLine="640"/>
        <w:jc w:val="both"/>
      </w:pPr>
      <w:r>
        <w:rPr>
          <w:rFonts w:ascii="仿宋_GB2312" w:hAnsi="仿宋_GB2312" w:eastAsia="仿宋_GB2312"/>
          <w:b w:val="0"/>
          <w:sz w:val="32"/>
        </w:rPr>
        <w:t>5.卫生健康支出(类)行政事业单位医疗(款)公务员医疗补助(项):支出决算数为2.61万元，比上年决算增加2.61万元，增长100.00%,主要原因是：本年功能科目调整，公务员医疗补助上年度在主科目列支，本年单独列支，导致经费较上年增加。</w:t>
      </w:r>
    </w:p>
    <w:p w14:paraId="04477811">
      <w:pPr>
        <w:spacing w:line="580" w:lineRule="exact"/>
        <w:ind w:firstLine="640"/>
        <w:jc w:val="both"/>
      </w:pPr>
      <w:r>
        <w:rPr>
          <w:rFonts w:ascii="仿宋_GB2312" w:hAnsi="仿宋_GB2312" w:eastAsia="仿宋_GB2312"/>
          <w:b w:val="0"/>
          <w:sz w:val="32"/>
        </w:rPr>
        <w:t>6.卫生健康支出(类)行政事业单位医疗(款)其他行政事业单位医疗支出(项):支出决算数为0.74万元，比上年决算增加0.74万元，增长100.00%,主要原因是：本年功能科目调整，大额医疗上年度在主科目列支，本年单独列支，导致经费较上年增加。</w:t>
      </w:r>
    </w:p>
    <w:p w14:paraId="3435191E">
      <w:pPr>
        <w:spacing w:line="580" w:lineRule="exact"/>
        <w:ind w:firstLine="640"/>
        <w:jc w:val="both"/>
      </w:pPr>
      <w:r>
        <w:rPr>
          <w:rFonts w:ascii="仿宋_GB2312" w:hAnsi="仿宋_GB2312" w:eastAsia="仿宋_GB2312"/>
          <w:b w:val="0"/>
          <w:sz w:val="32"/>
        </w:rPr>
        <w:t>7.住房保障支出(类)住房改革支出(款)住房公积金(项):支出决算数为15.91万元，比上年决算增加15.91万元，增长100.00%,主要原因是：本年功能科目调整，住房公积金上年度在主科目列支，本年单独列支，导致经费较上年增加。</w:t>
      </w:r>
    </w:p>
    <w:p w14:paraId="0570B7FF">
      <w:pPr>
        <w:spacing w:line="580" w:lineRule="exact"/>
        <w:ind w:firstLine="640"/>
        <w:jc w:val="both"/>
      </w:pPr>
      <w:r>
        <w:rPr>
          <w:rFonts w:ascii="仿宋_GB2312" w:hAnsi="仿宋_GB2312" w:eastAsia="仿宋_GB2312"/>
          <w:b w:val="0"/>
          <w:sz w:val="32"/>
        </w:rPr>
        <w:t>8.灾害防治及应急管理支出(类)应急管理事务(款)行政运行(项):支出决算数为174.29万元，比上年决算减少141.70万元，下降44.84%,主要原因是：科目调整，职工住房公积金，医疗保险，公务员医疗补助，退休人员经费等上年在主科目列支，本年单独列支。</w:t>
      </w:r>
    </w:p>
    <w:p w14:paraId="3C68C881">
      <w:pPr>
        <w:spacing w:line="580" w:lineRule="exact"/>
        <w:ind w:firstLine="640"/>
        <w:jc w:val="both"/>
      </w:pPr>
      <w:r>
        <w:rPr>
          <w:rFonts w:ascii="仿宋_GB2312" w:hAnsi="仿宋_GB2312" w:eastAsia="仿宋_GB2312"/>
          <w:b w:val="0"/>
          <w:sz w:val="32"/>
        </w:rPr>
        <w:t>9.灾害防治及应急管理支出(类)应急管理事务(款)应急救援(项):支出决算数为99.85万元，比上年决算增加99.85万元，增长100.00%,主要原因是：本年度增加应急保障经费。</w:t>
      </w:r>
    </w:p>
    <w:p w14:paraId="00B92D82">
      <w:pPr>
        <w:spacing w:line="580" w:lineRule="exact"/>
        <w:ind w:firstLine="640"/>
        <w:jc w:val="both"/>
      </w:pPr>
      <w:r>
        <w:rPr>
          <w:rFonts w:ascii="仿宋_GB2312" w:hAnsi="仿宋_GB2312" w:eastAsia="仿宋_GB2312"/>
          <w:b w:val="0"/>
          <w:sz w:val="32"/>
        </w:rPr>
        <w:t>10.灾害防治及应急管理支出(类)地震事务(款)地震事业机构(项):支出决算数为0.24万元，比上年决算增加0.24万元，增长100.00%,主要原因是：本年度增加2024年自治区防震减灾“三网一员”工作经费补贴。</w:t>
      </w:r>
    </w:p>
    <w:p w14:paraId="01214076">
      <w:pPr>
        <w:spacing w:line="580" w:lineRule="exact"/>
        <w:ind w:firstLine="640"/>
        <w:jc w:val="both"/>
      </w:pPr>
      <w:r>
        <w:rPr>
          <w:rFonts w:ascii="仿宋_GB2312" w:hAnsi="仿宋_GB2312" w:eastAsia="仿宋_GB2312"/>
          <w:b w:val="0"/>
          <w:sz w:val="32"/>
        </w:rPr>
        <w:t>11.灾害防治及应急管理支出(类)自然灾害救灾及恢复重建支出(款)自然灾害救灾补助(项):支出决算数为246.87万元，比上年决算增加246.87万元，增长100.00%,主要原因是：本年度增加中央自然灾害救灾资金（冬春临时生活困难救助资金）项目、和田地区民丰县2024年抗旱应急项目。</w:t>
      </w:r>
    </w:p>
    <w:p w14:paraId="2365FAB8">
      <w:pPr>
        <w:spacing w:line="640" w:lineRule="exact"/>
        <w:ind w:firstLine="640"/>
        <w:jc w:val="both"/>
        <w:outlineLvl w:val="2"/>
      </w:pPr>
      <w:r>
        <w:rPr>
          <w:rFonts w:ascii="黑体" w:hAnsi="黑体" w:eastAsia="黑体"/>
          <w:sz w:val="32"/>
        </w:rPr>
        <w:t>六、一般公共预算财政拨款基本支出决算情况说明</w:t>
      </w:r>
    </w:p>
    <w:p w14:paraId="54DC44A9">
      <w:pPr>
        <w:spacing w:line="580" w:lineRule="exact"/>
        <w:ind w:firstLine="640"/>
        <w:jc w:val="both"/>
      </w:pPr>
      <w:r>
        <w:rPr>
          <w:rFonts w:ascii="仿宋_GB2312" w:hAnsi="仿宋_GB2312" w:eastAsia="仿宋_GB2312"/>
          <w:b w:val="0"/>
          <w:sz w:val="32"/>
        </w:rPr>
        <w:t>2024年度一般公共预算财政拨款基本支出232.18万元，其中：</w:t>
      </w:r>
      <w:r>
        <w:rPr>
          <w:rFonts w:ascii="仿宋_GB2312" w:hAnsi="仿宋_GB2312" w:eastAsia="仿宋_GB2312"/>
          <w:b/>
          <w:sz w:val="32"/>
        </w:rPr>
        <w:t>人员经费224.31万元，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14:paraId="17E1E511">
      <w:pPr>
        <w:spacing w:line="580" w:lineRule="exact"/>
        <w:ind w:firstLine="640"/>
        <w:jc w:val="both"/>
      </w:pPr>
      <w:r>
        <w:rPr>
          <w:rFonts w:ascii="仿宋_GB2312" w:hAnsi="仿宋_GB2312" w:eastAsia="仿宋_GB2312"/>
          <w:b/>
          <w:sz w:val="32"/>
        </w:rPr>
        <w:t>公用经费7.87万元，</w:t>
      </w:r>
      <w:r>
        <w:rPr>
          <w:rFonts w:ascii="仿宋_GB2312" w:hAnsi="仿宋_GB2312" w:eastAsia="仿宋_GB2312"/>
          <w:b w:val="0"/>
          <w:sz w:val="32"/>
        </w:rPr>
        <w:t>包括：办公费、水费、电费、邮电费、差旅费、公务用车运行维护费。</w:t>
      </w:r>
    </w:p>
    <w:p w14:paraId="2BD39C1C">
      <w:pPr>
        <w:spacing w:line="640" w:lineRule="exact"/>
        <w:ind w:firstLine="640"/>
        <w:jc w:val="both"/>
        <w:outlineLvl w:val="2"/>
      </w:pPr>
      <w:r>
        <w:rPr>
          <w:rFonts w:ascii="黑体" w:hAnsi="黑体" w:eastAsia="黑体"/>
          <w:sz w:val="32"/>
        </w:rPr>
        <w:t>七、政府性基金预算财政拨款收入支出决算情况说明</w:t>
      </w:r>
    </w:p>
    <w:p w14:paraId="1EB9056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ADAEF87">
      <w:pPr>
        <w:spacing w:line="640" w:lineRule="exact"/>
        <w:ind w:firstLine="640"/>
        <w:jc w:val="both"/>
        <w:outlineLvl w:val="2"/>
      </w:pPr>
      <w:r>
        <w:rPr>
          <w:rFonts w:ascii="黑体" w:hAnsi="黑体" w:eastAsia="黑体"/>
          <w:sz w:val="32"/>
        </w:rPr>
        <w:t>八、国有资本经营预算财政拨款收入支出决算情况说明</w:t>
      </w:r>
    </w:p>
    <w:p w14:paraId="7DC4E03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03E2225">
      <w:pPr>
        <w:spacing w:line="640" w:lineRule="exact"/>
        <w:ind w:firstLine="640"/>
        <w:jc w:val="both"/>
        <w:outlineLvl w:val="2"/>
      </w:pPr>
      <w:r>
        <w:rPr>
          <w:rFonts w:ascii="黑体" w:hAnsi="黑体" w:eastAsia="黑体"/>
          <w:sz w:val="32"/>
        </w:rPr>
        <w:t>九、财政拨款“三公”经费支出决算情况说明</w:t>
      </w:r>
    </w:p>
    <w:p w14:paraId="207765B0">
      <w:pPr>
        <w:spacing w:line="580" w:lineRule="exact"/>
        <w:ind w:firstLine="640"/>
        <w:jc w:val="both"/>
      </w:pPr>
      <w:r>
        <w:rPr>
          <w:rFonts w:ascii="仿宋_GB2312" w:hAnsi="仿宋_GB2312" w:eastAsia="仿宋_GB2312"/>
          <w:b/>
          <w:sz w:val="32"/>
        </w:rPr>
        <w:t>2024年度财政拨款“三公”经费支出1.50万元，</w:t>
      </w:r>
      <w:r>
        <w:rPr>
          <w:rFonts w:ascii="仿宋_GB2312" w:hAnsi="仿宋_GB2312" w:eastAsia="仿宋_GB2312"/>
          <w:b w:val="0"/>
          <w:sz w:val="32"/>
        </w:rPr>
        <w:t>比上年增加0.01万元，增长0.67%，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1.50万元，占100.00%，比上年增加0.01万元，增长0.67%，主要原因是：本单位公务用车日渐老化，维修维护成本增加，导致公务用车运行维护费较上年增加。公务接待费支出0.00万元，占0.00%，比上年增加0.00万元，增长0.00%，主要原因是：2023年与2024年均未安排公务接待费支出。</w:t>
      </w:r>
    </w:p>
    <w:p w14:paraId="74196B71">
      <w:pPr>
        <w:spacing w:line="580" w:lineRule="exact"/>
        <w:ind w:firstLine="640"/>
        <w:jc w:val="both"/>
      </w:pPr>
      <w:r>
        <w:rPr>
          <w:rFonts w:ascii="仿宋_GB2312" w:hAnsi="仿宋_GB2312" w:eastAsia="仿宋_GB2312"/>
          <w:b/>
          <w:sz w:val="32"/>
        </w:rPr>
        <w:t>具体情况如下：</w:t>
      </w:r>
    </w:p>
    <w:p w14:paraId="0ABBC19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DA834E8">
      <w:pPr>
        <w:spacing w:line="580" w:lineRule="exact"/>
        <w:ind w:firstLine="640"/>
        <w:jc w:val="both"/>
      </w:pPr>
      <w:r>
        <w:rPr>
          <w:rFonts w:ascii="仿宋_GB2312" w:hAnsi="仿宋_GB2312" w:eastAsia="仿宋_GB2312"/>
          <w:b w:val="0"/>
          <w:sz w:val="32"/>
        </w:rPr>
        <w:t>公务用车购置及运行维护费1.50万元，其中：公务用车购置费0.00万元，公务用车运行维护费1.50万元。公务用车运行维护费开支内容包括车辆加油费、维修费、保险费。公务用车购置数0辆，公务用车保有量1辆。国有资产占用情况中固定资产车辆0辆，与公务用车保有量差异原因是：借用其他单位车辆，车辆费用由本单位支付。</w:t>
      </w:r>
    </w:p>
    <w:p w14:paraId="1C79C98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1C0151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万元，决算数1.50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1.50万元，预决算差异率0.00%，主要原因是：严格按照预算执行，预决算无差异。公务接待费全年预算数0.00万元，决算数0.00万元，预决算差异率0.00%，主要原因是：本单位无公务接待费。</w:t>
      </w:r>
    </w:p>
    <w:p w14:paraId="6D8522AC">
      <w:pPr>
        <w:spacing w:line="640" w:lineRule="exact"/>
        <w:ind w:firstLine="640"/>
        <w:jc w:val="both"/>
        <w:outlineLvl w:val="2"/>
      </w:pPr>
      <w:r>
        <w:rPr>
          <w:rFonts w:ascii="黑体" w:hAnsi="黑体" w:eastAsia="黑体"/>
          <w:sz w:val="32"/>
        </w:rPr>
        <w:t>十、其他重要事项的情况说明</w:t>
      </w:r>
    </w:p>
    <w:p w14:paraId="0754F764">
      <w:pPr>
        <w:spacing w:line="640" w:lineRule="exact"/>
        <w:ind w:firstLine="640"/>
        <w:jc w:val="both"/>
        <w:outlineLvl w:val="3"/>
      </w:pPr>
      <w:r>
        <w:rPr>
          <w:rFonts w:ascii="楷体_GB2312" w:hAnsi="楷体_GB2312" w:eastAsia="楷体_GB2312"/>
          <w:b/>
          <w:sz w:val="32"/>
        </w:rPr>
        <w:t>（一）机关运行经费及公用经费支出情况</w:t>
      </w:r>
    </w:p>
    <w:p w14:paraId="0D404141">
      <w:pPr>
        <w:spacing w:line="580" w:lineRule="exact"/>
        <w:ind w:firstLine="640"/>
        <w:jc w:val="both"/>
      </w:pPr>
      <w:r>
        <w:rPr>
          <w:rFonts w:ascii="仿宋_GB2312" w:hAnsi="仿宋_GB2312" w:eastAsia="仿宋_GB2312"/>
          <w:b w:val="0"/>
          <w:sz w:val="32"/>
        </w:rPr>
        <w:t>2024年度民丰县应急管理局（行政单位和参照公务员法管理事业单位）机关运行经费支出7.87万元，比上年减少96.76万元，下降92.48%，主要原因是：本年减少设备购置经费。</w:t>
      </w:r>
    </w:p>
    <w:p w14:paraId="29C2A80F">
      <w:pPr>
        <w:spacing w:line="640" w:lineRule="exact"/>
        <w:ind w:firstLine="640"/>
        <w:jc w:val="both"/>
        <w:outlineLvl w:val="3"/>
      </w:pPr>
      <w:r>
        <w:rPr>
          <w:rFonts w:ascii="楷体_GB2312" w:hAnsi="楷体_GB2312" w:eastAsia="楷体_GB2312"/>
          <w:b/>
          <w:sz w:val="32"/>
        </w:rPr>
        <w:t>（二）政府采购情况</w:t>
      </w:r>
    </w:p>
    <w:p w14:paraId="66E980BC">
      <w:pPr>
        <w:spacing w:line="580" w:lineRule="exact"/>
        <w:ind w:firstLine="640"/>
        <w:jc w:val="both"/>
      </w:pPr>
      <w:r>
        <w:rPr>
          <w:rFonts w:ascii="仿宋_GB2312" w:hAnsi="仿宋_GB2312" w:eastAsia="仿宋_GB2312"/>
          <w:b w:val="0"/>
          <w:sz w:val="32"/>
        </w:rPr>
        <w:t>2024年度政府采购支出总额101.46万元，其中：政府采购货物支出1.17万元、政府采购工程支出0.00万元、政府采购服务支出100.29万元。</w:t>
      </w:r>
    </w:p>
    <w:p w14:paraId="1F382CF1">
      <w:pPr>
        <w:spacing w:line="580" w:lineRule="exact"/>
        <w:ind w:firstLine="640"/>
        <w:jc w:val="both"/>
      </w:pPr>
      <w:r>
        <w:rPr>
          <w:rFonts w:ascii="仿宋_GB2312" w:hAnsi="仿宋_GB2312" w:eastAsia="仿宋_GB2312"/>
          <w:b w:val="0"/>
          <w:sz w:val="32"/>
        </w:rPr>
        <w:t>授予中小企业合同金额101.46万元，占政府采购支出总额的100.00%，其中：授予小微企业合同金额101.46万元，占政府采购支出总额的100.00%。</w:t>
      </w:r>
    </w:p>
    <w:p w14:paraId="1B0B1D81">
      <w:pPr>
        <w:spacing w:line="640" w:lineRule="exact"/>
        <w:ind w:firstLine="640"/>
        <w:jc w:val="both"/>
        <w:outlineLvl w:val="3"/>
      </w:pPr>
      <w:r>
        <w:rPr>
          <w:rFonts w:ascii="楷体_GB2312" w:hAnsi="楷体_GB2312" w:eastAsia="楷体_GB2312"/>
          <w:b/>
          <w:sz w:val="32"/>
        </w:rPr>
        <w:t>（三）国有资产占用情况说明</w:t>
      </w:r>
    </w:p>
    <w:p w14:paraId="01F0CAD1">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CE0C6F6">
      <w:pPr>
        <w:spacing w:line="640" w:lineRule="exact"/>
        <w:ind w:firstLine="640"/>
        <w:jc w:val="both"/>
        <w:outlineLvl w:val="2"/>
      </w:pPr>
      <w:r>
        <w:rPr>
          <w:rFonts w:ascii="黑体" w:hAnsi="黑体" w:eastAsia="黑体"/>
          <w:sz w:val="32"/>
        </w:rPr>
        <w:t>十一、预算绩效的情况说明</w:t>
      </w:r>
    </w:p>
    <w:p w14:paraId="1BA81C9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579.14万元，实际执行总额579.14万元；预算绩效评价项目2个，全年预算数221.73万元，全年执行数221.73万元。预算绩效管理取得的成效：一是合理合规使用项目经费。根据项目业务流程，参考历年经费使用情况，认真测算各阶段所需经费，确保当前项目实施经费充足；二是在经费使用方面，严格执行经费使用管理制度，厉行节约，专款专用，对每笔经费使用情况建立监督机制，确保经费使用合理合规。发现的问题及原因：一是绩效指标的明确性、可衡量性、相关性还需进一步提升；二是预算精细化管理还需完善，预算编制管理水平仍有进一步提升的空间。下一步改进措施：进一步健全和完善项目建后管护机制，落实管护经费，明确管护主体和管护责任，建设与管护机制建立同步考虑，同步推进，确保项目运行正常。具体附整体支出绩效自评表，项目支出绩效自评表和评价报告。</w:t>
      </w:r>
    </w:p>
    <w:p w14:paraId="62A5344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1526AE9">
        <w:tblPrEx>
          <w:tblCellMar>
            <w:top w:w="0" w:type="dxa"/>
            <w:left w:w="108" w:type="dxa"/>
            <w:bottom w:w="0" w:type="dxa"/>
            <w:right w:w="108" w:type="dxa"/>
          </w:tblCellMar>
        </w:tblPrEx>
        <w:tc>
          <w:tcPr>
            <w:tcW w:w="8847" w:type="dxa"/>
            <w:gridSpan w:val="9"/>
            <w:vAlign w:val="center"/>
          </w:tcPr>
          <w:p w14:paraId="27E89241">
            <w:pPr>
              <w:jc w:val="center"/>
            </w:pPr>
            <w:r>
              <w:rPr>
                <w:rFonts w:ascii="宋体" w:hAnsi="宋体" w:eastAsia="宋体"/>
                <w:sz w:val="24"/>
              </w:rPr>
              <w:t>单位整体支出绩效自评表</w:t>
            </w:r>
          </w:p>
        </w:tc>
      </w:tr>
      <w:tr w14:paraId="5058128E">
        <w:tblPrEx>
          <w:tblCellMar>
            <w:top w:w="0" w:type="dxa"/>
            <w:left w:w="108" w:type="dxa"/>
            <w:bottom w:w="0" w:type="dxa"/>
            <w:right w:w="108" w:type="dxa"/>
          </w:tblCellMar>
        </w:tblPrEx>
        <w:tc>
          <w:tcPr>
            <w:tcW w:w="8847" w:type="dxa"/>
            <w:gridSpan w:val="9"/>
            <w:vAlign w:val="center"/>
          </w:tcPr>
          <w:p w14:paraId="5D87A7C3">
            <w:pPr>
              <w:jc w:val="center"/>
            </w:pPr>
            <w:r>
              <w:rPr>
                <w:rFonts w:ascii="宋体" w:hAnsi="宋体" w:eastAsia="宋体"/>
                <w:sz w:val="24"/>
              </w:rPr>
              <w:t>（2024年度）</w:t>
            </w:r>
          </w:p>
        </w:tc>
      </w:tr>
      <w:tr w14:paraId="58ACF91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50DEC">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099CA82">
            <w:pPr>
              <w:jc w:val="center"/>
            </w:pPr>
            <w:r>
              <w:rPr>
                <w:rFonts w:ascii="宋体" w:hAnsi="宋体" w:eastAsia="宋体"/>
                <w:sz w:val="16"/>
              </w:rPr>
              <w:t>民丰县应急管理局</w:t>
            </w:r>
          </w:p>
        </w:tc>
      </w:tr>
      <w:tr w14:paraId="2DC3517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5B3A1">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8CE3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2893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D5C9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BC46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6568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518B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43FE1">
            <w:pPr>
              <w:jc w:val="center"/>
            </w:pPr>
            <w:r>
              <w:rPr>
                <w:rFonts w:ascii="宋体" w:hAnsi="宋体" w:eastAsia="宋体"/>
                <w:sz w:val="16"/>
              </w:rPr>
              <w:t>得分</w:t>
            </w:r>
          </w:p>
        </w:tc>
      </w:tr>
      <w:tr w14:paraId="38144E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FF40F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CDF1BC">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DB945">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260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3BA0E">
            <w:pPr>
              <w:jc w:val="center"/>
            </w:pPr>
            <w:r>
              <w:rPr>
                <w:rFonts w:ascii="宋体" w:hAnsi="宋体" w:eastAsia="宋体"/>
                <w:sz w:val="16"/>
              </w:rPr>
              <w:t>66.86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ADC81">
            <w:pPr>
              <w:jc w:val="center"/>
            </w:pPr>
            <w:r>
              <w:rPr>
                <w:rFonts w:ascii="宋体" w:hAnsi="宋体" w:eastAsia="宋体"/>
                <w:sz w:val="16"/>
              </w:rPr>
              <w:t>66.86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4553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8E4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40D2E">
            <w:pPr>
              <w:jc w:val="center"/>
            </w:pPr>
            <w:r>
              <w:rPr>
                <w:rFonts w:ascii="宋体" w:hAnsi="宋体" w:eastAsia="宋体"/>
                <w:sz w:val="16"/>
              </w:rPr>
              <w:t>-</w:t>
            </w:r>
          </w:p>
        </w:tc>
      </w:tr>
      <w:tr w14:paraId="487FF9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E8EB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46A9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C8C74">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995A1">
            <w:pPr>
              <w:jc w:val="center"/>
            </w:pPr>
            <w:r>
              <w:rPr>
                <w:rFonts w:ascii="宋体" w:hAnsi="宋体" w:eastAsia="宋体"/>
                <w:sz w:val="16"/>
              </w:rPr>
              <w:t>512.28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142FA">
            <w:pPr>
              <w:jc w:val="center"/>
            </w:pPr>
            <w:r>
              <w:rPr>
                <w:rFonts w:ascii="宋体" w:hAnsi="宋体" w:eastAsia="宋体"/>
                <w:sz w:val="16"/>
              </w:rPr>
              <w:t>512.28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BFBA3">
            <w:pPr>
              <w:jc w:val="center"/>
            </w:pPr>
            <w:r>
              <w:rPr>
                <w:rFonts w:ascii="宋体" w:hAnsi="宋体" w:eastAsia="宋体"/>
                <w:sz w:val="16"/>
              </w:rPr>
              <w:t>512.28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1791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B6E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A742D">
            <w:pPr>
              <w:jc w:val="center"/>
            </w:pPr>
            <w:r>
              <w:rPr>
                <w:rFonts w:ascii="宋体" w:hAnsi="宋体" w:eastAsia="宋体"/>
                <w:sz w:val="16"/>
              </w:rPr>
              <w:t>-</w:t>
            </w:r>
          </w:p>
        </w:tc>
      </w:tr>
      <w:tr w14:paraId="35A6B4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4D45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69B7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88817">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073D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080F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5A67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1AF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34C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36BE2">
            <w:pPr>
              <w:jc w:val="center"/>
            </w:pPr>
            <w:r>
              <w:rPr>
                <w:rFonts w:ascii="宋体" w:hAnsi="宋体" w:eastAsia="宋体"/>
                <w:sz w:val="16"/>
              </w:rPr>
              <w:t>-</w:t>
            </w:r>
          </w:p>
        </w:tc>
      </w:tr>
      <w:tr w14:paraId="5BE878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7F11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D1B31">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F6F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8357B">
            <w:pPr>
              <w:jc w:val="center"/>
            </w:pPr>
            <w:r>
              <w:rPr>
                <w:rFonts w:ascii="宋体" w:hAnsi="宋体" w:eastAsia="宋体"/>
                <w:sz w:val="16"/>
              </w:rPr>
              <w:t>512.28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47FB4">
            <w:pPr>
              <w:jc w:val="center"/>
            </w:pPr>
            <w:r>
              <w:rPr>
                <w:rFonts w:ascii="宋体" w:hAnsi="宋体" w:eastAsia="宋体"/>
                <w:sz w:val="16"/>
              </w:rPr>
              <w:t>579.14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7E6D6">
            <w:pPr>
              <w:jc w:val="center"/>
            </w:pPr>
            <w:r>
              <w:rPr>
                <w:rFonts w:ascii="宋体" w:hAnsi="宋体" w:eastAsia="宋体"/>
                <w:sz w:val="16"/>
              </w:rPr>
              <w:t>579.14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0A2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E2E68">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A3226">
            <w:pPr>
              <w:jc w:val="center"/>
            </w:pPr>
            <w:r>
              <w:rPr>
                <w:rFonts w:ascii="宋体" w:hAnsi="宋体" w:eastAsia="宋体"/>
                <w:sz w:val="16"/>
              </w:rPr>
              <w:t>10</w:t>
            </w:r>
          </w:p>
        </w:tc>
      </w:tr>
      <w:tr w14:paraId="0740867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6E4D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A3D6C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E368A6">
            <w:pPr>
              <w:jc w:val="center"/>
            </w:pPr>
            <w:r>
              <w:rPr>
                <w:rFonts w:ascii="宋体" w:hAnsi="宋体" w:eastAsia="宋体"/>
                <w:sz w:val="16"/>
              </w:rPr>
              <w:t>实际完成情况</w:t>
            </w:r>
          </w:p>
        </w:tc>
      </w:tr>
      <w:tr w14:paraId="2FADC2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DB045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3AB9D1">
            <w:pPr>
              <w:jc w:val="both"/>
            </w:pPr>
            <w:r>
              <w:rPr>
                <w:rFonts w:ascii="宋体" w:hAnsi="宋体" w:eastAsia="宋体"/>
                <w:sz w:val="16"/>
              </w:rPr>
              <w:t xml:space="preserve">目标1：全面贯彻落实国家、自治区及地区关于安全生产工作的各项决策部署，建立和完善安全生产工作长效机制，促进安全生产形势稳定好转。抓好全县重点监督检查企业安全生产检查，每年开展安全生产检查不少于28次，对全县重点企业开展安全生产培训不少于12次，推动线上线下安全生产常态化、规范化监管，切实加强安全风险分级管控和隐患排查治理，重点监督检查企业4家。                                                                                                         目标2：坚持依法监管，强化从严执法，依法查处各类安全生产违法违规行为。推动企业严格履行安全生产主体责任。                                                                                 目标3：保障退休干部基本生活补贴，体现单位社会责任感，营造积极阳光向上良好的生活氛围，增强单位与退休队伍的凝聚力。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w:t>
            </w:r>
            <w:r>
              <w:rPr>
                <w:rFonts w:hint="eastAsia" w:ascii="宋体" w:hAnsi="宋体"/>
                <w:sz w:val="16"/>
                <w:lang w:eastAsia="zh-CN"/>
              </w:rPr>
              <w:t>:通</w:t>
            </w:r>
            <w:r>
              <w:rPr>
                <w:rFonts w:ascii="宋体" w:hAnsi="宋体" w:eastAsia="宋体"/>
                <w:sz w:val="16"/>
              </w:rPr>
              <w:t>过本单位工作的开展，增强了人民群众的安全意识，保障了全县安全生产形势持续稳定发展。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C8C6D5">
            <w:pPr>
              <w:jc w:val="both"/>
            </w:pPr>
            <w:r>
              <w:rPr>
                <w:rFonts w:ascii="宋体" w:hAnsi="宋体" w:eastAsia="宋体"/>
                <w:sz w:val="16"/>
              </w:rPr>
              <w:t>截至目前，已完成全面贯彻落实国家、自治区及地区关于安全生产工作的各项决策部署，建立和完善安全生产工作长效机制，促进安全生产形势稳定好转。抓好全县重点监督检查企业安全生产检查，每年开展安全生产检查不少于28次，对全县重点企业开展安全生产培训不少于12次，推动线上线下安全生产常态化、规范化监管，切实加强安全风险分级管控和隐患排查治理，重点监督检查企业4家；坚持依法监管，强化从严执法，依法查处各类安全生产违法违规行为。推动企业严格履行安全生产主体责任；保障退休干部基本生活补贴，体现单位社会责任感，营造积极阳光向上良好的生活氛围，增强单位与退休队伍的凝聚力</w:t>
            </w:r>
            <w:r>
              <w:rPr>
                <w:rFonts w:hint="eastAsia" w:ascii="宋体" w:hAnsi="宋体"/>
                <w:sz w:val="16"/>
                <w:lang w:eastAsia="zh-CN"/>
              </w:rPr>
              <w:t>；通</w:t>
            </w:r>
            <w:r>
              <w:rPr>
                <w:rFonts w:ascii="宋体" w:hAnsi="宋体" w:eastAsia="宋体"/>
                <w:sz w:val="16"/>
              </w:rPr>
              <w:t>过本单位工作的开展，增强了人民群众的安全意识，保障了全县安全生产形势持续稳定发展。</w:t>
            </w:r>
          </w:p>
        </w:tc>
      </w:tr>
      <w:tr w14:paraId="3B4B57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F030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9E501">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1AC6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79E02">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B589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8529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70CA0">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29EF2">
            <w:pPr>
              <w:jc w:val="center"/>
            </w:pPr>
            <w:r>
              <w:rPr>
                <w:rFonts w:ascii="宋体" w:hAnsi="宋体" w:eastAsia="宋体"/>
                <w:sz w:val="16"/>
              </w:rPr>
              <w:t>得分</w:t>
            </w:r>
          </w:p>
        </w:tc>
      </w:tr>
      <w:tr w14:paraId="5E03D41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D4B3F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19634">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D4051">
            <w:pPr>
              <w:jc w:val="center"/>
            </w:pPr>
            <w:r>
              <w:rPr>
                <w:rFonts w:ascii="宋体" w:hAnsi="宋体" w:eastAsia="宋体"/>
                <w:sz w:val="16"/>
              </w:rPr>
              <w:t>冬春救助户数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73E61">
            <w:pPr>
              <w:jc w:val="center"/>
            </w:pPr>
            <w:r>
              <w:rPr>
                <w:rFonts w:ascii="宋体" w:hAnsi="宋体" w:eastAsia="宋体"/>
                <w:sz w:val="16"/>
              </w:rPr>
              <w:t>&gt;=1990户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3C7C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E285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00F5B">
            <w:pPr>
              <w:jc w:val="center"/>
            </w:pPr>
            <w:r>
              <w:rPr>
                <w:rFonts w:ascii="宋体" w:hAnsi="宋体" w:eastAsia="宋体"/>
                <w:sz w:val="16"/>
              </w:rPr>
              <w:t>1990户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57A80">
            <w:pPr>
              <w:jc w:val="center"/>
            </w:pPr>
            <w:r>
              <w:rPr>
                <w:rFonts w:ascii="宋体" w:hAnsi="宋体" w:eastAsia="宋体"/>
                <w:sz w:val="16"/>
              </w:rPr>
              <w:t>20</w:t>
            </w:r>
          </w:p>
        </w:tc>
      </w:tr>
      <w:tr w14:paraId="3EF9EC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1E19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74308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A6DE6">
            <w:pPr>
              <w:jc w:val="center"/>
            </w:pPr>
            <w:r>
              <w:rPr>
                <w:rFonts w:ascii="宋体" w:hAnsi="宋体" w:eastAsia="宋体"/>
                <w:sz w:val="16"/>
              </w:rPr>
              <w:t>保障单位车辆运行数量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20EEB">
            <w:pPr>
              <w:jc w:val="center"/>
            </w:pPr>
            <w:r>
              <w:rPr>
                <w:rFonts w:ascii="宋体" w:hAnsi="宋体" w:eastAsia="宋体"/>
                <w:sz w:val="16"/>
              </w:rPr>
              <w:t>=1辆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4CE4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3BB0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661B5">
            <w:pPr>
              <w:jc w:val="center"/>
            </w:pPr>
            <w:r>
              <w:rPr>
                <w:rFonts w:ascii="宋体" w:hAnsi="宋体" w:eastAsia="宋体"/>
                <w:sz w:val="16"/>
              </w:rPr>
              <w:t>1辆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0F588">
            <w:pPr>
              <w:jc w:val="center"/>
            </w:pPr>
            <w:r>
              <w:rPr>
                <w:rFonts w:ascii="宋体" w:hAnsi="宋体" w:eastAsia="宋体"/>
                <w:sz w:val="16"/>
              </w:rPr>
              <w:t>20</w:t>
            </w:r>
          </w:p>
        </w:tc>
      </w:tr>
      <w:tr w14:paraId="77A08E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AFAF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ECBF5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657DD">
            <w:pPr>
              <w:jc w:val="center"/>
            </w:pPr>
            <w:r>
              <w:rPr>
                <w:rFonts w:ascii="宋体" w:hAnsi="宋体" w:eastAsia="宋体"/>
                <w:sz w:val="16"/>
              </w:rPr>
              <w:t>重点监督检查企业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51369">
            <w:pPr>
              <w:jc w:val="center"/>
            </w:pPr>
            <w:r>
              <w:rPr>
                <w:rFonts w:ascii="宋体" w:hAnsi="宋体" w:eastAsia="宋体"/>
                <w:sz w:val="16"/>
              </w:rPr>
              <w:t>=6家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6CF24">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5F57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FB456">
            <w:pPr>
              <w:jc w:val="center"/>
            </w:pPr>
            <w:r>
              <w:rPr>
                <w:rFonts w:ascii="宋体" w:hAnsi="宋体" w:eastAsia="宋体"/>
                <w:sz w:val="16"/>
              </w:rPr>
              <w:t>6家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FE6EB">
            <w:pPr>
              <w:jc w:val="center"/>
            </w:pPr>
            <w:r>
              <w:rPr>
                <w:rFonts w:ascii="宋体" w:hAnsi="宋体" w:eastAsia="宋体"/>
                <w:sz w:val="16"/>
              </w:rPr>
              <w:t>20</w:t>
            </w:r>
          </w:p>
        </w:tc>
      </w:tr>
      <w:tr w14:paraId="5911D6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003A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51B7F">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F94FE">
            <w:pPr>
              <w:jc w:val="center"/>
            </w:pPr>
            <w:r>
              <w:rPr>
                <w:rFonts w:ascii="宋体" w:hAnsi="宋体" w:eastAsia="宋体"/>
                <w:sz w:val="16"/>
              </w:rPr>
              <w:t>应急救援保障率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F47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D5A1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7C4E4">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229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51006">
            <w:pPr>
              <w:jc w:val="center"/>
            </w:pPr>
            <w:r>
              <w:rPr>
                <w:rFonts w:ascii="宋体" w:hAnsi="宋体" w:eastAsia="宋体"/>
                <w:sz w:val="16"/>
              </w:rPr>
              <w:t>30</w:t>
            </w:r>
          </w:p>
        </w:tc>
      </w:tr>
    </w:tbl>
    <w:p w14:paraId="235DB2D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12C7685">
        <w:tc>
          <w:tcPr>
            <w:tcW w:w="8847" w:type="dxa"/>
            <w:gridSpan w:val="9"/>
            <w:vAlign w:val="center"/>
          </w:tcPr>
          <w:p w14:paraId="5CBC9806">
            <w:pPr>
              <w:jc w:val="center"/>
            </w:pPr>
            <w:r>
              <w:rPr>
                <w:rFonts w:ascii="宋体" w:hAnsi="宋体" w:eastAsia="宋体"/>
                <w:sz w:val="24"/>
              </w:rPr>
              <w:t>项目支出绩效自评表</w:t>
            </w:r>
          </w:p>
        </w:tc>
      </w:tr>
      <w:tr w14:paraId="0A200E52">
        <w:tblPrEx>
          <w:tblCellMar>
            <w:top w:w="0" w:type="dxa"/>
            <w:left w:w="108" w:type="dxa"/>
            <w:bottom w:w="0" w:type="dxa"/>
            <w:right w:w="108" w:type="dxa"/>
          </w:tblCellMar>
        </w:tblPrEx>
        <w:tc>
          <w:tcPr>
            <w:tcW w:w="8847" w:type="dxa"/>
            <w:gridSpan w:val="9"/>
            <w:vAlign w:val="center"/>
          </w:tcPr>
          <w:p w14:paraId="1F090631">
            <w:pPr>
              <w:jc w:val="center"/>
            </w:pPr>
            <w:r>
              <w:rPr>
                <w:rFonts w:ascii="宋体" w:hAnsi="宋体" w:eastAsia="宋体"/>
                <w:sz w:val="24"/>
              </w:rPr>
              <w:t>(2024年度)</w:t>
            </w:r>
          </w:p>
        </w:tc>
      </w:tr>
      <w:tr w14:paraId="29D545D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B837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363BCCB">
            <w:pPr>
              <w:jc w:val="center"/>
            </w:pPr>
            <w:r>
              <w:rPr>
                <w:rFonts w:ascii="宋体" w:hAnsi="宋体" w:eastAsia="宋体"/>
                <w:sz w:val="16"/>
              </w:rPr>
              <w:t>2023年中央自然灾害救灾资金（冬春临时生活困难救助资金）（结转）</w:t>
            </w:r>
          </w:p>
        </w:tc>
      </w:tr>
      <w:tr w14:paraId="2306C9A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DE67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527601">
            <w:pPr>
              <w:jc w:val="center"/>
            </w:pPr>
            <w:r>
              <w:rPr>
                <w:rFonts w:ascii="宋体" w:hAnsi="宋体" w:eastAsia="宋体"/>
                <w:sz w:val="16"/>
              </w:rPr>
              <w:t>民丰县应急管理局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458C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42DBB3">
            <w:pPr>
              <w:jc w:val="center"/>
            </w:pPr>
            <w:r>
              <w:rPr>
                <w:rFonts w:ascii="宋体" w:hAnsi="宋体" w:eastAsia="宋体"/>
                <w:sz w:val="16"/>
              </w:rPr>
              <w:t>民丰县应急管理局</w:t>
            </w:r>
          </w:p>
        </w:tc>
      </w:tr>
      <w:tr w14:paraId="4DF5EC0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E175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B6EC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5D49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E07E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C1EF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516E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0A16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07071">
            <w:pPr>
              <w:jc w:val="center"/>
            </w:pPr>
            <w:r>
              <w:rPr>
                <w:rFonts w:ascii="宋体" w:hAnsi="宋体" w:eastAsia="宋体"/>
                <w:sz w:val="16"/>
              </w:rPr>
              <w:t>得分</w:t>
            </w:r>
          </w:p>
        </w:tc>
      </w:tr>
      <w:tr w14:paraId="7BC348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8C7FF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A69B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BC942">
            <w:pPr>
              <w:jc w:val="center"/>
            </w:pPr>
            <w:r>
              <w:rPr>
                <w:rFonts w:ascii="宋体" w:hAnsi="宋体" w:eastAsia="宋体"/>
                <w:sz w:val="16"/>
              </w:rPr>
              <w:t>221.49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DC9E2">
            <w:pPr>
              <w:jc w:val="center"/>
            </w:pPr>
            <w:r>
              <w:rPr>
                <w:rFonts w:ascii="宋体" w:hAnsi="宋体" w:eastAsia="宋体"/>
                <w:sz w:val="16"/>
              </w:rPr>
              <w:t>221.49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9BB06">
            <w:pPr>
              <w:jc w:val="center"/>
            </w:pPr>
            <w:r>
              <w:rPr>
                <w:rFonts w:ascii="宋体" w:hAnsi="宋体" w:eastAsia="宋体"/>
                <w:sz w:val="16"/>
              </w:rPr>
              <w:t>221.49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36C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3F972">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BBA20">
            <w:pPr>
              <w:jc w:val="center"/>
            </w:pPr>
            <w:r>
              <w:rPr>
                <w:rFonts w:ascii="宋体" w:hAnsi="宋体" w:eastAsia="宋体"/>
                <w:sz w:val="16"/>
              </w:rPr>
              <w:t>10.00分</w:t>
            </w:r>
          </w:p>
        </w:tc>
      </w:tr>
      <w:tr w14:paraId="754845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CAC1E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5D21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B134C">
            <w:pPr>
              <w:jc w:val="center"/>
            </w:pPr>
            <w:r>
              <w:rPr>
                <w:rFonts w:ascii="宋体" w:hAnsi="宋体" w:eastAsia="宋体"/>
                <w:sz w:val="16"/>
              </w:rPr>
              <w:t>221.49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AF8C8">
            <w:pPr>
              <w:jc w:val="center"/>
            </w:pPr>
            <w:r>
              <w:rPr>
                <w:rFonts w:ascii="宋体" w:hAnsi="宋体" w:eastAsia="宋体"/>
                <w:sz w:val="16"/>
              </w:rPr>
              <w:t>221.49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96FA6">
            <w:pPr>
              <w:jc w:val="center"/>
            </w:pPr>
            <w:r>
              <w:rPr>
                <w:rFonts w:ascii="宋体" w:hAnsi="宋体" w:eastAsia="宋体"/>
                <w:sz w:val="16"/>
              </w:rPr>
              <w:t>221.49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39DF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4131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2D346">
            <w:pPr>
              <w:jc w:val="center"/>
            </w:pPr>
            <w:r>
              <w:rPr>
                <w:rFonts w:ascii="宋体" w:hAnsi="宋体" w:eastAsia="宋体"/>
                <w:sz w:val="16"/>
              </w:rPr>
              <w:t>—</w:t>
            </w:r>
          </w:p>
        </w:tc>
      </w:tr>
      <w:tr w14:paraId="57FC5E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A7671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C0C5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F2F7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220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4BC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0833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CD0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AB9C7">
            <w:pPr>
              <w:jc w:val="center"/>
            </w:pPr>
            <w:r>
              <w:rPr>
                <w:rFonts w:ascii="宋体" w:hAnsi="宋体" w:eastAsia="宋体"/>
                <w:sz w:val="16"/>
              </w:rPr>
              <w:t>—</w:t>
            </w:r>
          </w:p>
        </w:tc>
      </w:tr>
      <w:tr w14:paraId="22FCCD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7CFC8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B611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027F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5BA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9E30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3B5E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B42A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C2FA3">
            <w:pPr>
              <w:jc w:val="center"/>
            </w:pPr>
            <w:r>
              <w:rPr>
                <w:rFonts w:ascii="宋体" w:hAnsi="宋体" w:eastAsia="宋体"/>
                <w:sz w:val="16"/>
              </w:rPr>
              <w:t>—</w:t>
            </w:r>
          </w:p>
        </w:tc>
      </w:tr>
      <w:tr w14:paraId="180773F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CE39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D0B7D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9767D2">
            <w:pPr>
              <w:jc w:val="center"/>
            </w:pPr>
            <w:r>
              <w:rPr>
                <w:rFonts w:ascii="宋体" w:hAnsi="宋体" w:eastAsia="宋体"/>
                <w:sz w:val="16"/>
              </w:rPr>
              <w:t>实际完成情况</w:t>
            </w:r>
          </w:p>
        </w:tc>
      </w:tr>
      <w:tr w14:paraId="2C60D0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EA909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8E11B4">
            <w:pPr>
              <w:jc w:val="both"/>
            </w:pPr>
            <w:r>
              <w:rPr>
                <w:rFonts w:ascii="宋体" w:hAnsi="宋体" w:eastAsia="宋体"/>
                <w:sz w:val="16"/>
              </w:rPr>
              <w:t>根据和地财建</w:t>
            </w:r>
            <w:r>
              <w:rPr>
                <w:rFonts w:hint="eastAsia" w:ascii="宋体" w:hAnsi="宋体"/>
                <w:sz w:val="16"/>
                <w:lang w:eastAsia="zh-CN"/>
              </w:rPr>
              <w:t>〔2023〕109号</w:t>
            </w:r>
            <w:r>
              <w:rPr>
                <w:rFonts w:ascii="宋体" w:hAnsi="宋体" w:eastAsia="宋体"/>
                <w:sz w:val="16"/>
              </w:rPr>
              <w:t>文件要求，实施本项目主要内容：为我县6个乡镇受到自然灾害的1990户、冬春救助5907人农民发放冬春救助资金。通过开展冬春救助工作后，自然灾害生活补助资金起到了救灾救济救急的作用，完成了我县受灾困难群众冬春生活补助，共救助151户，确保受灾困难群众基本生活和安全过冬。</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2F63F4">
            <w:pPr>
              <w:jc w:val="both"/>
            </w:pPr>
            <w:r>
              <w:rPr>
                <w:rFonts w:hint="eastAsia" w:ascii="宋体" w:hAnsi="宋体"/>
                <w:sz w:val="16"/>
                <w:lang w:eastAsia="zh-CN"/>
              </w:rPr>
              <w:t>截至</w:t>
            </w:r>
            <w:r>
              <w:rPr>
                <w:rFonts w:ascii="宋体" w:hAnsi="宋体" w:eastAsia="宋体"/>
                <w:sz w:val="16"/>
              </w:rPr>
              <w:t>2024年12月31日前这笔钱全县受灾群众6个乡镇受到自然灾害的1990户、冬春救助5907人农民已发放到位。已完成了我县受灾困难群众冬春生活补助，共救助151户，确保受灾困难群众基本生活和安全过冬。</w:t>
            </w:r>
          </w:p>
        </w:tc>
      </w:tr>
      <w:tr w14:paraId="3F4DA13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3B2D0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E47D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0333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6772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F304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C418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2DF6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8A02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E4641">
            <w:pPr>
              <w:jc w:val="center"/>
            </w:pPr>
            <w:r>
              <w:rPr>
                <w:rFonts w:ascii="宋体" w:hAnsi="宋体" w:eastAsia="宋体"/>
                <w:sz w:val="16"/>
              </w:rPr>
              <w:t>偏差原因分析及改进措施</w:t>
            </w:r>
          </w:p>
        </w:tc>
      </w:tr>
      <w:tr w14:paraId="250766A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B87C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68E8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2C766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B8724">
            <w:pPr>
              <w:jc w:val="center"/>
            </w:pPr>
            <w:r>
              <w:rPr>
                <w:rFonts w:ascii="宋体" w:hAnsi="宋体" w:eastAsia="宋体"/>
                <w:sz w:val="16"/>
              </w:rPr>
              <w:t>冬春救助人数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43C2F">
            <w:pPr>
              <w:jc w:val="center"/>
            </w:pPr>
            <w:r>
              <w:rPr>
                <w:rFonts w:ascii="宋体" w:hAnsi="宋体" w:eastAsia="宋体"/>
                <w:sz w:val="16"/>
              </w:rPr>
              <w:t>&gt;=5907人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8F82C">
            <w:pPr>
              <w:jc w:val="center"/>
            </w:pPr>
            <w:r>
              <w:rPr>
                <w:rFonts w:ascii="宋体" w:hAnsi="宋体" w:eastAsia="宋体"/>
                <w:sz w:val="16"/>
              </w:rPr>
              <w:t>=5907人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6A787">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9F894">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47D61">
            <w:pPr>
              <w:jc w:val="center"/>
            </w:pPr>
          </w:p>
        </w:tc>
      </w:tr>
      <w:tr w14:paraId="395C22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6B4B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D03F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6332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DEC13">
            <w:pPr>
              <w:jc w:val="center"/>
            </w:pPr>
            <w:r>
              <w:rPr>
                <w:rFonts w:ascii="宋体" w:hAnsi="宋体" w:eastAsia="宋体"/>
                <w:sz w:val="16"/>
              </w:rPr>
              <w:t>冬春救助户数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6DA4F">
            <w:pPr>
              <w:jc w:val="center"/>
            </w:pPr>
            <w:r>
              <w:rPr>
                <w:rFonts w:ascii="宋体" w:hAnsi="宋体" w:eastAsia="宋体"/>
                <w:sz w:val="16"/>
              </w:rPr>
              <w:t>&gt;=1990户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341E2">
            <w:pPr>
              <w:jc w:val="center"/>
            </w:pPr>
            <w:r>
              <w:rPr>
                <w:rFonts w:ascii="宋体" w:hAnsi="宋体" w:eastAsia="宋体"/>
                <w:sz w:val="16"/>
              </w:rPr>
              <w:t>=1990户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1C147">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AF3C9">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2EF27">
            <w:pPr>
              <w:jc w:val="center"/>
            </w:pPr>
          </w:p>
        </w:tc>
      </w:tr>
      <w:tr w14:paraId="20838A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7078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F0FD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E13E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90812">
            <w:pPr>
              <w:jc w:val="center"/>
            </w:pPr>
            <w:r>
              <w:rPr>
                <w:rFonts w:ascii="宋体" w:hAnsi="宋体" w:eastAsia="宋体"/>
                <w:sz w:val="16"/>
              </w:rPr>
              <w:t>冬春救助涉及乡镇数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8FB56">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C7CE3">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DAB4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A433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2BD8C">
            <w:pPr>
              <w:jc w:val="center"/>
            </w:pPr>
          </w:p>
        </w:tc>
      </w:tr>
      <w:tr w14:paraId="216701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C22A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A2D2C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40FA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640BF">
            <w:pPr>
              <w:jc w:val="center"/>
            </w:pPr>
            <w:r>
              <w:rPr>
                <w:rFonts w:ascii="宋体" w:hAnsi="宋体" w:eastAsia="宋体"/>
                <w:sz w:val="16"/>
              </w:rPr>
              <w:t>冬春救助覆盖率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6A7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CAC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C3EF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2730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2C8F9">
            <w:pPr>
              <w:jc w:val="center"/>
            </w:pPr>
          </w:p>
        </w:tc>
      </w:tr>
      <w:tr w14:paraId="430AC8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DC2AA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42FE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DC97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7E857">
            <w:pPr>
              <w:jc w:val="center"/>
            </w:pPr>
            <w:r>
              <w:rPr>
                <w:rFonts w:ascii="宋体" w:hAnsi="宋体" w:eastAsia="宋体"/>
                <w:sz w:val="16"/>
              </w:rPr>
              <w:t>救助资金发放准确率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03D6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8D8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E378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2AB8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72CE7">
            <w:pPr>
              <w:jc w:val="center"/>
            </w:pPr>
          </w:p>
        </w:tc>
      </w:tr>
      <w:tr w14:paraId="069FD8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85BF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8C37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D858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7B027">
            <w:pPr>
              <w:jc w:val="center"/>
            </w:pPr>
            <w:r>
              <w:rPr>
                <w:rFonts w:ascii="宋体" w:hAnsi="宋体" w:eastAsia="宋体"/>
                <w:sz w:val="16"/>
              </w:rPr>
              <w:t>冬春救助工作按期完成率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D8A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BFA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2653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A9FF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E1715">
            <w:pPr>
              <w:jc w:val="center"/>
            </w:pPr>
          </w:p>
        </w:tc>
      </w:tr>
      <w:tr w14:paraId="5C230C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2DF23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934F3">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93C3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87F73">
            <w:pPr>
              <w:jc w:val="center"/>
            </w:pPr>
            <w:r>
              <w:rPr>
                <w:rFonts w:ascii="宋体" w:hAnsi="宋体" w:eastAsia="宋体"/>
                <w:sz w:val="16"/>
              </w:rPr>
              <w:t>项目受益户数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C0902">
            <w:pPr>
              <w:jc w:val="center"/>
            </w:pPr>
            <w:r>
              <w:rPr>
                <w:rFonts w:ascii="宋体" w:hAnsi="宋体" w:eastAsia="宋体"/>
                <w:sz w:val="16"/>
              </w:rPr>
              <w:t>&gt;=1990户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496EA">
            <w:pPr>
              <w:jc w:val="center"/>
            </w:pPr>
            <w:r>
              <w:rPr>
                <w:rFonts w:ascii="宋体" w:hAnsi="宋体" w:eastAsia="宋体"/>
                <w:sz w:val="16"/>
              </w:rPr>
              <w:t>=1990户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D532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6D31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479AB">
            <w:pPr>
              <w:jc w:val="center"/>
            </w:pPr>
          </w:p>
        </w:tc>
      </w:tr>
      <w:tr w14:paraId="20DA8D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C899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43FE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9AC2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9E313">
            <w:pPr>
              <w:jc w:val="center"/>
            </w:pPr>
            <w:r>
              <w:rPr>
                <w:rFonts w:ascii="宋体" w:hAnsi="宋体" w:eastAsia="宋体"/>
                <w:sz w:val="16"/>
              </w:rPr>
              <w:t>安抚受灾群众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9AF3C">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57390">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39F5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DCE3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BAE16">
            <w:pPr>
              <w:jc w:val="center"/>
            </w:pPr>
          </w:p>
        </w:tc>
      </w:tr>
      <w:tr w14:paraId="78C49D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C498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62FD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B386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2DFEF">
            <w:pPr>
              <w:jc w:val="center"/>
            </w:pPr>
            <w:r>
              <w:rPr>
                <w:rFonts w:ascii="宋体" w:hAnsi="宋体" w:eastAsia="宋体"/>
                <w:sz w:val="16"/>
              </w:rPr>
              <w:t>受灾群众满意度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A515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C00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AD6B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3432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330E3">
            <w:pPr>
              <w:jc w:val="center"/>
            </w:pPr>
          </w:p>
        </w:tc>
      </w:tr>
      <w:tr w14:paraId="424D707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B38A6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0FF93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CE4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1D8B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4D2AE88"/>
        </w:tc>
      </w:tr>
    </w:tbl>
    <w:p w14:paraId="41BBC33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359F7E2">
        <w:tblPrEx>
          <w:tblCellMar>
            <w:top w:w="0" w:type="dxa"/>
            <w:left w:w="108" w:type="dxa"/>
            <w:bottom w:w="0" w:type="dxa"/>
            <w:right w:w="108" w:type="dxa"/>
          </w:tblCellMar>
        </w:tblPrEx>
        <w:tc>
          <w:tcPr>
            <w:tcW w:w="8847" w:type="dxa"/>
            <w:gridSpan w:val="9"/>
            <w:vAlign w:val="center"/>
          </w:tcPr>
          <w:p w14:paraId="7CBE2CFB">
            <w:pPr>
              <w:jc w:val="center"/>
            </w:pPr>
            <w:r>
              <w:rPr>
                <w:rFonts w:ascii="宋体" w:hAnsi="宋体" w:eastAsia="宋体"/>
                <w:sz w:val="24"/>
              </w:rPr>
              <w:t>项目支出绩效自评表</w:t>
            </w:r>
          </w:p>
        </w:tc>
      </w:tr>
      <w:tr w14:paraId="2A3DD94A">
        <w:tblPrEx>
          <w:tblCellMar>
            <w:top w:w="0" w:type="dxa"/>
            <w:left w:w="108" w:type="dxa"/>
            <w:bottom w:w="0" w:type="dxa"/>
            <w:right w:w="108" w:type="dxa"/>
          </w:tblCellMar>
        </w:tblPrEx>
        <w:tc>
          <w:tcPr>
            <w:tcW w:w="8847" w:type="dxa"/>
            <w:gridSpan w:val="9"/>
            <w:vAlign w:val="center"/>
          </w:tcPr>
          <w:p w14:paraId="53EB51DF">
            <w:pPr>
              <w:jc w:val="center"/>
            </w:pPr>
            <w:r>
              <w:rPr>
                <w:rFonts w:ascii="宋体" w:hAnsi="宋体" w:eastAsia="宋体"/>
                <w:sz w:val="24"/>
              </w:rPr>
              <w:t>(2024年度)</w:t>
            </w:r>
          </w:p>
        </w:tc>
      </w:tr>
      <w:tr w14:paraId="31B44CE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704C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F3E0520">
            <w:pPr>
              <w:jc w:val="center"/>
            </w:pPr>
            <w:r>
              <w:rPr>
                <w:rFonts w:ascii="宋体" w:hAnsi="宋体" w:eastAsia="宋体"/>
                <w:sz w:val="16"/>
              </w:rPr>
              <w:t>2024年自治区防震减灾“三网一员”工作经费补贴</w:t>
            </w:r>
          </w:p>
        </w:tc>
      </w:tr>
      <w:tr w14:paraId="5BA2F96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FF6D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BC1949">
            <w:pPr>
              <w:jc w:val="center"/>
            </w:pPr>
            <w:r>
              <w:rPr>
                <w:rFonts w:ascii="宋体" w:hAnsi="宋体" w:eastAsia="宋体"/>
                <w:sz w:val="16"/>
              </w:rPr>
              <w:t>民丰县应急管理局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9DF1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013FA9">
            <w:pPr>
              <w:jc w:val="center"/>
            </w:pPr>
            <w:r>
              <w:rPr>
                <w:rFonts w:ascii="宋体" w:hAnsi="宋体" w:eastAsia="宋体"/>
                <w:sz w:val="16"/>
              </w:rPr>
              <w:t>民丰县应急管理局</w:t>
            </w:r>
          </w:p>
        </w:tc>
      </w:tr>
      <w:tr w14:paraId="736D122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F95C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6DA9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B157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4650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4685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AB70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5613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5B646">
            <w:pPr>
              <w:jc w:val="center"/>
            </w:pPr>
            <w:r>
              <w:rPr>
                <w:rFonts w:ascii="宋体" w:hAnsi="宋体" w:eastAsia="宋体"/>
                <w:sz w:val="16"/>
              </w:rPr>
              <w:t>得分</w:t>
            </w:r>
          </w:p>
        </w:tc>
      </w:tr>
      <w:tr w14:paraId="751A1C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2171C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FA7F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D26B8">
            <w:pPr>
              <w:jc w:val="center"/>
            </w:pPr>
            <w:r>
              <w:rPr>
                <w:rFonts w:ascii="宋体" w:hAnsi="宋体" w:eastAsia="宋体"/>
                <w:sz w:val="16"/>
              </w:rPr>
              <w:t>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E2470">
            <w:pPr>
              <w:jc w:val="center"/>
            </w:pPr>
            <w:r>
              <w:rPr>
                <w:rFonts w:ascii="宋体" w:hAnsi="宋体" w:eastAsia="宋体"/>
                <w:sz w:val="16"/>
              </w:rPr>
              <w:t>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868E8">
            <w:pPr>
              <w:jc w:val="center"/>
            </w:pPr>
            <w:r>
              <w:rPr>
                <w:rFonts w:ascii="宋体" w:hAnsi="宋体" w:eastAsia="宋体"/>
                <w:sz w:val="16"/>
              </w:rPr>
              <w:t>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5B8F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6946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5F878">
            <w:pPr>
              <w:jc w:val="center"/>
            </w:pPr>
            <w:r>
              <w:rPr>
                <w:rFonts w:ascii="宋体" w:hAnsi="宋体" w:eastAsia="宋体"/>
                <w:sz w:val="16"/>
              </w:rPr>
              <w:t>10.00分</w:t>
            </w:r>
          </w:p>
        </w:tc>
      </w:tr>
      <w:tr w14:paraId="36695C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36FB6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CECC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2814F">
            <w:pPr>
              <w:jc w:val="center"/>
            </w:pPr>
            <w:r>
              <w:rPr>
                <w:rFonts w:ascii="宋体" w:hAnsi="宋体" w:eastAsia="宋体"/>
                <w:sz w:val="16"/>
              </w:rPr>
              <w:t>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8551C">
            <w:pPr>
              <w:jc w:val="center"/>
            </w:pPr>
            <w:r>
              <w:rPr>
                <w:rFonts w:ascii="宋体" w:hAnsi="宋体" w:eastAsia="宋体"/>
                <w:sz w:val="16"/>
              </w:rPr>
              <w:t>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FD97D">
            <w:pPr>
              <w:jc w:val="center"/>
            </w:pPr>
            <w:r>
              <w:rPr>
                <w:rFonts w:ascii="宋体" w:hAnsi="宋体" w:eastAsia="宋体"/>
                <w:sz w:val="16"/>
              </w:rPr>
              <w:t>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8DC7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886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B42ED">
            <w:pPr>
              <w:jc w:val="center"/>
            </w:pPr>
            <w:r>
              <w:rPr>
                <w:rFonts w:ascii="宋体" w:hAnsi="宋体" w:eastAsia="宋体"/>
                <w:sz w:val="16"/>
              </w:rPr>
              <w:t>—</w:t>
            </w:r>
          </w:p>
        </w:tc>
      </w:tr>
      <w:tr w14:paraId="08B6AE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2CE31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F7F6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B30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9AC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9CF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809B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F51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7A35A">
            <w:pPr>
              <w:jc w:val="center"/>
            </w:pPr>
            <w:r>
              <w:rPr>
                <w:rFonts w:ascii="宋体" w:hAnsi="宋体" w:eastAsia="宋体"/>
                <w:sz w:val="16"/>
              </w:rPr>
              <w:t>—</w:t>
            </w:r>
          </w:p>
        </w:tc>
      </w:tr>
      <w:tr w14:paraId="1705FE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5618C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C802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B4FC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E47D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82B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7C2F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895D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1FE32">
            <w:pPr>
              <w:jc w:val="center"/>
            </w:pPr>
            <w:r>
              <w:rPr>
                <w:rFonts w:ascii="宋体" w:hAnsi="宋体" w:eastAsia="宋体"/>
                <w:sz w:val="16"/>
              </w:rPr>
              <w:t>—</w:t>
            </w:r>
          </w:p>
        </w:tc>
      </w:tr>
      <w:tr w14:paraId="5AC1490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F4FB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33CA9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D26C3A">
            <w:pPr>
              <w:jc w:val="center"/>
            </w:pPr>
            <w:r>
              <w:rPr>
                <w:rFonts w:ascii="宋体" w:hAnsi="宋体" w:eastAsia="宋体"/>
                <w:sz w:val="16"/>
              </w:rPr>
              <w:t>实际完成情况</w:t>
            </w:r>
          </w:p>
        </w:tc>
      </w:tr>
      <w:tr w14:paraId="2CDBDD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B3EBD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205084">
            <w:pPr>
              <w:jc w:val="both"/>
            </w:pPr>
            <w:r>
              <w:rPr>
                <w:rFonts w:ascii="宋体" w:hAnsi="宋体" w:eastAsia="宋体"/>
                <w:sz w:val="16"/>
              </w:rPr>
              <w:t>根据和地财建</w:t>
            </w:r>
            <w:r>
              <w:rPr>
                <w:rFonts w:hint="eastAsia" w:ascii="宋体" w:hAnsi="宋体"/>
                <w:sz w:val="16"/>
                <w:lang w:eastAsia="zh-CN"/>
              </w:rPr>
              <w:t>〔2023〕105号</w:t>
            </w:r>
            <w:r>
              <w:rPr>
                <w:rFonts w:ascii="宋体" w:hAnsi="宋体" w:eastAsia="宋体"/>
                <w:sz w:val="16"/>
              </w:rPr>
              <w:t>文件要求，实施本项目。主要内容：为负责宏观监测点的1名当地居民，发放补贴，补贴标准为200元/人/月。通过项目实施，有效提升社区群众应急避险和自救能力，明显提高对地震应急科普宣传软实力。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717886">
            <w:pPr>
              <w:jc w:val="both"/>
            </w:pPr>
            <w:r>
              <w:rPr>
                <w:rFonts w:hint="eastAsia" w:ascii="宋体" w:hAnsi="宋体"/>
                <w:sz w:val="16"/>
                <w:lang w:eastAsia="zh-CN"/>
              </w:rPr>
              <w:t>截至2024</w:t>
            </w:r>
            <w:r>
              <w:rPr>
                <w:rFonts w:ascii="宋体" w:hAnsi="宋体" w:eastAsia="宋体"/>
                <w:sz w:val="16"/>
              </w:rPr>
              <w:t>年12月31日这笔钱已发放农民手上，宏观</w:t>
            </w:r>
            <w:r>
              <w:rPr>
                <w:rFonts w:hint="eastAsia" w:ascii="宋体" w:hAnsi="宋体"/>
                <w:sz w:val="16"/>
                <w:lang w:eastAsia="zh-CN"/>
              </w:rPr>
              <w:t>监测点</w:t>
            </w:r>
            <w:r>
              <w:rPr>
                <w:rFonts w:ascii="宋体" w:hAnsi="宋体" w:eastAsia="宋体"/>
                <w:sz w:val="16"/>
              </w:rPr>
              <w:t>宏观人员1名，发放补贴次数1次，补贴发放哨点数1个，提升社区群众应急避险和自救能力。</w:t>
            </w:r>
          </w:p>
        </w:tc>
      </w:tr>
      <w:tr w14:paraId="553F4B0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E8D16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B294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5D3E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3928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84DE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F457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27BD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74B2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11D2A">
            <w:pPr>
              <w:jc w:val="center"/>
            </w:pPr>
            <w:r>
              <w:rPr>
                <w:rFonts w:ascii="宋体" w:hAnsi="宋体" w:eastAsia="宋体"/>
                <w:sz w:val="16"/>
              </w:rPr>
              <w:t>偏差原因分析及改进措施</w:t>
            </w:r>
          </w:p>
        </w:tc>
      </w:tr>
      <w:tr w14:paraId="4E0017F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14BD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D4D0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C63C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BD43D">
            <w:pPr>
              <w:jc w:val="center"/>
            </w:pPr>
            <w:r>
              <w:rPr>
                <w:rFonts w:ascii="宋体" w:hAnsi="宋体" w:eastAsia="宋体"/>
                <w:sz w:val="16"/>
              </w:rPr>
              <w:t>全县地震灾情宏观观测哨点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071D6">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BAEEA">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E6A5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426C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3263C">
            <w:pPr>
              <w:jc w:val="center"/>
            </w:pPr>
          </w:p>
        </w:tc>
      </w:tr>
      <w:tr w14:paraId="4299D8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A774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35FB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C327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5F132">
            <w:pPr>
              <w:jc w:val="center"/>
            </w:pPr>
            <w:r>
              <w:rPr>
                <w:rFonts w:ascii="宋体" w:hAnsi="宋体" w:eastAsia="宋体"/>
                <w:sz w:val="16"/>
              </w:rPr>
              <w:t>发放补贴次数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72138">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B8518">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DF37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E01D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3AC8D">
            <w:pPr>
              <w:jc w:val="center"/>
            </w:pPr>
          </w:p>
        </w:tc>
      </w:tr>
      <w:tr w14:paraId="071DD0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66C8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2B88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55D5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562F5">
            <w:pPr>
              <w:jc w:val="center"/>
            </w:pPr>
            <w:r>
              <w:rPr>
                <w:rFonts w:ascii="宋体" w:hAnsi="宋体" w:eastAsia="宋体"/>
                <w:sz w:val="16"/>
              </w:rPr>
              <w:t>补贴发放哨点数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58AE8">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D6CFD">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30FA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D9D5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6FE3E">
            <w:pPr>
              <w:jc w:val="center"/>
            </w:pPr>
          </w:p>
        </w:tc>
      </w:tr>
      <w:tr w14:paraId="2402E6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E447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93C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26D6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1BDA4">
            <w:pPr>
              <w:jc w:val="center"/>
            </w:pPr>
            <w:r>
              <w:rPr>
                <w:rFonts w:ascii="宋体" w:hAnsi="宋体" w:eastAsia="宋体"/>
                <w:sz w:val="16"/>
              </w:rPr>
              <w:t>补贴发放准确率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116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A7DA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7BB8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D508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919E6">
            <w:pPr>
              <w:jc w:val="center"/>
            </w:pPr>
          </w:p>
        </w:tc>
      </w:tr>
      <w:tr w14:paraId="778C94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5C1F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56B57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4861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6F5C1">
            <w:pPr>
              <w:jc w:val="center"/>
            </w:pPr>
            <w:r>
              <w:rPr>
                <w:rFonts w:ascii="宋体" w:hAnsi="宋体" w:eastAsia="宋体"/>
                <w:sz w:val="16"/>
              </w:rPr>
              <w:t>地震应急指挥决策参考时间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71E94">
            <w:pPr>
              <w:jc w:val="center"/>
            </w:pPr>
            <w:r>
              <w:rPr>
                <w:rFonts w:ascii="宋体" w:hAnsi="宋体" w:eastAsia="宋体"/>
                <w:sz w:val="16"/>
              </w:rPr>
              <w:t>&lt;=2小时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2DE21">
            <w:pPr>
              <w:jc w:val="center"/>
            </w:pPr>
            <w:r>
              <w:rPr>
                <w:rFonts w:ascii="宋体" w:hAnsi="宋体" w:eastAsia="宋体"/>
                <w:sz w:val="16"/>
              </w:rPr>
              <w:t>=2小时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3C67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3ABD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6FE07">
            <w:pPr>
              <w:jc w:val="center"/>
            </w:pPr>
          </w:p>
        </w:tc>
      </w:tr>
      <w:tr w14:paraId="50A4D5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001F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ECAB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6570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F9BB8">
            <w:pPr>
              <w:jc w:val="center"/>
            </w:pPr>
            <w:r>
              <w:rPr>
                <w:rFonts w:ascii="宋体" w:hAnsi="宋体" w:eastAsia="宋体"/>
                <w:sz w:val="16"/>
              </w:rPr>
              <w:t>补贴发放及时率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985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244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F24B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D901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09F53">
            <w:pPr>
              <w:jc w:val="center"/>
            </w:pPr>
          </w:p>
        </w:tc>
      </w:tr>
      <w:tr w14:paraId="0B0B24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4837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2831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CC05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BC687">
            <w:pPr>
              <w:jc w:val="center"/>
            </w:pPr>
            <w:r>
              <w:rPr>
                <w:rFonts w:ascii="宋体" w:hAnsi="宋体" w:eastAsia="宋体"/>
                <w:sz w:val="16"/>
              </w:rPr>
              <w:t>宏观观哨点月工作经费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12777">
            <w:pPr>
              <w:jc w:val="center"/>
            </w:pPr>
            <w:r>
              <w:rPr>
                <w:rFonts w:ascii="宋体" w:hAnsi="宋体" w:eastAsia="宋体"/>
                <w:sz w:val="16"/>
              </w:rPr>
              <w:t>&lt;=200元/月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3330F">
            <w:pPr>
              <w:jc w:val="center"/>
            </w:pPr>
            <w:r>
              <w:rPr>
                <w:rFonts w:ascii="宋体" w:hAnsi="宋体" w:eastAsia="宋体"/>
                <w:sz w:val="16"/>
              </w:rPr>
              <w:t>=200元/月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BD7A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F1AD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C9A54">
            <w:pPr>
              <w:jc w:val="center"/>
            </w:pPr>
          </w:p>
        </w:tc>
      </w:tr>
      <w:tr w14:paraId="66B14A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DF667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41BF7">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9ACA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42357">
            <w:pPr>
              <w:jc w:val="center"/>
            </w:pPr>
            <w:r>
              <w:rPr>
                <w:rFonts w:ascii="宋体" w:hAnsi="宋体" w:eastAsia="宋体"/>
                <w:sz w:val="16"/>
              </w:rPr>
              <w:t>提升社区群众应急避险和自救能力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F4B5D">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1ADA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E57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8D21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BF794">
            <w:pPr>
              <w:jc w:val="center"/>
            </w:pPr>
          </w:p>
        </w:tc>
      </w:tr>
      <w:tr w14:paraId="7F563B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E190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C0F8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B8D9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58222">
            <w:pPr>
              <w:jc w:val="center"/>
            </w:pPr>
            <w:r>
              <w:rPr>
                <w:rFonts w:ascii="宋体" w:hAnsi="宋体" w:eastAsia="宋体"/>
                <w:sz w:val="16"/>
              </w:rPr>
              <w:t>对地震应急科普宣传软实力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8632D">
            <w:pPr>
              <w:jc w:val="center"/>
            </w:pPr>
            <w:r>
              <w:rPr>
                <w:rFonts w:ascii="宋体" w:hAnsi="宋体" w:eastAsia="宋体"/>
                <w:sz w:val="16"/>
              </w:rPr>
              <w:t>明显提高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D2B5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8DC0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5DF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A4CDC">
            <w:pPr>
              <w:jc w:val="center"/>
            </w:pPr>
          </w:p>
        </w:tc>
      </w:tr>
      <w:tr w14:paraId="7ABBC3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37BF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F977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9079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DE2A6">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AE3C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25F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50F0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563B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29E9D">
            <w:pPr>
              <w:jc w:val="center"/>
            </w:pPr>
          </w:p>
        </w:tc>
      </w:tr>
      <w:tr w14:paraId="516881B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7D2E6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E5FDF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279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78D23">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100E9A9"/>
        </w:tc>
      </w:tr>
    </w:tbl>
    <w:p w14:paraId="5D5DA15A">
      <w:r>
        <w:br w:type="page"/>
      </w:r>
    </w:p>
    <w:p w14:paraId="77B22CAB">
      <w:pPr>
        <w:spacing w:line="640" w:lineRule="exact"/>
        <w:ind w:firstLine="640"/>
        <w:jc w:val="both"/>
        <w:outlineLvl w:val="2"/>
      </w:pPr>
      <w:r>
        <w:rPr>
          <w:rFonts w:ascii="黑体" w:hAnsi="黑体" w:eastAsia="黑体"/>
          <w:sz w:val="32"/>
        </w:rPr>
        <w:t>十二、其他需说明的事项</w:t>
      </w:r>
    </w:p>
    <w:p w14:paraId="27D9ADAE">
      <w:pPr>
        <w:spacing w:line="580" w:lineRule="exact"/>
        <w:ind w:firstLine="640"/>
        <w:jc w:val="both"/>
      </w:pPr>
      <w:r>
        <w:rPr>
          <w:rFonts w:ascii="仿宋_GB2312" w:hAnsi="仿宋_GB2312" w:eastAsia="仿宋_GB2312"/>
          <w:b w:val="0"/>
          <w:sz w:val="32"/>
        </w:rPr>
        <w:t>本单位无其他需说明的事项。</w:t>
      </w:r>
    </w:p>
    <w:p w14:paraId="1184143A">
      <w:r>
        <w:br w:type="page"/>
      </w:r>
    </w:p>
    <w:p w14:paraId="21E54650">
      <w:pPr>
        <w:spacing w:line="240" w:lineRule="auto"/>
        <w:jc w:val="center"/>
        <w:outlineLvl w:val="1"/>
      </w:pPr>
      <w:r>
        <w:rPr>
          <w:rFonts w:ascii="黑体" w:hAnsi="黑体" w:eastAsia="黑体"/>
          <w:sz w:val="32"/>
        </w:rPr>
        <w:t>第三部分 专业名词解释</w:t>
      </w:r>
    </w:p>
    <w:p w14:paraId="196E129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1E62DD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90A7C2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61CC06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1B5C7C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FB5BFA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37E144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6ADD96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D2510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424865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8575CB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3F1BFA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53ABE2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F471FB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2F4A564">
      <w:r>
        <w:br w:type="page"/>
      </w:r>
    </w:p>
    <w:p w14:paraId="4095E9DB">
      <w:pPr>
        <w:spacing w:line="240" w:lineRule="auto"/>
        <w:jc w:val="center"/>
        <w:outlineLvl w:val="1"/>
      </w:pPr>
      <w:r>
        <w:rPr>
          <w:rFonts w:ascii="黑体" w:hAnsi="黑体" w:eastAsia="黑体"/>
          <w:sz w:val="32"/>
        </w:rPr>
        <w:t>第四部分 部门决算报表（见附表）</w:t>
      </w:r>
    </w:p>
    <w:p w14:paraId="2680C186">
      <w:pPr>
        <w:spacing w:line="240" w:lineRule="auto"/>
        <w:ind w:firstLine="640"/>
        <w:jc w:val="both"/>
      </w:pPr>
      <w:r>
        <w:rPr>
          <w:rFonts w:ascii="仿宋_GB2312" w:hAnsi="仿宋_GB2312" w:eastAsia="仿宋_GB2312"/>
          <w:b w:val="0"/>
          <w:sz w:val="32"/>
        </w:rPr>
        <w:t>一、《收入支出决算总表》</w:t>
      </w:r>
    </w:p>
    <w:p w14:paraId="00B073FD">
      <w:pPr>
        <w:spacing w:line="240" w:lineRule="auto"/>
        <w:ind w:firstLine="640"/>
        <w:jc w:val="both"/>
      </w:pPr>
      <w:r>
        <w:rPr>
          <w:rFonts w:ascii="仿宋_GB2312" w:hAnsi="仿宋_GB2312" w:eastAsia="仿宋_GB2312"/>
          <w:b w:val="0"/>
          <w:sz w:val="32"/>
        </w:rPr>
        <w:t>二、《收入决算表》</w:t>
      </w:r>
    </w:p>
    <w:p w14:paraId="7E2A35CC">
      <w:pPr>
        <w:spacing w:line="240" w:lineRule="auto"/>
        <w:ind w:firstLine="640"/>
        <w:jc w:val="both"/>
      </w:pPr>
      <w:r>
        <w:rPr>
          <w:rFonts w:ascii="仿宋_GB2312" w:hAnsi="仿宋_GB2312" w:eastAsia="仿宋_GB2312"/>
          <w:b w:val="0"/>
          <w:sz w:val="32"/>
        </w:rPr>
        <w:t>三、《支出决算表》</w:t>
      </w:r>
    </w:p>
    <w:p w14:paraId="7CB39208">
      <w:pPr>
        <w:spacing w:line="240" w:lineRule="auto"/>
        <w:ind w:firstLine="640"/>
        <w:jc w:val="both"/>
      </w:pPr>
      <w:r>
        <w:rPr>
          <w:rFonts w:ascii="仿宋_GB2312" w:hAnsi="仿宋_GB2312" w:eastAsia="仿宋_GB2312"/>
          <w:b w:val="0"/>
          <w:sz w:val="32"/>
        </w:rPr>
        <w:t>四、《财政拨款收入支出决算总表》</w:t>
      </w:r>
    </w:p>
    <w:p w14:paraId="717845D2">
      <w:pPr>
        <w:spacing w:line="240" w:lineRule="auto"/>
        <w:ind w:firstLine="640"/>
        <w:jc w:val="both"/>
      </w:pPr>
      <w:r>
        <w:rPr>
          <w:rFonts w:ascii="仿宋_GB2312" w:hAnsi="仿宋_GB2312" w:eastAsia="仿宋_GB2312"/>
          <w:b w:val="0"/>
          <w:sz w:val="32"/>
        </w:rPr>
        <w:t>五、《一般公共预算财政拨款支出决算表》</w:t>
      </w:r>
    </w:p>
    <w:p w14:paraId="131102E6">
      <w:pPr>
        <w:spacing w:line="240" w:lineRule="auto"/>
        <w:ind w:firstLine="640"/>
        <w:jc w:val="both"/>
      </w:pPr>
      <w:r>
        <w:rPr>
          <w:rFonts w:ascii="仿宋_GB2312" w:hAnsi="仿宋_GB2312" w:eastAsia="仿宋_GB2312"/>
          <w:b w:val="0"/>
          <w:sz w:val="32"/>
        </w:rPr>
        <w:t>六、《一般公共预算财政拨款基本支出决算表》</w:t>
      </w:r>
    </w:p>
    <w:p w14:paraId="1A0524D4">
      <w:pPr>
        <w:spacing w:line="240" w:lineRule="auto"/>
        <w:ind w:firstLine="640"/>
        <w:jc w:val="both"/>
      </w:pPr>
      <w:r>
        <w:rPr>
          <w:rFonts w:ascii="仿宋_GB2312" w:hAnsi="仿宋_GB2312" w:eastAsia="仿宋_GB2312"/>
          <w:b w:val="0"/>
          <w:sz w:val="32"/>
        </w:rPr>
        <w:t>七、《政府性基金预算财政拨款收入支出决算表》</w:t>
      </w:r>
    </w:p>
    <w:p w14:paraId="039E4F00">
      <w:pPr>
        <w:spacing w:line="240" w:lineRule="auto"/>
        <w:ind w:firstLine="640"/>
        <w:jc w:val="both"/>
      </w:pPr>
      <w:r>
        <w:rPr>
          <w:rFonts w:ascii="仿宋_GB2312" w:hAnsi="仿宋_GB2312" w:eastAsia="仿宋_GB2312"/>
          <w:b w:val="0"/>
          <w:sz w:val="32"/>
        </w:rPr>
        <w:t>八、《国有资本经营预算财政拨款收入支出决算表》</w:t>
      </w:r>
    </w:p>
    <w:p w14:paraId="606F4B79">
      <w:pPr>
        <w:spacing w:line="240" w:lineRule="auto"/>
        <w:ind w:firstLine="640"/>
        <w:jc w:val="both"/>
      </w:pPr>
      <w:r>
        <w:rPr>
          <w:rFonts w:ascii="仿宋_GB2312" w:hAnsi="仿宋_GB2312" w:eastAsia="仿宋_GB2312"/>
          <w:b w:val="0"/>
          <w:sz w:val="32"/>
        </w:rPr>
        <w:t>九、《财政拨款“三公”经费支出决算表》</w:t>
      </w:r>
    </w:p>
    <w:p w14:paraId="3CE951A8">
      <w:pPr>
        <w:spacing w:line="240" w:lineRule="auto"/>
        <w:ind w:firstLine="640"/>
        <w:jc w:val="both"/>
      </w:pPr>
    </w:p>
    <w:p w14:paraId="711128F9">
      <w:pPr>
        <w:spacing w:line="240" w:lineRule="auto"/>
        <w:ind w:firstLine="640"/>
        <w:jc w:val="both"/>
      </w:pPr>
    </w:p>
    <w:p w14:paraId="649045B6">
      <w:pPr>
        <w:spacing w:line="240" w:lineRule="auto"/>
        <w:ind w:firstLine="640"/>
        <w:jc w:val="both"/>
      </w:pPr>
    </w:p>
    <w:p w14:paraId="7B316BEB">
      <w:pPr>
        <w:spacing w:line="240" w:lineRule="auto"/>
        <w:ind w:firstLine="640"/>
        <w:jc w:val="both"/>
      </w:pPr>
    </w:p>
    <w:p w14:paraId="19F7D3C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6279DC"/>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4D93AAA"/>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7462</Words>
  <Characters>8288</Characters>
  <Lines>0</Lines>
  <Paragraphs>0</Paragraphs>
  <TotalTime>5</TotalTime>
  <ScaleCrop>false</ScaleCrop>
  <LinksUpToDate>false</LinksUpToDate>
  <CharactersWithSpaces>8499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2025-09-25T02:37:30Z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