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民丰县工业园区管委会2024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AD3B9A">
      <w:r>
        <w:br w:type="page"/>
      </w:r>
    </w:p>
    <w:p w14:paraId="7774154F">
      <w:pPr>
        <w:spacing w:line="640" w:lineRule="exact"/>
        <w:jc w:val="center"/>
        <w:outlineLvl w:val="1"/>
      </w:pPr>
      <w:r>
        <w:rPr>
          <w:rFonts w:ascii="黑体" w:hAnsi="黑体" w:eastAsia="黑体"/>
          <w:sz w:val="32"/>
        </w:rPr>
        <w:t>第一部分 单位概况</w:t>
      </w:r>
    </w:p>
    <w:p w14:paraId="6EC6A17B">
      <w:pPr>
        <w:spacing w:line="640" w:lineRule="exact"/>
        <w:ind w:firstLine="640"/>
        <w:jc w:val="both"/>
        <w:outlineLvl w:val="2"/>
      </w:pPr>
      <w:r>
        <w:rPr>
          <w:rFonts w:ascii="黑体" w:hAnsi="黑体" w:eastAsia="黑体"/>
          <w:sz w:val="32"/>
        </w:rPr>
        <w:t>一、主要职能</w:t>
      </w:r>
    </w:p>
    <w:p w14:paraId="1F0BC439">
      <w:pPr>
        <w:spacing w:line="580" w:lineRule="exact"/>
        <w:ind w:firstLine="640"/>
        <w:jc w:val="both"/>
      </w:pPr>
      <w:r>
        <w:rPr>
          <w:rFonts w:ascii="仿宋_GB2312" w:hAnsi="仿宋_GB2312" w:eastAsia="仿宋_GB2312"/>
          <w:sz w:val="32"/>
        </w:rPr>
        <w:t>在园区党工委领导下，贯彻落实中央、自治区党委、地委和县委关于加强园区党的建设工作安排部署，研究制定加强和改进园区党建工作的具体政策和规划。</w:t>
      </w:r>
    </w:p>
    <w:p w14:paraId="1A92CB32">
      <w:pPr>
        <w:spacing w:line="580" w:lineRule="exact"/>
        <w:ind w:firstLine="640"/>
        <w:jc w:val="both"/>
      </w:pPr>
      <w:r>
        <w:rPr>
          <w:rFonts w:ascii="仿宋_GB2312" w:hAnsi="仿宋_GB2312" w:eastAsia="仿宋_GB2312"/>
          <w:sz w:val="32"/>
        </w:rPr>
        <w:t>1.主要负责党务、组织、纪检、宣传、人事、老干部等工作的规划、管理、协调和监督工作；负责宣传党的各项方针、政策；负责党的基层组织建设和党员队伍建设工作；负责党风廉政建设工作，由民丰县纪委监委第二</w:t>
      </w:r>
      <w:r>
        <w:rPr>
          <w:rFonts w:hint="eastAsia" w:ascii="仿宋_GB2312" w:hAnsi="仿宋_GB2312" w:eastAsia="仿宋_GB2312"/>
          <w:sz w:val="32"/>
          <w:lang w:eastAsia="zh-CN"/>
        </w:rPr>
        <w:t>纪检监察监督</w:t>
      </w:r>
      <w:r>
        <w:rPr>
          <w:rFonts w:ascii="仿宋_GB2312" w:hAnsi="仿宋_GB2312" w:eastAsia="仿宋_GB2312"/>
          <w:sz w:val="32"/>
        </w:rPr>
        <w:t>指导纪检监察工作；指导园区企业党组织加强党的思想、组织和党风廉政建设；指导所属党组织党员的教育培训、管理服务、发展党员、群团等工作。</w:t>
      </w:r>
    </w:p>
    <w:p w14:paraId="2DE97C01">
      <w:pPr>
        <w:spacing w:line="580" w:lineRule="exact"/>
        <w:ind w:firstLine="640"/>
        <w:jc w:val="both"/>
      </w:pPr>
      <w:r>
        <w:rPr>
          <w:rFonts w:ascii="仿宋_GB2312" w:hAnsi="仿宋_GB2312" w:eastAsia="仿宋_GB2312"/>
          <w:sz w:val="32"/>
        </w:rPr>
        <w:t>2.负责文秘、档案、信息、统计、保密、网络管理、文件收发、会务等日常管理以及精神文明创建、民族团结等工作；做好园区管委会外辖区内其他人员的国家通用语言文字等工作；负责统一管理园区管委会经费银行账户，管理园区管委会财务、固定资产和其他行政事务；按照园区管委会的安排，协调好其他办公室的工作，并完成园区管委会交办的其他工作。</w:t>
      </w:r>
    </w:p>
    <w:p w14:paraId="3A1D780A">
      <w:pPr>
        <w:spacing w:line="580" w:lineRule="exact"/>
        <w:ind w:firstLine="640"/>
        <w:jc w:val="both"/>
      </w:pPr>
      <w:r>
        <w:rPr>
          <w:rFonts w:ascii="仿宋_GB2312" w:hAnsi="仿宋_GB2312" w:eastAsia="仿宋_GB2312"/>
          <w:sz w:val="32"/>
        </w:rPr>
        <w:t>3.分管园区综合协调室、财务室和</w:t>
      </w:r>
      <w:r>
        <w:rPr>
          <w:rFonts w:hint="eastAsia" w:ascii="仿宋_GB2312" w:hAnsi="仿宋_GB2312" w:eastAsia="仿宋_GB2312"/>
          <w:sz w:val="32"/>
          <w:lang w:eastAsia="zh-CN"/>
        </w:rPr>
        <w:t>纪检监察工作</w:t>
      </w:r>
      <w:r>
        <w:rPr>
          <w:rFonts w:ascii="仿宋_GB2312" w:hAnsi="仿宋_GB2312" w:eastAsia="仿宋_GB2312"/>
          <w:sz w:val="32"/>
        </w:rPr>
        <w:t>。</w:t>
      </w:r>
    </w:p>
    <w:p w14:paraId="6D547391">
      <w:pPr>
        <w:spacing w:line="640" w:lineRule="exact"/>
        <w:ind w:firstLine="640"/>
        <w:jc w:val="both"/>
        <w:outlineLvl w:val="2"/>
      </w:pPr>
      <w:r>
        <w:rPr>
          <w:rFonts w:ascii="黑体" w:hAnsi="黑体" w:eastAsia="黑体"/>
          <w:sz w:val="32"/>
        </w:rPr>
        <w:t>二、机构设置及人员情况</w:t>
      </w:r>
    </w:p>
    <w:p w14:paraId="4B7C5CBC">
      <w:pPr>
        <w:spacing w:line="580" w:lineRule="exact"/>
        <w:ind w:firstLine="640"/>
        <w:jc w:val="both"/>
      </w:pPr>
      <w:r>
        <w:rPr>
          <w:rFonts w:ascii="仿宋_GB2312" w:hAnsi="仿宋_GB2312" w:eastAsia="仿宋_GB2312"/>
          <w:sz w:val="32"/>
        </w:rPr>
        <w:t>民丰县工业园区管委会2024年度，实有人数13人，其中：在职人员13人，减少1人；离休人员0人，增加0人；退休人员0人,增加0人。</w:t>
      </w:r>
    </w:p>
    <w:p w14:paraId="5D3390ED">
      <w:pPr>
        <w:spacing w:line="580" w:lineRule="exact"/>
        <w:ind w:firstLine="640"/>
        <w:jc w:val="both"/>
      </w:pPr>
      <w:r>
        <w:rPr>
          <w:rFonts w:ascii="仿宋_GB2312" w:hAnsi="仿宋_GB2312" w:eastAsia="仿宋_GB2312"/>
          <w:sz w:val="32"/>
        </w:rPr>
        <w:t>民丰县工业园区管委会无下属预算单位，下设3个科室，分别是：综合管理部、规划建设部、安保服务部。</w:t>
      </w:r>
    </w:p>
    <w:p w14:paraId="11360B6D">
      <w:r>
        <w:br w:type="page"/>
      </w:r>
    </w:p>
    <w:p w14:paraId="50B9DC5C">
      <w:pPr>
        <w:spacing w:line="240" w:lineRule="auto"/>
        <w:jc w:val="center"/>
        <w:outlineLvl w:val="1"/>
      </w:pPr>
      <w:r>
        <w:rPr>
          <w:rFonts w:ascii="黑体" w:hAnsi="黑体" w:eastAsia="黑体"/>
          <w:sz w:val="32"/>
        </w:rPr>
        <w:t>第二部分 部门决算情况说明</w:t>
      </w:r>
    </w:p>
    <w:p w14:paraId="693AB63B">
      <w:pPr>
        <w:spacing w:line="640" w:lineRule="exact"/>
        <w:ind w:firstLine="640"/>
        <w:jc w:val="both"/>
        <w:outlineLvl w:val="2"/>
      </w:pPr>
      <w:r>
        <w:rPr>
          <w:rFonts w:ascii="黑体" w:hAnsi="黑体" w:eastAsia="黑体"/>
          <w:sz w:val="32"/>
        </w:rPr>
        <w:t>一、收入支出决算总体情况说明</w:t>
      </w:r>
    </w:p>
    <w:p w14:paraId="1439383D">
      <w:pPr>
        <w:spacing w:line="580" w:lineRule="exact"/>
        <w:ind w:firstLine="640"/>
        <w:jc w:val="both"/>
      </w:pPr>
      <w:r>
        <w:rPr>
          <w:rFonts w:ascii="仿宋_GB2312" w:hAnsi="仿宋_GB2312" w:eastAsia="仿宋_GB2312"/>
          <w:b/>
          <w:sz w:val="32"/>
        </w:rPr>
        <w:t>2024年度收入总计611.98万元，</w:t>
      </w:r>
      <w:r>
        <w:rPr>
          <w:rFonts w:ascii="仿宋_GB2312" w:hAnsi="仿宋_GB2312" w:eastAsia="仿宋_GB2312"/>
          <w:b w:val="0"/>
          <w:sz w:val="32"/>
        </w:rPr>
        <w:t>其中：本年收入合计611.98万元，使用非财政拨款结余（含专用结余）0.00万元，年初结转和结余0.00万元。</w:t>
      </w:r>
    </w:p>
    <w:p w14:paraId="66388796">
      <w:pPr>
        <w:spacing w:line="580" w:lineRule="exact"/>
        <w:ind w:firstLine="640"/>
        <w:jc w:val="both"/>
      </w:pPr>
      <w:r>
        <w:rPr>
          <w:rFonts w:ascii="仿宋_GB2312" w:hAnsi="仿宋_GB2312" w:eastAsia="仿宋_GB2312"/>
          <w:b/>
          <w:sz w:val="32"/>
        </w:rPr>
        <w:t>2024年度支出总计611.98万元，</w:t>
      </w:r>
      <w:r>
        <w:rPr>
          <w:rFonts w:ascii="仿宋_GB2312" w:hAnsi="仿宋_GB2312" w:eastAsia="仿宋_GB2312"/>
          <w:b w:val="0"/>
          <w:sz w:val="32"/>
        </w:rPr>
        <w:t>其中：本年支出合计611.93万元，结余分配0.00万元，年末结转和结余0.05万元。</w:t>
      </w:r>
    </w:p>
    <w:p w14:paraId="4BA0E057">
      <w:pPr>
        <w:spacing w:line="580" w:lineRule="exact"/>
        <w:ind w:firstLine="640"/>
        <w:jc w:val="both"/>
      </w:pPr>
      <w:r>
        <w:rPr>
          <w:rFonts w:ascii="仿宋_GB2312" w:hAnsi="仿宋_GB2312" w:eastAsia="仿宋_GB2312"/>
          <w:b w:val="0"/>
          <w:sz w:val="32"/>
        </w:rPr>
        <w:t>收入支出总体与上年相比，减少316.06万元，下降34.06%，主要原因是：一是本年在职人员减少，相关人员经费较上年减少；二是本年减少大型停车场建设项目前期费项目、园区机电城电费、园区机电城绿化项目支出、市政功能改造提升项目、基础设施供热系统项目支出、美誉香馕手工坊改造项目工程尾款、园区基础设施二期</w:t>
      </w:r>
      <w:r>
        <w:rPr>
          <w:rFonts w:hint="eastAsia" w:ascii="仿宋_GB2312" w:hAnsi="仿宋_GB2312" w:eastAsia="仿宋_GB2312"/>
          <w:b w:val="0"/>
          <w:sz w:val="32"/>
          <w:lang w:eastAsia="zh-CN"/>
        </w:rPr>
        <w:t>、</w:t>
      </w:r>
      <w:r>
        <w:rPr>
          <w:rFonts w:ascii="仿宋_GB2312" w:hAnsi="仿宋_GB2312" w:eastAsia="仿宋_GB2312"/>
          <w:b w:val="0"/>
          <w:sz w:val="32"/>
        </w:rPr>
        <w:t>三期和冷链仓储设施建设项目</w:t>
      </w:r>
      <w:r>
        <w:rPr>
          <w:rFonts w:hint="eastAsia" w:ascii="仿宋_GB2312" w:hAnsi="仿宋_GB2312" w:eastAsia="仿宋_GB2312"/>
          <w:b w:val="0"/>
          <w:sz w:val="32"/>
          <w:lang w:eastAsia="zh-CN"/>
        </w:rPr>
        <w:t>、</w:t>
      </w:r>
      <w:r>
        <w:rPr>
          <w:rFonts w:ascii="仿宋_GB2312" w:hAnsi="仿宋_GB2312" w:eastAsia="仿宋_GB2312"/>
          <w:b w:val="0"/>
          <w:sz w:val="32"/>
        </w:rPr>
        <w:t>减少保障性住房项目前期费。</w:t>
      </w:r>
    </w:p>
    <w:p w14:paraId="42CA3EE3">
      <w:pPr>
        <w:spacing w:line="640" w:lineRule="exact"/>
        <w:ind w:firstLine="640"/>
        <w:jc w:val="both"/>
        <w:outlineLvl w:val="2"/>
      </w:pPr>
      <w:r>
        <w:rPr>
          <w:rFonts w:ascii="黑体" w:hAnsi="黑体" w:eastAsia="黑体"/>
          <w:sz w:val="32"/>
        </w:rPr>
        <w:t>二、收入决算情况说明</w:t>
      </w:r>
    </w:p>
    <w:p w14:paraId="31B1EB3C">
      <w:pPr>
        <w:spacing w:line="580" w:lineRule="exact"/>
        <w:ind w:firstLine="640"/>
        <w:jc w:val="both"/>
      </w:pPr>
      <w:r>
        <w:rPr>
          <w:rFonts w:ascii="仿宋_GB2312" w:hAnsi="仿宋_GB2312" w:eastAsia="仿宋_GB2312"/>
          <w:b/>
          <w:sz w:val="32"/>
        </w:rPr>
        <w:t>本年收入611.98万元，</w:t>
      </w:r>
      <w:r>
        <w:rPr>
          <w:rFonts w:ascii="仿宋_GB2312" w:hAnsi="仿宋_GB2312" w:eastAsia="仿宋_GB2312"/>
          <w:b w:val="0"/>
          <w:sz w:val="32"/>
        </w:rPr>
        <w:t>其中：财政拨款收入370.93万元，占60.61%；上级补助收入0.00万元，占0.00%；事业收入0.00万元，占0.00%；经营收入0.00万元，占0.00%；附属单位上缴收入0.00万元，占0.00%；其他收入241.06万元，占39.39%。</w:t>
      </w:r>
    </w:p>
    <w:p w14:paraId="56B9C6B8">
      <w:pPr>
        <w:spacing w:line="640" w:lineRule="exact"/>
        <w:ind w:firstLine="640"/>
        <w:jc w:val="both"/>
        <w:outlineLvl w:val="2"/>
      </w:pPr>
      <w:r>
        <w:rPr>
          <w:rFonts w:ascii="黑体" w:hAnsi="黑体" w:eastAsia="黑体"/>
          <w:sz w:val="32"/>
        </w:rPr>
        <w:t>三、支出决算情况说明</w:t>
      </w:r>
    </w:p>
    <w:p w14:paraId="0D13F196">
      <w:pPr>
        <w:spacing w:line="580" w:lineRule="exact"/>
        <w:ind w:firstLine="640"/>
        <w:jc w:val="both"/>
      </w:pPr>
      <w:r>
        <w:rPr>
          <w:rFonts w:ascii="仿宋_GB2312" w:hAnsi="仿宋_GB2312" w:eastAsia="仿宋_GB2312"/>
          <w:b/>
          <w:sz w:val="32"/>
        </w:rPr>
        <w:t>本年支出611.93万元，</w:t>
      </w:r>
      <w:r>
        <w:rPr>
          <w:rFonts w:ascii="仿宋_GB2312" w:hAnsi="仿宋_GB2312" w:eastAsia="仿宋_GB2312"/>
          <w:b w:val="0"/>
          <w:sz w:val="32"/>
        </w:rPr>
        <w:t>其中：基本支出570.52万元，占93.23%；项目支出41.41万元，占6.77%；上缴上级支出0.00万元，占0.00%；经营支出0.00万元，占0.00%；对附属单位补助支出0.00万元，占0.00%。</w:t>
      </w:r>
    </w:p>
    <w:p w14:paraId="09D52731">
      <w:pPr>
        <w:spacing w:line="640" w:lineRule="exact"/>
        <w:ind w:firstLine="640"/>
        <w:jc w:val="both"/>
        <w:outlineLvl w:val="2"/>
      </w:pPr>
      <w:r>
        <w:rPr>
          <w:rFonts w:ascii="黑体" w:hAnsi="黑体" w:eastAsia="黑体"/>
          <w:sz w:val="32"/>
        </w:rPr>
        <w:t>四、财政拨款收入支出决算总体情况说明</w:t>
      </w:r>
    </w:p>
    <w:p w14:paraId="01DA8C13">
      <w:pPr>
        <w:spacing w:line="580" w:lineRule="exact"/>
        <w:ind w:firstLine="640"/>
        <w:jc w:val="both"/>
      </w:pPr>
      <w:r>
        <w:rPr>
          <w:rFonts w:ascii="仿宋_GB2312" w:hAnsi="仿宋_GB2312" w:eastAsia="仿宋_GB2312"/>
          <w:b/>
          <w:sz w:val="32"/>
        </w:rPr>
        <w:t>2024年度财政拨款收入总计370.93万元，</w:t>
      </w:r>
      <w:r>
        <w:rPr>
          <w:rFonts w:ascii="仿宋_GB2312" w:hAnsi="仿宋_GB2312" w:eastAsia="仿宋_GB2312"/>
          <w:b w:val="0"/>
          <w:sz w:val="32"/>
        </w:rPr>
        <w:t>其中：年初财政拨款结转和结余0.00万元，本年财政拨款收入370.93万元。</w:t>
      </w:r>
      <w:r>
        <w:rPr>
          <w:rFonts w:ascii="仿宋_GB2312" w:hAnsi="仿宋_GB2312" w:eastAsia="仿宋_GB2312"/>
          <w:b/>
          <w:sz w:val="32"/>
        </w:rPr>
        <w:t>财政拨款支出总计370.93万元，</w:t>
      </w:r>
      <w:r>
        <w:rPr>
          <w:rFonts w:ascii="仿宋_GB2312" w:hAnsi="仿宋_GB2312" w:eastAsia="仿宋_GB2312"/>
          <w:b w:val="0"/>
          <w:sz w:val="32"/>
        </w:rPr>
        <w:t>其中：年末财政拨款结转和结余0.00万元，本年财政拨款支出370.93万元。</w:t>
      </w:r>
    </w:p>
    <w:p w14:paraId="0DD2BCC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541.73万元，下降59.36%，主要原因是：一是本年在职人员减少，相关人员经费较上年减少；二是本年减少大型停车场建设项目前期费项目、园区机电城电费、园区机电城绿化项目支出、市政功能改造提升项目、基础设施供热系统项目支出、美誉香馕手工坊改造项目工程尾款、园区基础设施二期</w:t>
      </w:r>
      <w:r>
        <w:rPr>
          <w:rFonts w:hint="eastAsia" w:ascii="仿宋_GB2312" w:hAnsi="仿宋_GB2312" w:eastAsia="仿宋_GB2312"/>
          <w:b w:val="0"/>
          <w:sz w:val="32"/>
          <w:lang w:eastAsia="zh-CN"/>
        </w:rPr>
        <w:t>、</w:t>
      </w:r>
      <w:r>
        <w:rPr>
          <w:rFonts w:ascii="仿宋_GB2312" w:hAnsi="仿宋_GB2312" w:eastAsia="仿宋_GB2312"/>
          <w:b w:val="0"/>
          <w:sz w:val="32"/>
        </w:rPr>
        <w:t>三期和冷链仓储设施建设项目</w:t>
      </w:r>
      <w:r>
        <w:rPr>
          <w:rFonts w:hint="eastAsia" w:ascii="仿宋_GB2312" w:hAnsi="仿宋_GB2312" w:eastAsia="仿宋_GB2312"/>
          <w:b w:val="0"/>
          <w:sz w:val="32"/>
          <w:lang w:eastAsia="zh-CN"/>
        </w:rPr>
        <w:t>、</w:t>
      </w:r>
      <w:r>
        <w:rPr>
          <w:rFonts w:ascii="仿宋_GB2312" w:hAnsi="仿宋_GB2312" w:eastAsia="仿宋_GB2312"/>
          <w:b w:val="0"/>
          <w:sz w:val="32"/>
        </w:rPr>
        <w:t>减少保障性住房项目前期费。</w:t>
      </w:r>
      <w:r>
        <w:rPr>
          <w:rFonts w:ascii="仿宋_GB2312" w:hAnsi="仿宋_GB2312" w:eastAsia="仿宋_GB2312"/>
          <w:b/>
          <w:sz w:val="32"/>
        </w:rPr>
        <w:t>与年初预算相比，</w:t>
      </w:r>
      <w:r>
        <w:rPr>
          <w:rFonts w:ascii="仿宋_GB2312" w:hAnsi="仿宋_GB2312" w:eastAsia="仿宋_GB2312"/>
          <w:b w:val="0"/>
          <w:sz w:val="32"/>
        </w:rPr>
        <w:t>年初预算数321.75万元，决算数370.93万元，预决算差异率15.29%，主要原因是：年中追加人员工资、社保、公积金基数调增部分资金，年中追加园区食品加工区消防设施维修建设项目、火车站道路占用耕地补偿费项目资金，导致预决算存在差异。</w:t>
      </w:r>
    </w:p>
    <w:p w14:paraId="0984DBA8">
      <w:pPr>
        <w:spacing w:line="640" w:lineRule="exact"/>
        <w:ind w:firstLine="640"/>
        <w:jc w:val="both"/>
        <w:outlineLvl w:val="2"/>
      </w:pPr>
      <w:r>
        <w:rPr>
          <w:rFonts w:ascii="黑体" w:hAnsi="黑体" w:eastAsia="黑体"/>
          <w:sz w:val="32"/>
        </w:rPr>
        <w:t>五、一般公共预算财政拨款支出决算情况说明</w:t>
      </w:r>
    </w:p>
    <w:p w14:paraId="40285DEC">
      <w:pPr>
        <w:spacing w:line="640" w:lineRule="exact"/>
        <w:ind w:firstLine="640"/>
        <w:jc w:val="both"/>
        <w:outlineLvl w:val="3"/>
      </w:pPr>
      <w:r>
        <w:rPr>
          <w:rFonts w:ascii="楷体_GB2312" w:hAnsi="楷体_GB2312" w:eastAsia="楷体_GB2312"/>
          <w:b/>
          <w:sz w:val="32"/>
        </w:rPr>
        <w:t>（一）一般公共预算财政拨款支出决算总体情况</w:t>
      </w:r>
    </w:p>
    <w:p w14:paraId="20CF6B82">
      <w:pPr>
        <w:spacing w:line="580" w:lineRule="exact"/>
        <w:ind w:firstLine="640"/>
        <w:jc w:val="both"/>
      </w:pPr>
      <w:r>
        <w:rPr>
          <w:rFonts w:ascii="仿宋_GB2312" w:hAnsi="仿宋_GB2312" w:eastAsia="仿宋_GB2312"/>
          <w:b/>
          <w:sz w:val="32"/>
        </w:rPr>
        <w:t>2024年度一般公共预算财政拨款支出368.48万元，</w:t>
      </w:r>
      <w:r>
        <w:rPr>
          <w:rFonts w:ascii="仿宋_GB2312" w:hAnsi="仿宋_GB2312" w:eastAsia="仿宋_GB2312"/>
          <w:b w:val="0"/>
          <w:sz w:val="32"/>
        </w:rPr>
        <w:t>占本年支出合计的60.22%。</w:t>
      </w:r>
      <w:r>
        <w:rPr>
          <w:rFonts w:ascii="仿宋_GB2312" w:hAnsi="仿宋_GB2312" w:eastAsia="仿宋_GB2312"/>
          <w:b/>
          <w:sz w:val="32"/>
        </w:rPr>
        <w:t>与上年相比，</w:t>
      </w:r>
      <w:r>
        <w:rPr>
          <w:rFonts w:ascii="仿宋_GB2312" w:hAnsi="仿宋_GB2312" w:eastAsia="仿宋_GB2312"/>
          <w:b w:val="0"/>
          <w:sz w:val="32"/>
        </w:rPr>
        <w:t>减少330.56万元，下降47.29%，主要原因是：一是本年在职人员减少，相关人员经费较上年减少；二是本年减少大型停车场建设项目前期费项目、园区机电城电费、园区机电城绿化项目支出、市政功能改造提升项目、基础设施供热系统项目支出、美誉香馕手工坊改造项目工程尾款。</w:t>
      </w:r>
      <w:r>
        <w:rPr>
          <w:rFonts w:ascii="仿宋_GB2312" w:hAnsi="仿宋_GB2312" w:eastAsia="仿宋_GB2312"/>
          <w:b/>
          <w:sz w:val="32"/>
        </w:rPr>
        <w:t>与年初预算相比,</w:t>
      </w:r>
      <w:r>
        <w:rPr>
          <w:rFonts w:ascii="仿宋_GB2312" w:hAnsi="仿宋_GB2312" w:eastAsia="仿宋_GB2312"/>
          <w:b w:val="0"/>
          <w:sz w:val="32"/>
        </w:rPr>
        <w:t>年初预算数321.75万元，决算数368.48万元，预决算差异率14.52%，主要原因是：年中追加人员工资、社保、公积金基数调增部分资金，追加园区食品加工区消防设施维修建设项目，导致预决算存在差异。</w:t>
      </w:r>
    </w:p>
    <w:p w14:paraId="589070A5">
      <w:pPr>
        <w:spacing w:line="640" w:lineRule="exact"/>
        <w:ind w:firstLine="640"/>
        <w:jc w:val="both"/>
        <w:outlineLvl w:val="3"/>
      </w:pPr>
      <w:r>
        <w:rPr>
          <w:rFonts w:ascii="楷体_GB2312" w:hAnsi="楷体_GB2312" w:eastAsia="楷体_GB2312"/>
          <w:b/>
          <w:sz w:val="32"/>
        </w:rPr>
        <w:t>（二）一般公共预算财政拨款支出决算结构情况</w:t>
      </w:r>
    </w:p>
    <w:p w14:paraId="7746BC6C">
      <w:pPr>
        <w:spacing w:line="580" w:lineRule="exact"/>
        <w:ind w:firstLine="640"/>
        <w:jc w:val="both"/>
      </w:pPr>
      <w:r>
        <w:rPr>
          <w:rFonts w:ascii="仿宋_GB2312" w:hAnsi="仿宋_GB2312" w:eastAsia="仿宋_GB2312"/>
          <w:b w:val="0"/>
          <w:sz w:val="32"/>
        </w:rPr>
        <w:t>1.一般公共服务支出(类)18.98万元,占5.15%。</w:t>
      </w:r>
    </w:p>
    <w:p w14:paraId="3A2E06AD">
      <w:pPr>
        <w:spacing w:line="580" w:lineRule="exact"/>
        <w:ind w:firstLine="640"/>
        <w:jc w:val="both"/>
      </w:pPr>
      <w:r>
        <w:rPr>
          <w:rFonts w:ascii="仿宋_GB2312" w:hAnsi="仿宋_GB2312" w:eastAsia="仿宋_GB2312"/>
          <w:b w:val="0"/>
          <w:sz w:val="32"/>
        </w:rPr>
        <w:t>2.社会保障和就业支出(类)36.58万元,占9.93%。</w:t>
      </w:r>
    </w:p>
    <w:p w14:paraId="4A4774A8">
      <w:pPr>
        <w:spacing w:line="580" w:lineRule="exact"/>
        <w:ind w:firstLine="640"/>
        <w:jc w:val="both"/>
      </w:pPr>
      <w:r>
        <w:rPr>
          <w:rFonts w:ascii="仿宋_GB2312" w:hAnsi="仿宋_GB2312" w:eastAsia="仿宋_GB2312"/>
          <w:b w:val="0"/>
          <w:sz w:val="32"/>
        </w:rPr>
        <w:t>3.卫生健康支出(类)12.23万元,占3.32%。</w:t>
      </w:r>
    </w:p>
    <w:p w14:paraId="767465D0">
      <w:pPr>
        <w:spacing w:line="580" w:lineRule="exact"/>
        <w:ind w:firstLine="640"/>
        <w:jc w:val="both"/>
      </w:pPr>
      <w:r>
        <w:rPr>
          <w:rFonts w:ascii="仿宋_GB2312" w:hAnsi="仿宋_GB2312" w:eastAsia="仿宋_GB2312"/>
          <w:b w:val="0"/>
          <w:sz w:val="32"/>
        </w:rPr>
        <w:t>4.资源勘探工业信息等支出(类)279.33万元,占75.81%。</w:t>
      </w:r>
    </w:p>
    <w:p w14:paraId="28537E29">
      <w:pPr>
        <w:spacing w:line="580" w:lineRule="exact"/>
        <w:ind w:firstLine="640"/>
        <w:jc w:val="both"/>
      </w:pPr>
      <w:r>
        <w:rPr>
          <w:rFonts w:ascii="仿宋_GB2312" w:hAnsi="仿宋_GB2312" w:eastAsia="仿宋_GB2312"/>
          <w:b w:val="0"/>
          <w:sz w:val="32"/>
        </w:rPr>
        <w:t>5.住房保障支出(类)21.36万元,占5.80%。</w:t>
      </w:r>
    </w:p>
    <w:p w14:paraId="21F32276">
      <w:pPr>
        <w:spacing w:line="640" w:lineRule="exact"/>
        <w:ind w:firstLine="640"/>
        <w:jc w:val="both"/>
        <w:outlineLvl w:val="3"/>
      </w:pPr>
      <w:r>
        <w:rPr>
          <w:rFonts w:ascii="楷体_GB2312" w:hAnsi="楷体_GB2312" w:eastAsia="楷体_GB2312"/>
          <w:b/>
          <w:sz w:val="32"/>
        </w:rPr>
        <w:t>（三）一般公共预算财政拨款支出决算具体情况</w:t>
      </w:r>
    </w:p>
    <w:p w14:paraId="4883F538">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1.一般公共服务支出(类)发展与改革事务(款)其他发展与改革事务支出(项):支出决算数为18.98万元，比上年决算减少36.02万元，下降65.49%,主要原因是：本年减少大型停车场建设项目前期费项目。</w:t>
      </w:r>
    </w:p>
    <w:p w14:paraId="29383B0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30.15万元，比上年决算增加1.96万元，增长6.95%,主要原因是：本年在职人员工资基数调增，养老缴费基数上涨，相应支出增加。</w:t>
      </w:r>
    </w:p>
    <w:p w14:paraId="03B9003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3.社会保障和就业支出(类)行政事业单位养老支出(款)机关事业单位职业年金缴费支出(项):支出决算数为6.43万元，比上年决算增加6.43万元，增长100.00%,主要原因是：本年新增调出人员，职业年金缴费支出增加。</w:t>
      </w:r>
    </w:p>
    <w:p w14:paraId="5E0AE955">
      <w:pPr>
        <w:spacing w:line="580" w:lineRule="exact"/>
        <w:ind w:firstLine="640"/>
        <w:jc w:val="both"/>
      </w:pPr>
      <w:r>
        <w:rPr>
          <w:rFonts w:ascii="仿宋_GB2312" w:hAnsi="仿宋_GB2312" w:eastAsia="仿宋_GB2312"/>
          <w:b w:val="0"/>
          <w:sz w:val="32"/>
        </w:rPr>
        <w:t>4.卫生健康支出(类)行政事业单位医疗(款)事业单位医疗(项):支出决算数为10.80万元，比上年决算增加10.80万元，增长100.00%,主要原因是：本年功能科目调整，事业单位医疗上年度在主科目列支，本年单独列支，导致经费较上年增加。</w:t>
      </w:r>
    </w:p>
    <w:p w14:paraId="4F14DEB3">
      <w:pPr>
        <w:spacing w:line="580" w:lineRule="exact"/>
        <w:ind w:firstLine="640"/>
        <w:jc w:val="both"/>
      </w:pPr>
      <w:r>
        <w:rPr>
          <w:rFonts w:ascii="仿宋_GB2312" w:hAnsi="仿宋_GB2312" w:eastAsia="仿宋_GB2312"/>
          <w:b w:val="0"/>
          <w:sz w:val="32"/>
        </w:rPr>
        <w:t>5.卫生健康支出(类)行政事业单位医疗(款)其他行政事业单位医疗支出(项):支出决算数为1.43万元，比上年决算增加1.43万元，增长100.00%,主要原因是：本年功能科目调整，职工大病、工伤、失业保险上年度在主科目列支，本年单独列支，导致经费较上年增加。</w:t>
      </w:r>
    </w:p>
    <w:p w14:paraId="6FB204F0">
      <w:pPr>
        <w:spacing w:line="580" w:lineRule="exact"/>
        <w:ind w:firstLine="640"/>
        <w:jc w:val="both"/>
      </w:pPr>
      <w:r>
        <w:rPr>
          <w:rFonts w:ascii="仿宋_GB2312" w:hAnsi="仿宋_GB2312" w:eastAsia="仿宋_GB2312"/>
          <w:b w:val="0"/>
          <w:sz w:val="32"/>
        </w:rPr>
        <w:t>6.节能环保支出(类)环境保护管理事务(款)其他环境保护管理事务支出(项):支出决算数为0.00万元，比上年决算减少148.82万元，下降100.00%,主要原因是：本年度减少园区机电城电费、园区机电城绿化项目支出。</w:t>
      </w:r>
    </w:p>
    <w:p w14:paraId="3983D341">
      <w:pPr>
        <w:spacing w:line="580" w:lineRule="exact"/>
        <w:ind w:firstLine="640"/>
        <w:jc w:val="both"/>
      </w:pPr>
      <w:r>
        <w:rPr>
          <w:rFonts w:ascii="仿宋_GB2312" w:hAnsi="仿宋_GB2312" w:eastAsia="仿宋_GB2312"/>
          <w:b w:val="0"/>
          <w:sz w:val="32"/>
        </w:rPr>
        <w:t>7.城乡社区支出(类)城乡社区公共设施(款)其他城乡社区公共设施支出(项):支出决算数为0.00万元，比上年决算减少87.95万元，下降100.00%,主要原因是：本年减少市政功能改造提升项目、基础设施供热系统项目支出。</w:t>
      </w:r>
    </w:p>
    <w:p w14:paraId="0461A5AE">
      <w:pPr>
        <w:spacing w:line="580" w:lineRule="exact"/>
        <w:ind w:firstLine="640"/>
        <w:jc w:val="both"/>
      </w:pPr>
      <w:r>
        <w:rPr>
          <w:rFonts w:ascii="仿宋_GB2312" w:hAnsi="仿宋_GB2312" w:eastAsia="仿宋_GB2312"/>
          <w:b w:val="0"/>
          <w:sz w:val="32"/>
        </w:rPr>
        <w:t>8.农林水支出(类)巩固脱贫攻坚成果衔接乡村振兴(款)生产发展(项):支出决算数为0.00万元，比上年决算减少13.18万元，下降100.00%,主要原因是：本年减少美誉香馕手工坊改造项目工程尾款。</w:t>
      </w:r>
    </w:p>
    <w:p w14:paraId="0F6B444A">
      <w:pPr>
        <w:spacing w:line="580" w:lineRule="exact"/>
        <w:ind w:firstLine="640"/>
        <w:jc w:val="both"/>
      </w:pPr>
      <w:r>
        <w:rPr>
          <w:rFonts w:ascii="仿宋_GB2312" w:hAnsi="仿宋_GB2312" w:eastAsia="仿宋_GB2312"/>
          <w:b w:val="0"/>
          <w:sz w:val="32"/>
        </w:rPr>
        <w:t>9.资源勘探工业信息等支出(类)工业和信息产业监管(款)事业运行(项):支出决算数为259.35万元，比上年决算减少106.56万元，下降29.12%,主要原因是：一是本年在职人员减少，相关人员经费较上年减少；二是本年科目调整，职工住房公积金、医疗保险、公务员医疗补助等经费上年在主科目列支，本年单独列支，导致经费较上年减少。</w:t>
      </w:r>
    </w:p>
    <w:p w14:paraId="68FAEE5D">
      <w:pPr>
        <w:spacing w:line="580" w:lineRule="exact"/>
        <w:ind w:firstLine="640"/>
        <w:jc w:val="both"/>
      </w:pPr>
      <w:r>
        <w:rPr>
          <w:rFonts w:ascii="仿宋_GB2312" w:hAnsi="仿宋_GB2312" w:eastAsia="仿宋_GB2312"/>
          <w:b w:val="0"/>
          <w:sz w:val="32"/>
        </w:rPr>
        <w:t>10.资源勘探工业信息等支出(类)工业和信息产业监管(款)其他工业和信息产业监管支出(项):支出决算数为19.98万元，比上年决算增加19.98万元，增长100.00%,主要原因是：本年增加园区食品加工区消防设施维修建设项目。</w:t>
      </w:r>
    </w:p>
    <w:p w14:paraId="19C6D68A">
      <w:pPr>
        <w:spacing w:line="580" w:lineRule="exact"/>
        <w:ind w:firstLine="640"/>
        <w:jc w:val="both"/>
      </w:pPr>
      <w:r>
        <w:rPr>
          <w:rFonts w:ascii="仿宋_GB2312" w:hAnsi="仿宋_GB2312" w:eastAsia="仿宋_GB2312"/>
          <w:b w:val="0"/>
          <w:sz w:val="32"/>
        </w:rPr>
        <w:t>11.住房保障支出(类)住房改革支出(款)住房公积金(项):支出决算数为21.36万元，比上年决算增加21.36万元，增长100.00%,主要原因是：本年功能科目调整，职工住房公积金上年度在主科目列支，本年单独列支，导致经费较上年增加。</w:t>
      </w:r>
    </w:p>
    <w:p w14:paraId="4F49A950">
      <w:pPr>
        <w:spacing w:line="640" w:lineRule="exact"/>
        <w:ind w:firstLine="640"/>
        <w:jc w:val="both"/>
        <w:outlineLvl w:val="2"/>
      </w:pPr>
      <w:r>
        <w:rPr>
          <w:rFonts w:ascii="黑体" w:hAnsi="黑体" w:eastAsia="黑体"/>
          <w:sz w:val="32"/>
        </w:rPr>
        <w:t>六、一般公共预算财政拨款基本支出决算情况说明</w:t>
      </w:r>
    </w:p>
    <w:p w14:paraId="1D2B7302">
      <w:pPr>
        <w:spacing w:line="580" w:lineRule="exact"/>
        <w:ind w:firstLine="640"/>
        <w:jc w:val="both"/>
      </w:pPr>
      <w:r>
        <w:rPr>
          <w:rFonts w:ascii="仿宋_GB2312" w:hAnsi="仿宋_GB2312" w:eastAsia="仿宋_GB2312"/>
          <w:b w:val="0"/>
          <w:sz w:val="32"/>
        </w:rPr>
        <w:t>2024年度一般公共预算财政拨款基本支出329.52万元，其中：</w:t>
      </w:r>
      <w:r>
        <w:rPr>
          <w:rFonts w:ascii="仿宋_GB2312" w:hAnsi="仿宋_GB2312" w:eastAsia="仿宋_GB2312"/>
          <w:b/>
          <w:sz w:val="32"/>
        </w:rPr>
        <w:t>人员经费318.50万元，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包括：基本工资、津贴补贴、奖金、绩效工资、机关事业单位基本养老保险缴费、职业年金缴费、职工基本医疗保险缴费、其他社会保障缴费、住房公积金、医疗费补助。</w:t>
      </w:r>
    </w:p>
    <w:p w14:paraId="3B3DAB9C">
      <w:pPr>
        <w:spacing w:line="580" w:lineRule="exact"/>
        <w:ind w:firstLine="640"/>
        <w:jc w:val="both"/>
      </w:pPr>
      <w:r>
        <w:rPr>
          <w:rFonts w:ascii="仿宋_GB2312" w:hAnsi="仿宋_GB2312" w:eastAsia="仿宋_GB2312"/>
          <w:b/>
          <w:sz w:val="32"/>
        </w:rPr>
        <w:t>公用经费11.01万元，</w:t>
      </w:r>
      <w:r>
        <w:rPr>
          <w:rFonts w:ascii="仿宋_GB2312" w:hAnsi="仿宋_GB2312" w:eastAsia="仿宋_GB2312"/>
          <w:b w:val="0"/>
          <w:sz w:val="32"/>
        </w:rPr>
        <w:t>包括：办公费、邮电费、取暖费、差旅费、劳务费、其他交通费用。</w:t>
      </w:r>
    </w:p>
    <w:p w14:paraId="7E5BB191">
      <w:pPr>
        <w:spacing w:line="640" w:lineRule="exact"/>
        <w:ind w:firstLine="640"/>
        <w:jc w:val="both"/>
        <w:outlineLvl w:val="2"/>
      </w:pPr>
      <w:r>
        <w:rPr>
          <w:rFonts w:ascii="黑体" w:hAnsi="黑体" w:eastAsia="黑体"/>
          <w:sz w:val="32"/>
        </w:rPr>
        <w:t>七、政府性基金预算财政拨款收入支出决算情况说明</w:t>
      </w:r>
    </w:p>
    <w:p w14:paraId="4A72BE13">
      <w:pPr>
        <w:spacing w:line="580" w:lineRule="exact"/>
        <w:ind w:firstLine="640"/>
        <w:jc w:val="both"/>
      </w:pPr>
      <w:r>
        <w:rPr>
          <w:rFonts w:ascii="仿宋_GB2312" w:hAnsi="仿宋_GB2312" w:eastAsia="仿宋_GB2312"/>
          <w:b/>
          <w:sz w:val="32"/>
        </w:rPr>
        <w:t>2024年度政府性基金预算财政拨款收入总计2.45万元，</w:t>
      </w:r>
      <w:r>
        <w:rPr>
          <w:rFonts w:ascii="仿宋_GB2312" w:hAnsi="仿宋_GB2312" w:eastAsia="仿宋_GB2312"/>
          <w:b w:val="0"/>
          <w:sz w:val="32"/>
        </w:rPr>
        <w:t>其中：年初结转和结余0.00万元，本年收入2.45万元。</w:t>
      </w:r>
      <w:r>
        <w:rPr>
          <w:rFonts w:ascii="仿宋_GB2312" w:hAnsi="仿宋_GB2312" w:eastAsia="仿宋_GB2312"/>
          <w:b/>
          <w:sz w:val="32"/>
        </w:rPr>
        <w:t>政府性基金预算财政拨款支出总计2.45万元，</w:t>
      </w:r>
      <w:r>
        <w:rPr>
          <w:rFonts w:ascii="仿宋_GB2312" w:hAnsi="仿宋_GB2312" w:eastAsia="仿宋_GB2312"/>
          <w:b w:val="0"/>
          <w:sz w:val="32"/>
        </w:rPr>
        <w:t>其中：年末结转和结余0.00万元，本年支出2.45万元。</w:t>
      </w:r>
    </w:p>
    <w:p w14:paraId="745D673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减少211.17万元，下降98.85%，主要原因是：本年度减少园区基础设施二期，三期和冷链仓储设施建设项目</w:t>
      </w:r>
      <w:r>
        <w:rPr>
          <w:rFonts w:hint="eastAsia" w:ascii="仿宋_GB2312" w:hAnsi="仿宋_GB2312" w:eastAsia="仿宋_GB2312"/>
          <w:b w:val="0"/>
          <w:sz w:val="32"/>
          <w:lang w:eastAsia="zh-CN"/>
        </w:rPr>
        <w:t>、</w:t>
      </w:r>
      <w:r>
        <w:rPr>
          <w:rFonts w:ascii="仿宋_GB2312" w:hAnsi="仿宋_GB2312" w:eastAsia="仿宋_GB2312"/>
          <w:b w:val="0"/>
          <w:sz w:val="32"/>
        </w:rPr>
        <w:t>减少保障性住房项目前期费。</w:t>
      </w:r>
      <w:r>
        <w:rPr>
          <w:rFonts w:ascii="仿宋_GB2312" w:hAnsi="仿宋_GB2312" w:eastAsia="仿宋_GB2312"/>
          <w:b/>
          <w:sz w:val="32"/>
        </w:rPr>
        <w:t>与年初预算相比，</w:t>
      </w:r>
      <w:r>
        <w:rPr>
          <w:rFonts w:ascii="仿宋_GB2312" w:hAnsi="仿宋_GB2312" w:eastAsia="仿宋_GB2312"/>
          <w:b w:val="0"/>
          <w:sz w:val="32"/>
        </w:rPr>
        <w:t>年初预算数0.00万元，决算数2.45万元，预决算差异率100.00%，主要原因是：年中追加火车站道路占用耕地补偿费项目资金。</w:t>
      </w:r>
    </w:p>
    <w:p w14:paraId="112F4688">
      <w:pPr>
        <w:spacing w:line="580" w:lineRule="exact"/>
        <w:ind w:firstLine="640"/>
        <w:jc w:val="both"/>
      </w:pPr>
      <w:r>
        <w:rPr>
          <w:rFonts w:ascii="仿宋_GB2312" w:hAnsi="仿宋_GB2312" w:eastAsia="仿宋_GB2312"/>
          <w:b w:val="0"/>
          <w:sz w:val="32"/>
        </w:rPr>
        <w:t>政府性基金预算财政拨款支出2.45万元。</w:t>
      </w:r>
    </w:p>
    <w:p w14:paraId="2BDD43BB">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1.城乡社区支出(类)国有土地使用权出让收入安排的支出(款)征地和拆迁补偿支出(项):支出决算数为2.45万元，比上年决算增加2.45万元，增长100.00%,主要原因是：增加火车站道路占用耕地补偿费项目资金。</w:t>
      </w:r>
    </w:p>
    <w:p w14:paraId="1EBD18EA">
      <w:pPr>
        <w:spacing w:line="580" w:lineRule="exact"/>
        <w:ind w:firstLine="640"/>
        <w:jc w:val="both"/>
      </w:pPr>
      <w:r>
        <w:rPr>
          <w:rFonts w:ascii="仿宋_GB2312" w:hAnsi="仿宋_GB2312" w:eastAsia="仿宋_GB2312"/>
          <w:b w:val="0"/>
          <w:sz w:val="32"/>
        </w:rPr>
        <w:t>2.城乡社区支出(类)国有土地使用权出让收入安排的支出(款)农业农村生态环境支出(项):支出决算数为0.00万元，比上年决算减少193.52万元，下降100.00%,主要原因是：减少园区基础设施二期，三期建设项目前期费和冷链仓储设施建设项目前期费。</w:t>
      </w:r>
    </w:p>
    <w:p w14:paraId="5BBC90D0">
      <w:pPr>
        <w:spacing w:line="580" w:lineRule="exact"/>
        <w:ind w:firstLine="640"/>
        <w:jc w:val="both"/>
      </w:pPr>
      <w:r>
        <w:rPr>
          <w:rFonts w:ascii="仿宋_GB2312" w:hAnsi="仿宋_GB2312" w:eastAsia="仿宋_GB2312"/>
          <w:b w:val="0"/>
          <w:sz w:val="32"/>
        </w:rPr>
        <w:t>3.城乡社区支出(类)国有土地使用权出让收入安排的支出(款)其他国有土地使用权出让收入安排的支出(项):支出决算数为0.00万元，比上年决算减少20.10万元，下降100.00%,主要原因是：减少保障性住房项目前期费。</w:t>
      </w:r>
    </w:p>
    <w:p w14:paraId="78397DA5">
      <w:pPr>
        <w:spacing w:line="640" w:lineRule="exact"/>
        <w:ind w:firstLine="640"/>
        <w:jc w:val="both"/>
        <w:outlineLvl w:val="2"/>
      </w:pPr>
      <w:r>
        <w:rPr>
          <w:rFonts w:ascii="黑体" w:hAnsi="黑体" w:eastAsia="黑体"/>
          <w:sz w:val="32"/>
        </w:rPr>
        <w:t>八、国有资本经营预算财政拨款收入支出决算情况说明</w:t>
      </w:r>
    </w:p>
    <w:p w14:paraId="0594F4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2106434">
      <w:pPr>
        <w:spacing w:line="640" w:lineRule="exact"/>
        <w:ind w:firstLine="640"/>
        <w:jc w:val="both"/>
        <w:outlineLvl w:val="2"/>
      </w:pPr>
      <w:r>
        <w:rPr>
          <w:rFonts w:ascii="黑体" w:hAnsi="黑体" w:eastAsia="黑体"/>
          <w:sz w:val="32"/>
        </w:rPr>
        <w:t>九、财政拨款“三公”经费支出决算情况说明</w:t>
      </w:r>
    </w:p>
    <w:p w14:paraId="2392ADB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1B802F4">
      <w:pPr>
        <w:spacing w:line="580" w:lineRule="exact"/>
        <w:ind w:firstLine="640"/>
        <w:jc w:val="both"/>
      </w:pPr>
      <w:r>
        <w:rPr>
          <w:rFonts w:ascii="仿宋_GB2312" w:hAnsi="仿宋_GB2312" w:eastAsia="仿宋_GB2312"/>
          <w:b/>
          <w:sz w:val="32"/>
        </w:rPr>
        <w:t>具体情况如下：</w:t>
      </w:r>
    </w:p>
    <w:p w14:paraId="6E00D57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B1FE0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3F1D58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307AF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7BBC30">
      <w:pPr>
        <w:spacing w:line="640" w:lineRule="exact"/>
        <w:ind w:firstLine="640"/>
        <w:jc w:val="both"/>
        <w:outlineLvl w:val="2"/>
      </w:pPr>
      <w:r>
        <w:rPr>
          <w:rFonts w:ascii="黑体" w:hAnsi="黑体" w:eastAsia="黑体"/>
          <w:sz w:val="32"/>
        </w:rPr>
        <w:t>十、其他重要事项的情况说明</w:t>
      </w:r>
    </w:p>
    <w:p w14:paraId="6DC0D470">
      <w:pPr>
        <w:spacing w:line="640" w:lineRule="exact"/>
        <w:ind w:firstLine="640"/>
        <w:jc w:val="both"/>
        <w:outlineLvl w:val="3"/>
      </w:pPr>
      <w:r>
        <w:rPr>
          <w:rFonts w:ascii="楷体_GB2312" w:hAnsi="楷体_GB2312" w:eastAsia="楷体_GB2312"/>
          <w:b/>
          <w:sz w:val="32"/>
        </w:rPr>
        <w:t>（一）机关运行经费及公用经费支出情况</w:t>
      </w:r>
    </w:p>
    <w:p w14:paraId="00FB96E8">
      <w:pPr>
        <w:spacing w:line="580" w:lineRule="exact"/>
        <w:ind w:firstLine="640"/>
        <w:jc w:val="both"/>
      </w:pPr>
      <w:r>
        <w:rPr>
          <w:rFonts w:ascii="仿宋_GB2312" w:hAnsi="仿宋_GB2312" w:eastAsia="仿宋_GB2312"/>
          <w:b w:val="0"/>
          <w:sz w:val="32"/>
        </w:rPr>
        <w:t>2024年度民丰县工业园区管委会（事业单位）公用经费支出11.01万元，比上年减少12.90万元，下降53.95%，主要原因是：本年电费、办公费、水费减少，导致公用经费减少。</w:t>
      </w:r>
    </w:p>
    <w:p w14:paraId="031857B1">
      <w:pPr>
        <w:spacing w:line="640" w:lineRule="exact"/>
        <w:ind w:firstLine="640"/>
        <w:jc w:val="both"/>
        <w:outlineLvl w:val="3"/>
      </w:pPr>
      <w:r>
        <w:rPr>
          <w:rFonts w:ascii="楷体_GB2312" w:hAnsi="楷体_GB2312" w:eastAsia="楷体_GB2312"/>
          <w:b/>
          <w:sz w:val="32"/>
        </w:rPr>
        <w:t>（二）政府采购情况</w:t>
      </w:r>
    </w:p>
    <w:p w14:paraId="311DBAD0">
      <w:pPr>
        <w:spacing w:line="580" w:lineRule="exact"/>
        <w:ind w:firstLine="640"/>
        <w:jc w:val="both"/>
      </w:pPr>
      <w:r>
        <w:rPr>
          <w:rFonts w:ascii="仿宋_GB2312" w:hAnsi="仿宋_GB2312" w:eastAsia="仿宋_GB2312"/>
          <w:b w:val="0"/>
          <w:sz w:val="32"/>
        </w:rPr>
        <w:t>2024年度政府采购支出总额60.29万元，其中：政府采购货物支出3.55万元、政府采购工程支出0.00万元、政府采购服务支出56.74万元。</w:t>
      </w:r>
    </w:p>
    <w:p w14:paraId="03D5657D">
      <w:pPr>
        <w:spacing w:line="580" w:lineRule="exact"/>
        <w:ind w:firstLine="640"/>
        <w:jc w:val="both"/>
      </w:pPr>
      <w:r>
        <w:rPr>
          <w:rFonts w:ascii="仿宋_GB2312" w:hAnsi="仿宋_GB2312" w:eastAsia="仿宋_GB2312"/>
          <w:b w:val="0"/>
          <w:sz w:val="32"/>
        </w:rPr>
        <w:t>授予中小企业合同金额60.29万元，占政府采购支出总额的100.00%，其中：授予小微企业合同金额60.29万元，占政府采购支出总额的100.00%。</w:t>
      </w:r>
    </w:p>
    <w:p w14:paraId="34BBC936">
      <w:pPr>
        <w:spacing w:line="640" w:lineRule="exact"/>
        <w:ind w:firstLine="640"/>
        <w:jc w:val="both"/>
        <w:outlineLvl w:val="3"/>
      </w:pPr>
      <w:r>
        <w:rPr>
          <w:rFonts w:ascii="楷体_GB2312" w:hAnsi="楷体_GB2312" w:eastAsia="楷体_GB2312"/>
          <w:b/>
          <w:sz w:val="32"/>
        </w:rPr>
        <w:t>（三）国有资产占用情况说明</w:t>
      </w:r>
    </w:p>
    <w:p w14:paraId="320DEDB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28B5093">
      <w:pPr>
        <w:spacing w:line="640" w:lineRule="exact"/>
        <w:ind w:firstLine="640"/>
        <w:jc w:val="both"/>
        <w:outlineLvl w:val="2"/>
      </w:pPr>
      <w:r>
        <w:rPr>
          <w:rFonts w:ascii="黑体" w:hAnsi="黑体" w:eastAsia="黑体"/>
          <w:sz w:val="32"/>
        </w:rPr>
        <w:t>十一、预算绩效的情况说明</w:t>
      </w:r>
    </w:p>
    <w:p w14:paraId="71A7732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611.93万元，实际执行总额611.93万元；预算绩效评价项目6个，全年预算数72.06万元，全年执行数71.21万元。预算绩效管理取得的成效：保证单位日常工作运行经费提供良好履职基础，使各局室有明确的工作任务，加强队伍建设，干部作风严谨务实，增强服务意识，提升了园区服务效能及公共服务质量和水平；积极对接联系发改、财政、住建等部门，加大谋划储备园区基础设施项目力度，一方面围绕现状基础设施补齐短板，另一方面围绕化工园区认定需要的建设，依据规划编制情况，提早储备项目，如污水处理厂、自来水厂或水质净化厂、双电源供电变配电站、固废填埋场、事故应急池、公共管廊、集中供热设施等。发现的问题及原因：对于目标设定需要分科室单位分解,汇总后制定整体目标，如何科学整合全单位绩效目标比较困难；目标设定后如何科学设定考核评价标准，特别是对于不能量化的目标如何评价。下一步改进措施</w:t>
      </w:r>
      <w:r>
        <w:rPr>
          <w:rFonts w:hint="eastAsia" w:ascii="仿宋_GB2312" w:hAnsi="仿宋_GB2312" w:eastAsia="仿宋_GB2312"/>
          <w:b w:val="0"/>
          <w:sz w:val="32"/>
          <w:lang w:eastAsia="zh-CN"/>
        </w:rPr>
        <w:t>：由</w:t>
      </w:r>
      <w:r>
        <w:rPr>
          <w:rFonts w:ascii="仿宋_GB2312" w:hAnsi="仿宋_GB2312" w:eastAsia="仿宋_GB2312"/>
          <w:b w:val="0"/>
          <w:sz w:val="32"/>
        </w:rPr>
        <w:t>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效评价的结果,不断提升预算管理水平。具体附整体支出绩效自评表，项目支出绩效自评表和评价报告。</w:t>
      </w:r>
    </w:p>
    <w:p w14:paraId="5855B12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78645A7">
        <w:tblPrEx>
          <w:tblCellMar>
            <w:top w:w="0" w:type="dxa"/>
            <w:left w:w="108" w:type="dxa"/>
            <w:bottom w:w="0" w:type="dxa"/>
            <w:right w:w="108" w:type="dxa"/>
          </w:tblCellMar>
        </w:tblPrEx>
        <w:tc>
          <w:tcPr>
            <w:tcW w:w="8847" w:type="dxa"/>
            <w:gridSpan w:val="9"/>
            <w:vAlign w:val="center"/>
          </w:tcPr>
          <w:p w14:paraId="606FCDC0">
            <w:pPr>
              <w:jc w:val="center"/>
            </w:pPr>
            <w:r>
              <w:rPr>
                <w:rFonts w:ascii="宋体" w:hAnsi="宋体" w:eastAsia="宋体"/>
                <w:sz w:val="24"/>
              </w:rPr>
              <w:t>单位整体支出绩效自评表</w:t>
            </w:r>
          </w:p>
        </w:tc>
      </w:tr>
      <w:tr w14:paraId="1A9DC659">
        <w:tblPrEx>
          <w:tblCellMar>
            <w:top w:w="0" w:type="dxa"/>
            <w:left w:w="108" w:type="dxa"/>
            <w:bottom w:w="0" w:type="dxa"/>
            <w:right w:w="108" w:type="dxa"/>
          </w:tblCellMar>
        </w:tblPrEx>
        <w:tc>
          <w:tcPr>
            <w:tcW w:w="8847" w:type="dxa"/>
            <w:gridSpan w:val="9"/>
            <w:vAlign w:val="center"/>
          </w:tcPr>
          <w:p w14:paraId="1E1D2A6A">
            <w:pPr>
              <w:jc w:val="center"/>
            </w:pPr>
            <w:r>
              <w:rPr>
                <w:rFonts w:ascii="宋体" w:hAnsi="宋体" w:eastAsia="宋体"/>
                <w:sz w:val="24"/>
              </w:rPr>
              <w:t>（2024年度）</w:t>
            </w:r>
          </w:p>
        </w:tc>
      </w:tr>
      <w:tr w14:paraId="2B3DA4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75A1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C6F3869">
            <w:pPr>
              <w:jc w:val="center"/>
            </w:pPr>
            <w:r>
              <w:rPr>
                <w:rFonts w:ascii="宋体" w:hAnsi="宋体" w:eastAsia="宋体"/>
                <w:sz w:val="16"/>
              </w:rPr>
              <w:t>民丰县工业园区管委会</w:t>
            </w:r>
          </w:p>
        </w:tc>
      </w:tr>
      <w:tr w14:paraId="288831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C0B04">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471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2BEE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6562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6AE3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35FD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FBAB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79748">
            <w:pPr>
              <w:jc w:val="center"/>
            </w:pPr>
            <w:r>
              <w:rPr>
                <w:rFonts w:ascii="宋体" w:hAnsi="宋体" w:eastAsia="宋体"/>
                <w:sz w:val="16"/>
              </w:rPr>
              <w:t>得分</w:t>
            </w:r>
          </w:p>
        </w:tc>
      </w:tr>
      <w:tr w14:paraId="7676D7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8FA4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EB789">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ECEC7">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3A9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8BD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470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126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3E2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0C9DE">
            <w:pPr>
              <w:jc w:val="center"/>
            </w:pPr>
            <w:r>
              <w:rPr>
                <w:rFonts w:ascii="宋体" w:hAnsi="宋体" w:eastAsia="宋体"/>
                <w:sz w:val="16"/>
              </w:rPr>
              <w:t>-</w:t>
            </w:r>
          </w:p>
        </w:tc>
      </w:tr>
      <w:tr w14:paraId="064573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78C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962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8A32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A020E">
            <w:pPr>
              <w:jc w:val="center"/>
            </w:pPr>
            <w:r>
              <w:rPr>
                <w:rFonts w:ascii="宋体" w:hAnsi="宋体" w:eastAsia="宋体"/>
                <w:sz w:val="16"/>
              </w:rPr>
              <w:t>321.75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8C37">
            <w:pPr>
              <w:jc w:val="center"/>
            </w:pPr>
            <w:r>
              <w:rPr>
                <w:rFonts w:ascii="宋体" w:hAnsi="宋体" w:eastAsia="宋体"/>
                <w:sz w:val="16"/>
              </w:rPr>
              <w:t>370.88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BA60C">
            <w:pPr>
              <w:jc w:val="center"/>
            </w:pPr>
            <w:r>
              <w:rPr>
                <w:rFonts w:ascii="宋体" w:hAnsi="宋体" w:eastAsia="宋体"/>
                <w:sz w:val="16"/>
              </w:rPr>
              <w:t>370.88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7B1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156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9F3AA">
            <w:pPr>
              <w:jc w:val="center"/>
            </w:pPr>
            <w:r>
              <w:rPr>
                <w:rFonts w:ascii="宋体" w:hAnsi="宋体" w:eastAsia="宋体"/>
                <w:sz w:val="16"/>
              </w:rPr>
              <w:t>-</w:t>
            </w:r>
          </w:p>
        </w:tc>
      </w:tr>
      <w:tr w14:paraId="13F7E5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16C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C9F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D3425">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FECD4">
            <w:pPr>
              <w:jc w:val="center"/>
            </w:pPr>
            <w:r>
              <w:rPr>
                <w:rFonts w:ascii="宋体" w:hAnsi="宋体" w:eastAsia="宋体"/>
                <w:sz w:val="16"/>
              </w:rPr>
              <w:t>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F28E9">
            <w:pPr>
              <w:jc w:val="center"/>
            </w:pPr>
            <w:r>
              <w:rPr>
                <w:rFonts w:ascii="宋体" w:hAnsi="宋体" w:eastAsia="宋体"/>
                <w:sz w:val="16"/>
              </w:rPr>
              <w:t>241.05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24DF6">
            <w:pPr>
              <w:jc w:val="center"/>
            </w:pPr>
            <w:r>
              <w:rPr>
                <w:rFonts w:ascii="宋体" w:hAnsi="宋体" w:eastAsia="宋体"/>
                <w:sz w:val="16"/>
              </w:rPr>
              <w:t>241.05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D85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EDA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4DE1B">
            <w:pPr>
              <w:jc w:val="center"/>
            </w:pPr>
            <w:r>
              <w:rPr>
                <w:rFonts w:ascii="宋体" w:hAnsi="宋体" w:eastAsia="宋体"/>
                <w:sz w:val="16"/>
              </w:rPr>
              <w:t>-</w:t>
            </w:r>
          </w:p>
        </w:tc>
      </w:tr>
      <w:tr w14:paraId="14D485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B83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FED35">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5DA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90F91">
            <w:pPr>
              <w:jc w:val="center"/>
            </w:pPr>
            <w:r>
              <w:rPr>
                <w:rFonts w:ascii="宋体" w:hAnsi="宋体" w:eastAsia="宋体"/>
                <w:sz w:val="16"/>
              </w:rPr>
              <w:t>322.56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6B6EA">
            <w:pPr>
              <w:jc w:val="center"/>
            </w:pPr>
            <w:r>
              <w:rPr>
                <w:rFonts w:ascii="宋体" w:hAnsi="宋体" w:eastAsia="宋体"/>
                <w:sz w:val="16"/>
              </w:rPr>
              <w:t>611.93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F1E29">
            <w:pPr>
              <w:jc w:val="center"/>
            </w:pPr>
            <w:r>
              <w:rPr>
                <w:rFonts w:ascii="宋体" w:hAnsi="宋体" w:eastAsia="宋体"/>
                <w:sz w:val="16"/>
              </w:rPr>
              <w:t>611.93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638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9DCD7">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EB4B7">
            <w:pPr>
              <w:jc w:val="center"/>
            </w:pPr>
            <w:r>
              <w:rPr>
                <w:rFonts w:ascii="宋体" w:hAnsi="宋体" w:eastAsia="宋体"/>
                <w:sz w:val="16"/>
              </w:rPr>
              <w:t>8.59</w:t>
            </w:r>
          </w:p>
        </w:tc>
      </w:tr>
      <w:tr w14:paraId="2DE1E5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58A4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C1888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B8507D">
            <w:pPr>
              <w:jc w:val="center"/>
            </w:pPr>
            <w:r>
              <w:rPr>
                <w:rFonts w:ascii="宋体" w:hAnsi="宋体" w:eastAsia="宋体"/>
                <w:sz w:val="16"/>
              </w:rPr>
              <w:t>实际完成情况</w:t>
            </w:r>
          </w:p>
        </w:tc>
      </w:tr>
      <w:tr w14:paraId="4579A1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43B8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2C851D">
            <w:pPr>
              <w:jc w:val="both"/>
            </w:pPr>
            <w:r>
              <w:rPr>
                <w:rFonts w:ascii="宋体" w:hAnsi="宋体" w:eastAsia="宋体"/>
                <w:sz w:val="16"/>
              </w:rPr>
              <w:t>目标1：贯彻执行党和国家有关农业的方针、政策、对固定资产投资项目进行管理，部门履职干部数量15人，服务园区企业数量不少于24个，新增规上企业1家，提高了当地的就业率，园区综合服务能力提升，促进县域经济发展，全面完成园区经济发展等各项工作任务；                                                                                                                                       目标2：保证单位日常工作运行经费提供良好履职基础，使各局室有明确的工作任务，加强队伍建设，干部作风严谨务实，增强服务意识，提升了园区服务效能及公共服务质量和水平；                   目标3：积极对接联系发改、财政、住建等部门，加大谋划储备园区基础设施项目力度，一方面围绕现状基础设施补齐短板，另一方面围绕化工园区认定需要的建设，依据规划编制情况，提早储备项目，如污水处理厂、自来水厂或水质净化厂、双电源供电变配电站、固废填埋场、事故应急池、公共管廊、集中供热设施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7C628D">
            <w:pPr>
              <w:jc w:val="both"/>
            </w:pPr>
            <w:r>
              <w:rPr>
                <w:rFonts w:ascii="宋体" w:hAnsi="宋体" w:eastAsia="宋体"/>
                <w:sz w:val="16"/>
              </w:rPr>
              <w:t>截至目前，已完成贯彻执行党和国家有关农业的方针、政策、对固定资产投资项目进行管理，部门履职干部数量15人，服务园区企业数量不少于24个，新增规上企业1家，提高了当地的就业率，园区综合服务能力提升，促进县域经济发展，全面完成园区经济发展等各项工作任务；保证单位日常工作运行经费提供良好履职基础，使各局室有明确的工作任务，加强队伍建设，干部作风严谨务实，增强服务意识，提升了园区服务效能及公共服务质量和水平；积极对接联系发改、财政、住建等部门，加大谋划储备园区基础设施项目力度，一方面围绕现状基础设施补齐短板，另一方面围绕化工园区认定需要的建设，依据规划编制情况，提早储备项目，如污水处理厂、自来水厂或水质净化厂、双电源供电变配电站、固废填埋场、事故应急池、公共管廊、集中供热设施等。</w:t>
            </w:r>
          </w:p>
        </w:tc>
      </w:tr>
      <w:tr w14:paraId="14187C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8366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E9936">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2023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7F6E3">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931F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9122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95477">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0A9D9">
            <w:pPr>
              <w:jc w:val="center"/>
            </w:pPr>
            <w:r>
              <w:rPr>
                <w:rFonts w:ascii="宋体" w:hAnsi="宋体" w:eastAsia="宋体"/>
                <w:sz w:val="16"/>
              </w:rPr>
              <w:t>得分</w:t>
            </w:r>
          </w:p>
        </w:tc>
      </w:tr>
      <w:tr w14:paraId="681569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41D8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8A0BD">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CFCF7">
            <w:pPr>
              <w:jc w:val="center"/>
            </w:pPr>
            <w:r>
              <w:rPr>
                <w:rFonts w:ascii="宋体" w:hAnsi="宋体" w:eastAsia="宋体"/>
                <w:sz w:val="16"/>
              </w:rPr>
              <w:t>服务园区企业数量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49491">
            <w:pPr>
              <w:jc w:val="center"/>
            </w:pPr>
            <w:r>
              <w:rPr>
                <w:rFonts w:ascii="宋体" w:hAnsi="宋体" w:eastAsia="宋体"/>
                <w:sz w:val="16"/>
              </w:rPr>
              <w:t>&gt;=24家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8E59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C8FA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419D1">
            <w:pPr>
              <w:jc w:val="center"/>
            </w:pPr>
            <w:r>
              <w:rPr>
                <w:rFonts w:ascii="宋体" w:hAnsi="宋体" w:eastAsia="宋体"/>
                <w:sz w:val="16"/>
              </w:rPr>
              <w:t>23家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AC361">
            <w:pPr>
              <w:jc w:val="center"/>
            </w:pPr>
            <w:r>
              <w:rPr>
                <w:rFonts w:ascii="宋体" w:hAnsi="宋体" w:eastAsia="宋体"/>
                <w:sz w:val="16"/>
              </w:rPr>
              <w:t>30</w:t>
            </w:r>
          </w:p>
        </w:tc>
      </w:tr>
      <w:tr w14:paraId="54CFAF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584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885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4AE52">
            <w:pPr>
              <w:jc w:val="center"/>
            </w:pPr>
            <w:r>
              <w:rPr>
                <w:rFonts w:ascii="宋体" w:hAnsi="宋体" w:eastAsia="宋体"/>
                <w:sz w:val="16"/>
              </w:rPr>
              <w:t>新增规上企业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42CE2">
            <w:pPr>
              <w:jc w:val="center"/>
            </w:pPr>
            <w:r>
              <w:rPr>
                <w:rFonts w:ascii="宋体" w:hAnsi="宋体" w:eastAsia="宋体"/>
                <w:sz w:val="16"/>
              </w:rPr>
              <w:t>&gt;=1家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773E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D11E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F59DA">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A61A5">
            <w:pPr>
              <w:jc w:val="center"/>
            </w:pPr>
            <w:r>
              <w:rPr>
                <w:rFonts w:ascii="宋体" w:hAnsi="宋体" w:eastAsia="宋体"/>
                <w:sz w:val="16"/>
              </w:rPr>
              <w:t>30</w:t>
            </w:r>
          </w:p>
        </w:tc>
      </w:tr>
      <w:tr w14:paraId="161CB1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7765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BB2A8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6E567">
            <w:pPr>
              <w:jc w:val="center"/>
            </w:pPr>
            <w:r>
              <w:rPr>
                <w:rFonts w:ascii="宋体" w:hAnsi="宋体" w:eastAsia="宋体"/>
                <w:sz w:val="16"/>
              </w:rPr>
              <w:t>招商引资落地企业完成率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EA4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D344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A85C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5B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0569C">
            <w:pPr>
              <w:jc w:val="center"/>
            </w:pPr>
            <w:r>
              <w:rPr>
                <w:rFonts w:ascii="宋体" w:hAnsi="宋体" w:eastAsia="宋体"/>
                <w:sz w:val="16"/>
              </w:rPr>
              <w:t>30</w:t>
            </w:r>
          </w:p>
        </w:tc>
      </w:tr>
    </w:tbl>
    <w:p w14:paraId="775BEC9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840543">
        <w:tblPrEx>
          <w:tblCellMar>
            <w:top w:w="0" w:type="dxa"/>
            <w:left w:w="108" w:type="dxa"/>
            <w:bottom w:w="0" w:type="dxa"/>
            <w:right w:w="108" w:type="dxa"/>
          </w:tblCellMar>
        </w:tblPrEx>
        <w:tc>
          <w:tcPr>
            <w:tcW w:w="8847" w:type="dxa"/>
            <w:gridSpan w:val="9"/>
            <w:vAlign w:val="center"/>
          </w:tcPr>
          <w:p w14:paraId="5DA1EDB4">
            <w:pPr>
              <w:jc w:val="center"/>
            </w:pPr>
            <w:r>
              <w:rPr>
                <w:rFonts w:ascii="宋体" w:hAnsi="宋体" w:eastAsia="宋体"/>
                <w:sz w:val="24"/>
              </w:rPr>
              <w:t>项目支出绩效自评表</w:t>
            </w:r>
          </w:p>
        </w:tc>
      </w:tr>
      <w:tr w14:paraId="0AD8FD8D">
        <w:tblPrEx>
          <w:tblCellMar>
            <w:top w:w="0" w:type="dxa"/>
            <w:left w:w="108" w:type="dxa"/>
            <w:bottom w:w="0" w:type="dxa"/>
            <w:right w:w="108" w:type="dxa"/>
          </w:tblCellMar>
        </w:tblPrEx>
        <w:tc>
          <w:tcPr>
            <w:tcW w:w="8847" w:type="dxa"/>
            <w:gridSpan w:val="9"/>
            <w:vAlign w:val="center"/>
          </w:tcPr>
          <w:p w14:paraId="291AA4B0">
            <w:pPr>
              <w:jc w:val="center"/>
            </w:pPr>
            <w:r>
              <w:rPr>
                <w:rFonts w:ascii="宋体" w:hAnsi="宋体" w:eastAsia="宋体"/>
                <w:sz w:val="24"/>
              </w:rPr>
              <w:t>(2024年度)</w:t>
            </w:r>
          </w:p>
        </w:tc>
      </w:tr>
      <w:tr w14:paraId="261759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BBB8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E4BFA4">
            <w:pPr>
              <w:jc w:val="center"/>
            </w:pPr>
            <w:r>
              <w:rPr>
                <w:rFonts w:ascii="宋体" w:hAnsi="宋体" w:eastAsia="宋体"/>
                <w:sz w:val="16"/>
              </w:rPr>
              <w:t>和田地区民丰县大型停车场建设项目</w:t>
            </w:r>
          </w:p>
        </w:tc>
      </w:tr>
      <w:tr w14:paraId="0E3EC0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5115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3AB335">
            <w:pPr>
              <w:jc w:val="center"/>
            </w:pPr>
            <w:r>
              <w:rPr>
                <w:rFonts w:ascii="宋体" w:hAnsi="宋体" w:eastAsia="宋体"/>
                <w:sz w:val="16"/>
              </w:rPr>
              <w:t>民丰县工业园区管理委员会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0481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A5BCE9">
            <w:pPr>
              <w:jc w:val="center"/>
            </w:pPr>
            <w:r>
              <w:rPr>
                <w:rFonts w:ascii="宋体" w:hAnsi="宋体" w:eastAsia="宋体"/>
                <w:sz w:val="16"/>
              </w:rPr>
              <w:t>民丰县工业园区管委会</w:t>
            </w:r>
          </w:p>
        </w:tc>
      </w:tr>
      <w:tr w14:paraId="3A0AA5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E7E1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6152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0936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D42E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FD54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36E8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4DAD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15F1B">
            <w:pPr>
              <w:jc w:val="center"/>
            </w:pPr>
            <w:r>
              <w:rPr>
                <w:rFonts w:ascii="宋体" w:hAnsi="宋体" w:eastAsia="宋体"/>
                <w:sz w:val="16"/>
              </w:rPr>
              <w:t>得分</w:t>
            </w:r>
          </w:p>
        </w:tc>
      </w:tr>
      <w:tr w14:paraId="730283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CE5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95C8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F8AAC">
            <w:pPr>
              <w:jc w:val="center"/>
            </w:pPr>
            <w:r>
              <w:rPr>
                <w:rFonts w:ascii="宋体" w:hAnsi="宋体" w:eastAsia="宋体"/>
                <w:sz w:val="16"/>
              </w:rPr>
              <w:t>19.00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6A971">
            <w:pPr>
              <w:jc w:val="center"/>
            </w:pPr>
            <w:r>
              <w:rPr>
                <w:rFonts w:ascii="宋体" w:hAnsi="宋体" w:eastAsia="宋体"/>
                <w:sz w:val="16"/>
              </w:rPr>
              <w:t>19.00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36A6B">
            <w:pPr>
              <w:jc w:val="center"/>
            </w:pPr>
            <w:r>
              <w:rPr>
                <w:rFonts w:ascii="宋体" w:hAnsi="宋体" w:eastAsia="宋体"/>
                <w:sz w:val="16"/>
              </w:rPr>
              <w:t>18.98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B2E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02F77">
            <w:pPr>
              <w:jc w:val="center"/>
            </w:pPr>
            <w:r>
              <w:rPr>
                <w:rFonts w:ascii="宋体" w:hAnsi="宋体" w:eastAsia="宋体"/>
                <w:sz w:val="16"/>
              </w:rPr>
              <w:t xml:space="preserve">99.89%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EADBE">
            <w:pPr>
              <w:jc w:val="center"/>
            </w:pPr>
            <w:r>
              <w:rPr>
                <w:rFonts w:ascii="宋体" w:hAnsi="宋体" w:eastAsia="宋体"/>
                <w:sz w:val="16"/>
              </w:rPr>
              <w:t>9.97分</w:t>
            </w:r>
          </w:p>
        </w:tc>
      </w:tr>
      <w:tr w14:paraId="3B2F0D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DB83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9F23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38538">
            <w:pPr>
              <w:jc w:val="center"/>
            </w:pPr>
            <w:r>
              <w:rPr>
                <w:rFonts w:ascii="宋体" w:hAnsi="宋体" w:eastAsia="宋体"/>
                <w:sz w:val="16"/>
              </w:rPr>
              <w:t>19.00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4461B">
            <w:pPr>
              <w:jc w:val="center"/>
            </w:pPr>
            <w:r>
              <w:rPr>
                <w:rFonts w:ascii="宋体" w:hAnsi="宋体" w:eastAsia="宋体"/>
                <w:sz w:val="16"/>
              </w:rPr>
              <w:t>19.00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5ABD0">
            <w:pPr>
              <w:jc w:val="center"/>
            </w:pPr>
            <w:r>
              <w:rPr>
                <w:rFonts w:ascii="宋体" w:hAnsi="宋体" w:eastAsia="宋体"/>
                <w:sz w:val="16"/>
              </w:rPr>
              <w:t>18.98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6C0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6E2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29019">
            <w:pPr>
              <w:jc w:val="center"/>
            </w:pPr>
            <w:r>
              <w:rPr>
                <w:rFonts w:ascii="宋体" w:hAnsi="宋体" w:eastAsia="宋体"/>
                <w:sz w:val="16"/>
              </w:rPr>
              <w:t>—</w:t>
            </w:r>
          </w:p>
        </w:tc>
      </w:tr>
      <w:tr w14:paraId="5C7A68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B58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3EF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73F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12B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7E6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453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FFB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40A77">
            <w:pPr>
              <w:jc w:val="center"/>
            </w:pPr>
            <w:r>
              <w:rPr>
                <w:rFonts w:ascii="宋体" w:hAnsi="宋体" w:eastAsia="宋体"/>
                <w:sz w:val="16"/>
              </w:rPr>
              <w:t>—</w:t>
            </w:r>
          </w:p>
        </w:tc>
      </w:tr>
      <w:tr w14:paraId="258084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E43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D8A6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C41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24D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05C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D01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202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6EB8B">
            <w:pPr>
              <w:jc w:val="center"/>
            </w:pPr>
            <w:r>
              <w:rPr>
                <w:rFonts w:ascii="宋体" w:hAnsi="宋体" w:eastAsia="宋体"/>
                <w:sz w:val="16"/>
              </w:rPr>
              <w:t>—</w:t>
            </w:r>
          </w:p>
        </w:tc>
      </w:tr>
      <w:tr w14:paraId="252422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1B74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BE94A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B79F6B">
            <w:pPr>
              <w:jc w:val="center"/>
            </w:pPr>
            <w:r>
              <w:rPr>
                <w:rFonts w:ascii="宋体" w:hAnsi="宋体" w:eastAsia="宋体"/>
                <w:sz w:val="16"/>
              </w:rPr>
              <w:t>实际完成情况</w:t>
            </w:r>
          </w:p>
        </w:tc>
      </w:tr>
      <w:tr w14:paraId="1612AC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0144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56F6D6">
            <w:pPr>
              <w:jc w:val="both"/>
            </w:pPr>
            <w:r>
              <w:rPr>
                <w:rFonts w:ascii="宋体" w:hAnsi="宋体" w:eastAsia="宋体"/>
                <w:sz w:val="16"/>
              </w:rPr>
              <w:t>根据民丰县2024年第一批自治区预算内前期费计划分表，实施本项目。项目主要实施内容：计划新建停车场面积300000平方米，供水长度4公里，排水长度4公里，电力长度4公里，天然气管网7公里。通过项目实施，有效减少非法停车现象，为居民提供</w:t>
            </w:r>
            <w:r>
              <w:rPr>
                <w:rFonts w:hint="eastAsia" w:ascii="宋体" w:hAnsi="宋体"/>
                <w:sz w:val="16"/>
                <w:lang w:eastAsia="zh-CN"/>
              </w:rPr>
              <w:t>便捷</w:t>
            </w:r>
            <w:r>
              <w:rPr>
                <w:rFonts w:ascii="宋体" w:hAnsi="宋体" w:eastAsia="宋体"/>
                <w:sz w:val="16"/>
              </w:rPr>
              <w:t>停车服务，提高群众出行效率。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F742D2">
            <w:pPr>
              <w:jc w:val="both"/>
            </w:pPr>
            <w:r>
              <w:rPr>
                <w:rFonts w:hint="eastAsia" w:ascii="宋体" w:hAnsi="宋体"/>
                <w:sz w:val="16"/>
                <w:lang w:eastAsia="zh-CN"/>
              </w:rPr>
              <w:t>截至</w:t>
            </w:r>
            <w:r>
              <w:rPr>
                <w:rFonts w:ascii="宋体" w:hAnsi="宋体" w:eastAsia="宋体"/>
                <w:sz w:val="16"/>
              </w:rPr>
              <w:t>2024年12月31日已完成项目支付，支付项目前期费用个数1个。</w:t>
            </w:r>
          </w:p>
        </w:tc>
      </w:tr>
      <w:tr w14:paraId="5A2416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73861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769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3F6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081B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2EEB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68B1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0D59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36D0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63025">
            <w:pPr>
              <w:jc w:val="center"/>
            </w:pPr>
            <w:r>
              <w:rPr>
                <w:rFonts w:ascii="宋体" w:hAnsi="宋体" w:eastAsia="宋体"/>
                <w:sz w:val="16"/>
              </w:rPr>
              <w:t>偏差原因分析及改进措施</w:t>
            </w:r>
          </w:p>
        </w:tc>
      </w:tr>
      <w:tr w14:paraId="505DE4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273C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6AB96">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5CB8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0341A">
            <w:pPr>
              <w:jc w:val="center"/>
            </w:pPr>
            <w:r>
              <w:rPr>
                <w:rFonts w:ascii="宋体" w:hAnsi="宋体" w:eastAsia="宋体"/>
                <w:sz w:val="16"/>
              </w:rPr>
              <w:t>支付项目前期费用个数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4E5C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43A9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FE2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231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EDB84">
            <w:pPr>
              <w:jc w:val="center"/>
            </w:pPr>
          </w:p>
        </w:tc>
      </w:tr>
      <w:tr w14:paraId="3DF1DE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AA0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64AD2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B1BE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F25A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AF9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F0D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7DD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F28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C5483">
            <w:pPr>
              <w:jc w:val="center"/>
            </w:pPr>
          </w:p>
        </w:tc>
      </w:tr>
      <w:tr w14:paraId="32F00A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661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1D9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6686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2AB8A">
            <w:pPr>
              <w:jc w:val="center"/>
            </w:pPr>
            <w:r>
              <w:rPr>
                <w:rFonts w:ascii="宋体" w:hAnsi="宋体" w:eastAsia="宋体"/>
                <w:sz w:val="16"/>
              </w:rPr>
              <w:t>设计功能实现率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44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820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885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865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BF0C8">
            <w:pPr>
              <w:jc w:val="center"/>
            </w:pPr>
          </w:p>
        </w:tc>
      </w:tr>
      <w:tr w14:paraId="6CC34A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776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7250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0801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BBDBA">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6EE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4FD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FA7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338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9B002">
            <w:pPr>
              <w:jc w:val="center"/>
            </w:pPr>
          </w:p>
        </w:tc>
      </w:tr>
      <w:tr w14:paraId="7AE72A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D7B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0F56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D77B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DFE4A">
            <w:pPr>
              <w:jc w:val="center"/>
            </w:pPr>
            <w:r>
              <w:rPr>
                <w:rFonts w:ascii="宋体" w:hAnsi="宋体" w:eastAsia="宋体"/>
                <w:sz w:val="16"/>
              </w:rPr>
              <w:t>支付项目前期费用成本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24590">
            <w:pPr>
              <w:jc w:val="center"/>
            </w:pPr>
            <w:r>
              <w:rPr>
                <w:rFonts w:ascii="宋体" w:hAnsi="宋体" w:eastAsia="宋体"/>
                <w:sz w:val="16"/>
              </w:rPr>
              <w:t>&lt;=19万元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18756">
            <w:pPr>
              <w:jc w:val="center"/>
            </w:pPr>
            <w:r>
              <w:rPr>
                <w:rFonts w:ascii="宋体" w:hAnsi="宋体" w:eastAsia="宋体"/>
                <w:sz w:val="16"/>
              </w:rPr>
              <w:t>=18.98万元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CBB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10F28">
            <w:pPr>
              <w:jc w:val="center"/>
            </w:pPr>
            <w:r>
              <w:rPr>
                <w:rFonts w:ascii="宋体" w:hAnsi="宋体" w:eastAsia="宋体"/>
                <w:sz w:val="16"/>
              </w:rPr>
              <w:t>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02BDC">
            <w:pPr>
              <w:jc w:val="center"/>
            </w:pPr>
            <w:r>
              <w:rPr>
                <w:rFonts w:ascii="宋体" w:hAnsi="宋体" w:eastAsia="宋体"/>
                <w:sz w:val="16"/>
              </w:rPr>
              <w:t>原因：项目资金正常结余；改进措施：加强预算管理。</w:t>
            </w:r>
          </w:p>
        </w:tc>
      </w:tr>
      <w:tr w14:paraId="61E856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86E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D24B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D07C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D865B">
            <w:pPr>
              <w:jc w:val="center"/>
            </w:pPr>
            <w:r>
              <w:rPr>
                <w:rFonts w:ascii="宋体" w:hAnsi="宋体" w:eastAsia="宋体"/>
                <w:sz w:val="16"/>
              </w:rPr>
              <w:t>保障项目顺利开展实施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F926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3EC3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712D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1F51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EEDE8">
            <w:pPr>
              <w:jc w:val="center"/>
            </w:pPr>
          </w:p>
        </w:tc>
      </w:tr>
      <w:tr w14:paraId="6A073B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690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BBB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3583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FE1AB">
            <w:pPr>
              <w:jc w:val="center"/>
            </w:pPr>
            <w:r>
              <w:rPr>
                <w:rFonts w:ascii="宋体" w:hAnsi="宋体" w:eastAsia="宋体"/>
                <w:sz w:val="16"/>
              </w:rPr>
              <w:t>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83CF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6D8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AF4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4E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C19B4">
            <w:pPr>
              <w:jc w:val="center"/>
            </w:pPr>
          </w:p>
        </w:tc>
      </w:tr>
      <w:tr w14:paraId="4678382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FC530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2AD6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AD5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8F76A">
            <w:pPr>
              <w:jc w:val="center"/>
            </w:pPr>
            <w:r>
              <w:rPr>
                <w:rFonts w:ascii="宋体" w:hAnsi="宋体" w:eastAsia="宋体"/>
                <w:sz w:val="16"/>
              </w:rPr>
              <w:t>99.47分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6738CB"/>
        </w:tc>
      </w:tr>
    </w:tbl>
    <w:p w14:paraId="66A678A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BD47E46">
        <w:tblPrEx>
          <w:tblCellMar>
            <w:top w:w="0" w:type="dxa"/>
            <w:left w:w="108" w:type="dxa"/>
            <w:bottom w:w="0" w:type="dxa"/>
            <w:right w:w="108" w:type="dxa"/>
          </w:tblCellMar>
        </w:tblPrEx>
        <w:tc>
          <w:tcPr>
            <w:tcW w:w="8847" w:type="dxa"/>
            <w:gridSpan w:val="9"/>
            <w:vAlign w:val="center"/>
          </w:tcPr>
          <w:p w14:paraId="719C5037">
            <w:pPr>
              <w:jc w:val="center"/>
            </w:pPr>
            <w:r>
              <w:rPr>
                <w:rFonts w:ascii="宋体" w:hAnsi="宋体" w:eastAsia="宋体"/>
                <w:sz w:val="24"/>
              </w:rPr>
              <w:t>项目支出绩效自评表</w:t>
            </w:r>
          </w:p>
        </w:tc>
      </w:tr>
      <w:tr w14:paraId="519D20E3">
        <w:tblPrEx>
          <w:tblCellMar>
            <w:top w:w="0" w:type="dxa"/>
            <w:left w:w="108" w:type="dxa"/>
            <w:bottom w:w="0" w:type="dxa"/>
            <w:right w:w="108" w:type="dxa"/>
          </w:tblCellMar>
        </w:tblPrEx>
        <w:tc>
          <w:tcPr>
            <w:tcW w:w="8847" w:type="dxa"/>
            <w:gridSpan w:val="9"/>
            <w:vAlign w:val="center"/>
          </w:tcPr>
          <w:p w14:paraId="7EECE188">
            <w:pPr>
              <w:jc w:val="center"/>
            </w:pPr>
            <w:r>
              <w:rPr>
                <w:rFonts w:ascii="宋体" w:hAnsi="宋体" w:eastAsia="宋体"/>
                <w:sz w:val="24"/>
              </w:rPr>
              <w:t>(2024年度)</w:t>
            </w:r>
          </w:p>
        </w:tc>
      </w:tr>
      <w:tr w14:paraId="54769D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1B31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5576C1">
            <w:pPr>
              <w:jc w:val="center"/>
            </w:pPr>
            <w:r>
              <w:rPr>
                <w:rFonts w:ascii="宋体" w:hAnsi="宋体" w:eastAsia="宋体"/>
                <w:sz w:val="16"/>
              </w:rPr>
              <w:t>唱红歌</w:t>
            </w:r>
            <w:r>
              <w:rPr>
                <w:rFonts w:hint="eastAsia" w:ascii="宋体" w:hAnsi="宋体"/>
                <w:sz w:val="16"/>
                <w:lang w:eastAsia="zh-CN"/>
              </w:rPr>
              <w:t>比赛</w:t>
            </w:r>
            <w:r>
              <w:rPr>
                <w:rFonts w:ascii="宋体" w:hAnsi="宋体" w:eastAsia="宋体"/>
                <w:sz w:val="16"/>
              </w:rPr>
              <w:t>奖金</w:t>
            </w:r>
          </w:p>
        </w:tc>
      </w:tr>
      <w:tr w14:paraId="4622B6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58BE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73FE98">
            <w:pPr>
              <w:jc w:val="center"/>
            </w:pPr>
            <w:r>
              <w:rPr>
                <w:rFonts w:ascii="宋体" w:hAnsi="宋体" w:eastAsia="宋体"/>
                <w:sz w:val="16"/>
              </w:rPr>
              <w:t>民丰县工业园区管理委员会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6CC5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1E7557">
            <w:pPr>
              <w:jc w:val="center"/>
            </w:pPr>
            <w:r>
              <w:rPr>
                <w:rFonts w:ascii="宋体" w:hAnsi="宋体" w:eastAsia="宋体"/>
                <w:sz w:val="16"/>
              </w:rPr>
              <w:t>民丰县工业园区管委会</w:t>
            </w:r>
          </w:p>
        </w:tc>
      </w:tr>
      <w:tr w14:paraId="21249F5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59AB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DB9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23C4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F774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E5E7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0751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A439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2D1F7">
            <w:pPr>
              <w:jc w:val="center"/>
            </w:pPr>
            <w:r>
              <w:rPr>
                <w:rFonts w:ascii="宋体" w:hAnsi="宋体" w:eastAsia="宋体"/>
                <w:sz w:val="16"/>
              </w:rPr>
              <w:t>得分</w:t>
            </w:r>
          </w:p>
        </w:tc>
      </w:tr>
      <w:tr w14:paraId="76F3FA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D80D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6161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A8069">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D99D4">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655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C08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99DBD">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E56AF">
            <w:pPr>
              <w:jc w:val="center"/>
            </w:pPr>
            <w:r>
              <w:rPr>
                <w:rFonts w:ascii="宋体" w:hAnsi="宋体" w:eastAsia="宋体"/>
                <w:sz w:val="16"/>
              </w:rPr>
              <w:t>0.00分</w:t>
            </w:r>
          </w:p>
        </w:tc>
      </w:tr>
      <w:tr w14:paraId="01988F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24F2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4F69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6FE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411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295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BAE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9EC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CD7CC">
            <w:pPr>
              <w:jc w:val="center"/>
            </w:pPr>
            <w:r>
              <w:rPr>
                <w:rFonts w:ascii="宋体" w:hAnsi="宋体" w:eastAsia="宋体"/>
                <w:sz w:val="16"/>
              </w:rPr>
              <w:t>—</w:t>
            </w:r>
          </w:p>
        </w:tc>
      </w:tr>
      <w:tr w14:paraId="603F24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6B67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8484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067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4A0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6D4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725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176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F42A7">
            <w:pPr>
              <w:jc w:val="center"/>
            </w:pPr>
            <w:r>
              <w:rPr>
                <w:rFonts w:ascii="宋体" w:hAnsi="宋体" w:eastAsia="宋体"/>
                <w:sz w:val="16"/>
              </w:rPr>
              <w:t>—</w:t>
            </w:r>
          </w:p>
        </w:tc>
      </w:tr>
      <w:tr w14:paraId="0476EA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257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7E0E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722AA">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D9DF">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8D7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D47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05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E06EB">
            <w:pPr>
              <w:jc w:val="center"/>
            </w:pPr>
            <w:r>
              <w:rPr>
                <w:rFonts w:ascii="宋体" w:hAnsi="宋体" w:eastAsia="宋体"/>
                <w:sz w:val="16"/>
              </w:rPr>
              <w:t>—</w:t>
            </w:r>
          </w:p>
        </w:tc>
      </w:tr>
      <w:tr w14:paraId="532533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30FD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59E11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7F622B">
            <w:pPr>
              <w:jc w:val="center"/>
            </w:pPr>
            <w:r>
              <w:rPr>
                <w:rFonts w:ascii="宋体" w:hAnsi="宋体" w:eastAsia="宋体"/>
                <w:sz w:val="16"/>
              </w:rPr>
              <w:t>实际完成情况</w:t>
            </w:r>
          </w:p>
        </w:tc>
      </w:tr>
      <w:tr w14:paraId="4CF256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1908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4ABFAC">
            <w:pPr>
              <w:jc w:val="both"/>
            </w:pPr>
            <w:r>
              <w:rPr>
                <w:rFonts w:ascii="宋体" w:hAnsi="宋体" w:eastAsia="宋体"/>
                <w:sz w:val="16"/>
              </w:rPr>
              <w:t>根据项目实施方案实施本项目。项目实施内容：全县举行唱红歌比赛得了第二名奖金2000元。通过项目实施，有效提高干部参加活动积极性。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078D86">
            <w:pPr>
              <w:jc w:val="both"/>
            </w:pPr>
            <w:r>
              <w:rPr>
                <w:rFonts w:ascii="宋体" w:hAnsi="宋体" w:eastAsia="宋体"/>
                <w:sz w:val="16"/>
              </w:rPr>
              <w:t>唱红歌比赛奖金由于此笔费用没有支付。</w:t>
            </w:r>
          </w:p>
        </w:tc>
      </w:tr>
      <w:tr w14:paraId="30A561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29801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8404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203F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5AEA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9B69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55CC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DB1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F4D9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A67A3">
            <w:pPr>
              <w:jc w:val="center"/>
            </w:pPr>
            <w:r>
              <w:rPr>
                <w:rFonts w:ascii="宋体" w:hAnsi="宋体" w:eastAsia="宋体"/>
                <w:sz w:val="16"/>
              </w:rPr>
              <w:t>偏差原因分析及改进措施</w:t>
            </w:r>
          </w:p>
        </w:tc>
      </w:tr>
      <w:tr w14:paraId="42CE08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1183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F0A4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B0DA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AD34A">
            <w:pPr>
              <w:jc w:val="center"/>
            </w:pPr>
            <w:r>
              <w:rPr>
                <w:rFonts w:ascii="宋体" w:hAnsi="宋体" w:eastAsia="宋体"/>
                <w:sz w:val="16"/>
              </w:rPr>
              <w:t>奖金发放次数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20FE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BE898">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890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D768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45B26">
            <w:pPr>
              <w:jc w:val="center"/>
            </w:pPr>
            <w:r>
              <w:rPr>
                <w:rFonts w:ascii="宋体" w:hAnsi="宋体" w:eastAsia="宋体"/>
                <w:sz w:val="16"/>
              </w:rPr>
              <w:t>偏差原因：项目资金未支付；改进措施：加强预算管理。</w:t>
            </w:r>
          </w:p>
        </w:tc>
      </w:tr>
      <w:tr w14:paraId="4580EA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26C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BD8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69F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1F48">
            <w:pPr>
              <w:jc w:val="center"/>
            </w:pPr>
            <w:r>
              <w:rPr>
                <w:rFonts w:ascii="宋体" w:hAnsi="宋体" w:eastAsia="宋体"/>
                <w:sz w:val="16"/>
              </w:rPr>
              <w:t>资金发放人数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434C8">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3ED59">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590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627E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5976C">
            <w:pPr>
              <w:jc w:val="center"/>
            </w:pPr>
            <w:r>
              <w:rPr>
                <w:rFonts w:ascii="宋体" w:hAnsi="宋体" w:eastAsia="宋体"/>
                <w:sz w:val="16"/>
              </w:rPr>
              <w:t>偏差原因：项目资金未支付；改进措施：加强预算管理。</w:t>
            </w:r>
          </w:p>
        </w:tc>
      </w:tr>
      <w:tr w14:paraId="38C6C3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4DB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BE3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4251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4716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283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5C4D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384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17F4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75EDA">
            <w:pPr>
              <w:jc w:val="center"/>
            </w:pPr>
            <w:r>
              <w:rPr>
                <w:rFonts w:ascii="宋体" w:hAnsi="宋体" w:eastAsia="宋体"/>
                <w:sz w:val="16"/>
              </w:rPr>
              <w:t>偏差原因：项目资金未支付；改进措施：加强预算管理。</w:t>
            </w:r>
          </w:p>
        </w:tc>
      </w:tr>
      <w:tr w14:paraId="0DCB57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227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CE12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86F6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666A3">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6E8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CFE3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A3B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A1E0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15CD8">
            <w:pPr>
              <w:jc w:val="center"/>
            </w:pPr>
            <w:r>
              <w:rPr>
                <w:rFonts w:ascii="宋体" w:hAnsi="宋体" w:eastAsia="宋体"/>
                <w:sz w:val="16"/>
              </w:rPr>
              <w:t>偏差原因：项目资金未支付；改进措施：加强预算管理。</w:t>
            </w:r>
          </w:p>
        </w:tc>
      </w:tr>
      <w:tr w14:paraId="58AD05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DE98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8684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E2C0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ED160">
            <w:pPr>
              <w:jc w:val="center"/>
            </w:pPr>
            <w:r>
              <w:rPr>
                <w:rFonts w:ascii="宋体" w:hAnsi="宋体" w:eastAsia="宋体"/>
                <w:sz w:val="16"/>
              </w:rPr>
              <w:t>奖金发放金额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731EF">
            <w:pPr>
              <w:jc w:val="center"/>
            </w:pPr>
            <w:r>
              <w:rPr>
                <w:rFonts w:ascii="宋体" w:hAnsi="宋体" w:eastAsia="宋体"/>
                <w:sz w:val="16"/>
              </w:rPr>
              <w:t>&lt;=100元/人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FFDD6">
            <w:pPr>
              <w:jc w:val="center"/>
            </w:pPr>
            <w:r>
              <w:rPr>
                <w:rFonts w:ascii="宋体" w:hAnsi="宋体" w:eastAsia="宋体"/>
                <w:sz w:val="16"/>
              </w:rPr>
              <w:t>=0元/人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82C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D569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D2C57">
            <w:pPr>
              <w:jc w:val="center"/>
            </w:pPr>
            <w:r>
              <w:rPr>
                <w:rFonts w:ascii="宋体" w:hAnsi="宋体" w:eastAsia="宋体"/>
                <w:sz w:val="16"/>
              </w:rPr>
              <w:t>偏差原因：项目资金未支付；改进措施：加强预算管理。</w:t>
            </w:r>
          </w:p>
        </w:tc>
      </w:tr>
      <w:tr w14:paraId="4C27DB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97B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2B50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84F4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A2FA5">
            <w:pPr>
              <w:jc w:val="center"/>
            </w:pPr>
            <w:r>
              <w:rPr>
                <w:rFonts w:ascii="宋体" w:hAnsi="宋体" w:eastAsia="宋体"/>
                <w:sz w:val="16"/>
              </w:rPr>
              <w:t>有效提高干部的积极性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8D258">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A9D2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8499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9195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3FA8F">
            <w:pPr>
              <w:jc w:val="center"/>
            </w:pPr>
            <w:r>
              <w:rPr>
                <w:rFonts w:ascii="宋体" w:hAnsi="宋体" w:eastAsia="宋体"/>
                <w:sz w:val="16"/>
              </w:rPr>
              <w:t>偏差原因：项目资金未支付；改进措施：加强预算管理。</w:t>
            </w:r>
          </w:p>
        </w:tc>
      </w:tr>
      <w:tr w14:paraId="269DC5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C03E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FC70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B084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B1698">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FAF3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794C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402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827E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4B06A">
            <w:pPr>
              <w:jc w:val="center"/>
            </w:pPr>
            <w:r>
              <w:rPr>
                <w:rFonts w:ascii="宋体" w:hAnsi="宋体" w:eastAsia="宋体"/>
                <w:sz w:val="16"/>
              </w:rPr>
              <w:t>偏差原因：项目资金未支付；改进措施：加强预算管理。</w:t>
            </w:r>
          </w:p>
        </w:tc>
      </w:tr>
      <w:tr w14:paraId="64D6CBF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4A196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66C8E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A6D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140BE">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F357BC"/>
        </w:tc>
      </w:tr>
    </w:tbl>
    <w:p w14:paraId="1919CB7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DEE232">
        <w:tblPrEx>
          <w:tblCellMar>
            <w:top w:w="0" w:type="dxa"/>
            <w:left w:w="108" w:type="dxa"/>
            <w:bottom w:w="0" w:type="dxa"/>
            <w:right w:w="108" w:type="dxa"/>
          </w:tblCellMar>
        </w:tblPrEx>
        <w:tc>
          <w:tcPr>
            <w:tcW w:w="8847" w:type="dxa"/>
            <w:gridSpan w:val="9"/>
            <w:vAlign w:val="center"/>
          </w:tcPr>
          <w:p w14:paraId="2FBFA0EF">
            <w:pPr>
              <w:jc w:val="center"/>
            </w:pPr>
            <w:r>
              <w:rPr>
                <w:rFonts w:ascii="宋体" w:hAnsi="宋体" w:eastAsia="宋体"/>
                <w:sz w:val="24"/>
              </w:rPr>
              <w:t>项目支出绩效自评表</w:t>
            </w:r>
          </w:p>
        </w:tc>
      </w:tr>
      <w:tr w14:paraId="45D2B8A9">
        <w:tblPrEx>
          <w:tblCellMar>
            <w:top w:w="0" w:type="dxa"/>
            <w:left w:w="108" w:type="dxa"/>
            <w:bottom w:w="0" w:type="dxa"/>
            <w:right w:w="108" w:type="dxa"/>
          </w:tblCellMar>
        </w:tblPrEx>
        <w:tc>
          <w:tcPr>
            <w:tcW w:w="8847" w:type="dxa"/>
            <w:gridSpan w:val="9"/>
            <w:vAlign w:val="center"/>
          </w:tcPr>
          <w:p w14:paraId="220B7CF1">
            <w:pPr>
              <w:jc w:val="center"/>
            </w:pPr>
            <w:r>
              <w:rPr>
                <w:rFonts w:ascii="宋体" w:hAnsi="宋体" w:eastAsia="宋体"/>
                <w:sz w:val="24"/>
              </w:rPr>
              <w:t>(2024年度)</w:t>
            </w:r>
          </w:p>
        </w:tc>
      </w:tr>
      <w:tr w14:paraId="568825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8AD4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A92B76">
            <w:pPr>
              <w:jc w:val="center"/>
            </w:pPr>
            <w:r>
              <w:rPr>
                <w:rFonts w:ascii="宋体" w:hAnsi="宋体" w:eastAsia="宋体"/>
                <w:sz w:val="16"/>
              </w:rPr>
              <w:t>园区协警工伤保险赔偿费</w:t>
            </w:r>
          </w:p>
        </w:tc>
      </w:tr>
      <w:tr w14:paraId="0F915A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FE09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121BFA">
            <w:pPr>
              <w:jc w:val="center"/>
            </w:pPr>
            <w:r>
              <w:rPr>
                <w:rFonts w:ascii="宋体" w:hAnsi="宋体" w:eastAsia="宋体"/>
                <w:sz w:val="16"/>
              </w:rPr>
              <w:t>民丰县工业园区管理委员会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A619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BF0567">
            <w:pPr>
              <w:jc w:val="center"/>
            </w:pPr>
            <w:r>
              <w:rPr>
                <w:rFonts w:ascii="宋体" w:hAnsi="宋体" w:eastAsia="宋体"/>
                <w:sz w:val="16"/>
              </w:rPr>
              <w:t>民丰县工业园区管委会</w:t>
            </w:r>
          </w:p>
        </w:tc>
      </w:tr>
      <w:tr w14:paraId="3B9747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EF11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57EB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9633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A9B0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9006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B91F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E39F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963C8">
            <w:pPr>
              <w:jc w:val="center"/>
            </w:pPr>
            <w:r>
              <w:rPr>
                <w:rFonts w:ascii="宋体" w:hAnsi="宋体" w:eastAsia="宋体"/>
                <w:sz w:val="16"/>
              </w:rPr>
              <w:t>得分</w:t>
            </w:r>
          </w:p>
        </w:tc>
      </w:tr>
      <w:tr w14:paraId="2AA22F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98A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021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ECE9E">
            <w:pPr>
              <w:jc w:val="center"/>
            </w:pPr>
            <w:r>
              <w:rPr>
                <w:rFonts w:ascii="宋体" w:hAnsi="宋体" w:eastAsia="宋体"/>
                <w:sz w:val="16"/>
              </w:rPr>
              <w:t>29.80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81C8A">
            <w:pPr>
              <w:jc w:val="center"/>
            </w:pPr>
            <w:r>
              <w:rPr>
                <w:rFonts w:ascii="宋体" w:hAnsi="宋体" w:eastAsia="宋体"/>
                <w:sz w:val="16"/>
              </w:rPr>
              <w:t>29.80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48EF8">
            <w:pPr>
              <w:jc w:val="center"/>
            </w:pPr>
            <w:r>
              <w:rPr>
                <w:rFonts w:ascii="宋体" w:hAnsi="宋体" w:eastAsia="宋体"/>
                <w:sz w:val="16"/>
              </w:rPr>
              <w:t>29.80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9E2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AFC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F53CF">
            <w:pPr>
              <w:jc w:val="center"/>
            </w:pPr>
            <w:r>
              <w:rPr>
                <w:rFonts w:ascii="宋体" w:hAnsi="宋体" w:eastAsia="宋体"/>
                <w:sz w:val="16"/>
              </w:rPr>
              <w:t>10.00分</w:t>
            </w:r>
          </w:p>
        </w:tc>
      </w:tr>
      <w:tr w14:paraId="3D7941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41B7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52E2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AA505">
            <w:pPr>
              <w:jc w:val="center"/>
            </w:pPr>
            <w:r>
              <w:rPr>
                <w:rFonts w:ascii="宋体" w:hAnsi="宋体" w:eastAsia="宋体"/>
                <w:sz w:val="16"/>
              </w:rPr>
              <w:t>29.80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B6BBD">
            <w:pPr>
              <w:jc w:val="center"/>
            </w:pPr>
            <w:r>
              <w:rPr>
                <w:rFonts w:ascii="宋体" w:hAnsi="宋体" w:eastAsia="宋体"/>
                <w:sz w:val="16"/>
              </w:rPr>
              <w:t>29.80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8D9CF">
            <w:pPr>
              <w:jc w:val="center"/>
            </w:pPr>
            <w:r>
              <w:rPr>
                <w:rFonts w:ascii="宋体" w:hAnsi="宋体" w:eastAsia="宋体"/>
                <w:sz w:val="16"/>
              </w:rPr>
              <w:t>29.80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377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7E4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0F9BC">
            <w:pPr>
              <w:jc w:val="center"/>
            </w:pPr>
            <w:r>
              <w:rPr>
                <w:rFonts w:ascii="宋体" w:hAnsi="宋体" w:eastAsia="宋体"/>
                <w:sz w:val="16"/>
              </w:rPr>
              <w:t>—</w:t>
            </w:r>
          </w:p>
        </w:tc>
      </w:tr>
      <w:tr w14:paraId="708C9E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C33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86BE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28E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E90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78E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3B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AF4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14E0C">
            <w:pPr>
              <w:jc w:val="center"/>
            </w:pPr>
            <w:r>
              <w:rPr>
                <w:rFonts w:ascii="宋体" w:hAnsi="宋体" w:eastAsia="宋体"/>
                <w:sz w:val="16"/>
              </w:rPr>
              <w:t>—</w:t>
            </w:r>
          </w:p>
        </w:tc>
      </w:tr>
      <w:tr w14:paraId="59AA5C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144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4B0D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A05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0F2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32E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B6D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DE8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5A263">
            <w:pPr>
              <w:jc w:val="center"/>
            </w:pPr>
            <w:r>
              <w:rPr>
                <w:rFonts w:ascii="宋体" w:hAnsi="宋体" w:eastAsia="宋体"/>
                <w:sz w:val="16"/>
              </w:rPr>
              <w:t>—</w:t>
            </w:r>
          </w:p>
        </w:tc>
      </w:tr>
      <w:tr w14:paraId="05EA16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7444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ECF2F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001596">
            <w:pPr>
              <w:jc w:val="center"/>
            </w:pPr>
            <w:r>
              <w:rPr>
                <w:rFonts w:ascii="宋体" w:hAnsi="宋体" w:eastAsia="宋体"/>
                <w:sz w:val="16"/>
              </w:rPr>
              <w:t>实际完成情况</w:t>
            </w:r>
          </w:p>
        </w:tc>
      </w:tr>
      <w:tr w14:paraId="3E8487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05DFC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2A8331">
            <w:pPr>
              <w:jc w:val="both"/>
            </w:pPr>
            <w:r>
              <w:rPr>
                <w:rFonts w:ascii="宋体" w:hAnsi="宋体" w:eastAsia="宋体"/>
                <w:sz w:val="16"/>
              </w:rPr>
              <w:t>根据实施方案实施，项目实施内容：支付民丰县工业园区管理委员</w:t>
            </w:r>
            <w:r>
              <w:rPr>
                <w:rFonts w:hint="eastAsia" w:ascii="宋体" w:hAnsi="宋体"/>
                <w:sz w:val="16"/>
                <w:lang w:eastAsia="zh-CN"/>
              </w:rPr>
              <w:t>会</w:t>
            </w:r>
            <w:r>
              <w:rPr>
                <w:rFonts w:ascii="宋体" w:hAnsi="宋体" w:eastAsia="宋体"/>
                <w:sz w:val="16"/>
              </w:rPr>
              <w:t>协警凯丽比努尔·麦提塞伊迪工伤保险赔偿费29.7982万元。通过项目实施，有效保障单位员工合法权益，减轻员工个人和家庭负担，维持员工正常生活开销。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47BB8C">
            <w:pPr>
              <w:jc w:val="both"/>
            </w:pPr>
            <w:r>
              <w:rPr>
                <w:rFonts w:hint="eastAsia" w:ascii="宋体" w:hAnsi="宋体"/>
                <w:sz w:val="16"/>
                <w:lang w:eastAsia="zh-CN"/>
              </w:rPr>
              <w:t>截至2024</w:t>
            </w:r>
            <w:r>
              <w:rPr>
                <w:rFonts w:ascii="宋体" w:hAnsi="宋体" w:eastAsia="宋体"/>
                <w:sz w:val="16"/>
              </w:rPr>
              <w:t>年12月31日共支付民丰县工业园区管理委员</w:t>
            </w:r>
            <w:r>
              <w:rPr>
                <w:rFonts w:hint="eastAsia" w:ascii="宋体" w:hAnsi="宋体"/>
                <w:sz w:val="16"/>
                <w:lang w:eastAsia="zh-CN"/>
              </w:rPr>
              <w:t>会</w:t>
            </w:r>
            <w:r>
              <w:rPr>
                <w:rFonts w:ascii="宋体" w:hAnsi="宋体" w:eastAsia="宋体"/>
                <w:sz w:val="16"/>
              </w:rPr>
              <w:t>协警凯丽比努尔·麦提塞伊迪工伤保险赔偿费29.7982万元。</w:t>
            </w:r>
          </w:p>
        </w:tc>
      </w:tr>
      <w:tr w14:paraId="300803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B940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EE3D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4517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0B4E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B898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956A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1329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39A9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6D32F">
            <w:pPr>
              <w:jc w:val="center"/>
            </w:pPr>
            <w:r>
              <w:rPr>
                <w:rFonts w:ascii="宋体" w:hAnsi="宋体" w:eastAsia="宋体"/>
                <w:sz w:val="16"/>
              </w:rPr>
              <w:t>偏差原因分析及改进措施</w:t>
            </w:r>
          </w:p>
        </w:tc>
      </w:tr>
      <w:tr w14:paraId="71E940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E0D6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F725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ADE2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C5EF9">
            <w:pPr>
              <w:jc w:val="center"/>
            </w:pPr>
            <w:r>
              <w:rPr>
                <w:rFonts w:ascii="宋体" w:hAnsi="宋体" w:eastAsia="宋体"/>
                <w:sz w:val="16"/>
              </w:rPr>
              <w:t>补偿费用类型数量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68FED">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EA25F">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57E3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AD58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CAC00">
            <w:pPr>
              <w:jc w:val="center"/>
            </w:pPr>
          </w:p>
        </w:tc>
      </w:tr>
      <w:tr w14:paraId="5018F8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42C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C22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582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A5EED">
            <w:pPr>
              <w:jc w:val="center"/>
            </w:pPr>
            <w:r>
              <w:rPr>
                <w:rFonts w:ascii="宋体" w:hAnsi="宋体" w:eastAsia="宋体"/>
                <w:sz w:val="16"/>
              </w:rPr>
              <w:t>资金发放人数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33868">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6C93A">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D905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31A9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9A81B">
            <w:pPr>
              <w:jc w:val="center"/>
            </w:pPr>
          </w:p>
        </w:tc>
      </w:tr>
      <w:tr w14:paraId="6C878F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C51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6A7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38D3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65C0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59E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FF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361F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00C9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38884">
            <w:pPr>
              <w:jc w:val="center"/>
            </w:pPr>
          </w:p>
        </w:tc>
      </w:tr>
      <w:tr w14:paraId="18C50A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5F50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3E5F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CBB7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A3B8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58F6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96C1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F0E6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60AC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AF765">
            <w:pPr>
              <w:jc w:val="center"/>
            </w:pPr>
          </w:p>
        </w:tc>
      </w:tr>
      <w:tr w14:paraId="1B6774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B7D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958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166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293BB">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340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45D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DCC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3903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1385A">
            <w:pPr>
              <w:jc w:val="center"/>
            </w:pPr>
          </w:p>
        </w:tc>
      </w:tr>
      <w:tr w14:paraId="6832A2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D0C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7CFE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6B6F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7747E">
            <w:pPr>
              <w:jc w:val="center"/>
            </w:pPr>
            <w:r>
              <w:rPr>
                <w:rFonts w:ascii="宋体" w:hAnsi="宋体" w:eastAsia="宋体"/>
                <w:sz w:val="16"/>
              </w:rPr>
              <w:t>补助资金发放标准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19049">
            <w:pPr>
              <w:jc w:val="center"/>
            </w:pPr>
            <w:r>
              <w:rPr>
                <w:rFonts w:ascii="宋体" w:hAnsi="宋体" w:eastAsia="宋体"/>
                <w:sz w:val="16"/>
              </w:rPr>
              <w:t>&lt;=29.80万元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5DC20">
            <w:pPr>
              <w:jc w:val="center"/>
            </w:pPr>
            <w:r>
              <w:rPr>
                <w:rFonts w:ascii="宋体" w:hAnsi="宋体" w:eastAsia="宋体"/>
                <w:sz w:val="16"/>
              </w:rPr>
              <w:t>=29.8万元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012C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A24D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8ED1A">
            <w:pPr>
              <w:jc w:val="center"/>
            </w:pPr>
          </w:p>
        </w:tc>
      </w:tr>
      <w:tr w14:paraId="5EE734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428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37BA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9624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1AC09">
            <w:pPr>
              <w:jc w:val="center"/>
            </w:pPr>
            <w:r>
              <w:rPr>
                <w:rFonts w:ascii="宋体" w:hAnsi="宋体" w:eastAsia="宋体"/>
                <w:sz w:val="16"/>
              </w:rPr>
              <w:t>保障单位员工合法权益，减轻员工个人和家庭负担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4FA9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611DF">
            <w:pPr>
              <w:jc w:val="center"/>
            </w:pPr>
            <w:r>
              <w:rPr>
                <w:rFonts w:ascii="宋体" w:hAnsi="宋体" w:eastAsia="宋体"/>
                <w:sz w:val="16"/>
              </w:rPr>
              <w:t>基本完成目标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BED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983E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EF3F5">
            <w:pPr>
              <w:jc w:val="center"/>
            </w:pPr>
          </w:p>
        </w:tc>
      </w:tr>
      <w:tr w14:paraId="307080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80D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F6EB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A531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334BB">
            <w:pPr>
              <w:jc w:val="center"/>
            </w:pPr>
            <w:r>
              <w:rPr>
                <w:rFonts w:ascii="宋体" w:hAnsi="宋体" w:eastAsia="宋体"/>
                <w:sz w:val="16"/>
              </w:rPr>
              <w:t>受益协警满意度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7986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58B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38A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FAA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59CC5">
            <w:pPr>
              <w:jc w:val="center"/>
            </w:pPr>
          </w:p>
        </w:tc>
      </w:tr>
      <w:tr w14:paraId="6E31EC6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542DC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615B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B9A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B8C9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DC9BE5"/>
        </w:tc>
      </w:tr>
    </w:tbl>
    <w:p w14:paraId="41CB50D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913F22">
        <w:tblPrEx>
          <w:tblCellMar>
            <w:top w:w="0" w:type="dxa"/>
            <w:left w:w="108" w:type="dxa"/>
            <w:bottom w:w="0" w:type="dxa"/>
            <w:right w:w="108" w:type="dxa"/>
          </w:tblCellMar>
        </w:tblPrEx>
        <w:tc>
          <w:tcPr>
            <w:tcW w:w="8847" w:type="dxa"/>
            <w:gridSpan w:val="9"/>
            <w:vAlign w:val="center"/>
          </w:tcPr>
          <w:p w14:paraId="21A48A27">
            <w:pPr>
              <w:jc w:val="center"/>
            </w:pPr>
            <w:r>
              <w:rPr>
                <w:rFonts w:ascii="宋体" w:hAnsi="宋体" w:eastAsia="宋体"/>
                <w:sz w:val="24"/>
              </w:rPr>
              <w:t>项目支出绩效自评表</w:t>
            </w:r>
          </w:p>
        </w:tc>
      </w:tr>
      <w:tr w14:paraId="44642A6D">
        <w:tblPrEx>
          <w:tblCellMar>
            <w:top w:w="0" w:type="dxa"/>
            <w:left w:w="108" w:type="dxa"/>
            <w:bottom w:w="0" w:type="dxa"/>
            <w:right w:w="108" w:type="dxa"/>
          </w:tblCellMar>
        </w:tblPrEx>
        <w:tc>
          <w:tcPr>
            <w:tcW w:w="8847" w:type="dxa"/>
            <w:gridSpan w:val="9"/>
            <w:vAlign w:val="center"/>
          </w:tcPr>
          <w:p w14:paraId="612CD83A">
            <w:pPr>
              <w:jc w:val="center"/>
            </w:pPr>
            <w:r>
              <w:rPr>
                <w:rFonts w:ascii="宋体" w:hAnsi="宋体" w:eastAsia="宋体"/>
                <w:sz w:val="24"/>
              </w:rPr>
              <w:t>(2024年度)</w:t>
            </w:r>
          </w:p>
        </w:tc>
      </w:tr>
      <w:tr w14:paraId="53ABA6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6AD2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94A5DA">
            <w:pPr>
              <w:jc w:val="center"/>
            </w:pPr>
            <w:r>
              <w:rPr>
                <w:rFonts w:ascii="宋体" w:hAnsi="宋体" w:eastAsia="宋体"/>
                <w:sz w:val="16"/>
              </w:rPr>
              <w:t>园区食品加工区消防设施维修项目</w:t>
            </w:r>
          </w:p>
        </w:tc>
      </w:tr>
      <w:tr w14:paraId="50D870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6431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E7BD36">
            <w:pPr>
              <w:jc w:val="center"/>
            </w:pPr>
            <w:r>
              <w:rPr>
                <w:rFonts w:ascii="宋体" w:hAnsi="宋体" w:eastAsia="宋体"/>
                <w:sz w:val="16"/>
              </w:rPr>
              <w:t>民丰县工业园区管理委员会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1398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B72A17">
            <w:pPr>
              <w:jc w:val="center"/>
            </w:pPr>
            <w:r>
              <w:rPr>
                <w:rFonts w:ascii="宋体" w:hAnsi="宋体" w:eastAsia="宋体"/>
                <w:sz w:val="16"/>
              </w:rPr>
              <w:t>民丰县工业园区管委会</w:t>
            </w:r>
          </w:p>
        </w:tc>
      </w:tr>
      <w:tr w14:paraId="61CBE5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FD2C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D93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886D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7E5B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246D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AD6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DF4A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49CF1">
            <w:pPr>
              <w:jc w:val="center"/>
            </w:pPr>
            <w:r>
              <w:rPr>
                <w:rFonts w:ascii="宋体" w:hAnsi="宋体" w:eastAsia="宋体"/>
                <w:sz w:val="16"/>
              </w:rPr>
              <w:t>得分</w:t>
            </w:r>
          </w:p>
        </w:tc>
      </w:tr>
      <w:tr w14:paraId="707522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918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0DD9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F72D">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1452E">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86C78">
            <w:pPr>
              <w:jc w:val="center"/>
            </w:pPr>
            <w:r>
              <w:rPr>
                <w:rFonts w:ascii="宋体" w:hAnsi="宋体" w:eastAsia="宋体"/>
                <w:sz w:val="16"/>
              </w:rPr>
              <w:t>19.98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57F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BE8A2">
            <w:pPr>
              <w:jc w:val="center"/>
            </w:pPr>
            <w:r>
              <w:rPr>
                <w:rFonts w:ascii="宋体" w:hAnsi="宋体" w:eastAsia="宋体"/>
                <w:sz w:val="16"/>
              </w:rPr>
              <w:t xml:space="preserve">99.90%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30A88">
            <w:pPr>
              <w:jc w:val="center"/>
            </w:pPr>
            <w:r>
              <w:rPr>
                <w:rFonts w:ascii="宋体" w:hAnsi="宋体" w:eastAsia="宋体"/>
                <w:sz w:val="16"/>
              </w:rPr>
              <w:t>10.00分</w:t>
            </w:r>
          </w:p>
        </w:tc>
      </w:tr>
      <w:tr w14:paraId="23FBBD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FBB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F02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2E506">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ADEE6">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9A687">
            <w:pPr>
              <w:jc w:val="center"/>
            </w:pPr>
            <w:r>
              <w:rPr>
                <w:rFonts w:ascii="宋体" w:hAnsi="宋体" w:eastAsia="宋体"/>
                <w:sz w:val="16"/>
              </w:rPr>
              <w:t>19.98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4C5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4FA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D76CC">
            <w:pPr>
              <w:jc w:val="center"/>
            </w:pPr>
            <w:r>
              <w:rPr>
                <w:rFonts w:ascii="宋体" w:hAnsi="宋体" w:eastAsia="宋体"/>
                <w:sz w:val="16"/>
              </w:rPr>
              <w:t>—</w:t>
            </w:r>
          </w:p>
        </w:tc>
      </w:tr>
      <w:tr w14:paraId="2397F5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872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0596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505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D20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869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661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795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1F1FA">
            <w:pPr>
              <w:jc w:val="center"/>
            </w:pPr>
            <w:r>
              <w:rPr>
                <w:rFonts w:ascii="宋体" w:hAnsi="宋体" w:eastAsia="宋体"/>
                <w:sz w:val="16"/>
              </w:rPr>
              <w:t>—</w:t>
            </w:r>
          </w:p>
        </w:tc>
      </w:tr>
      <w:tr w14:paraId="082F10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AEB4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7209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F8F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74B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B51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AAD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546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96A06">
            <w:pPr>
              <w:jc w:val="center"/>
            </w:pPr>
            <w:r>
              <w:rPr>
                <w:rFonts w:ascii="宋体" w:hAnsi="宋体" w:eastAsia="宋体"/>
                <w:sz w:val="16"/>
              </w:rPr>
              <w:t>—</w:t>
            </w:r>
          </w:p>
        </w:tc>
      </w:tr>
      <w:tr w14:paraId="3860A4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34A1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AD696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E4FE85">
            <w:pPr>
              <w:jc w:val="center"/>
            </w:pPr>
            <w:r>
              <w:rPr>
                <w:rFonts w:ascii="宋体" w:hAnsi="宋体" w:eastAsia="宋体"/>
                <w:sz w:val="16"/>
              </w:rPr>
              <w:t>实际完成情况</w:t>
            </w:r>
          </w:p>
        </w:tc>
      </w:tr>
      <w:tr w14:paraId="0EA05B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5A88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605034">
            <w:pPr>
              <w:jc w:val="both"/>
            </w:pPr>
            <w:r>
              <w:rPr>
                <w:rFonts w:ascii="宋体" w:hAnsi="宋体" w:eastAsia="宋体"/>
                <w:sz w:val="16"/>
              </w:rPr>
              <w:t>依据民丰县财经委员会民党字</w:t>
            </w:r>
            <w:r>
              <w:rPr>
                <w:rFonts w:hint="eastAsia" w:ascii="宋体" w:hAnsi="宋体"/>
                <w:sz w:val="16"/>
                <w:lang w:eastAsia="zh-CN"/>
              </w:rPr>
              <w:t>〔2024〕8号</w:t>
            </w:r>
            <w:r>
              <w:rPr>
                <w:rFonts w:ascii="宋体" w:hAnsi="宋体" w:eastAsia="宋体"/>
                <w:sz w:val="16"/>
              </w:rPr>
              <w:t>会议纪要，实施本项目。项目主要实施内容：计划维修9栋厂房的消防设施。通过项目实施，有效保障民丰县工业园区食品加工区消防设施正常运转，提高厂房安全系数。</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52A05B">
            <w:pPr>
              <w:jc w:val="both"/>
            </w:pPr>
            <w:r>
              <w:rPr>
                <w:rFonts w:hint="eastAsia" w:ascii="宋体" w:hAnsi="宋体"/>
                <w:sz w:val="16"/>
                <w:lang w:eastAsia="zh-CN"/>
              </w:rPr>
              <w:t>截至</w:t>
            </w:r>
            <w:r>
              <w:rPr>
                <w:rFonts w:ascii="宋体" w:hAnsi="宋体" w:eastAsia="宋体"/>
                <w:sz w:val="16"/>
              </w:rPr>
              <w:t>2024年12月31日已完成9栋厂房的消防设施维修</w:t>
            </w:r>
            <w:r>
              <w:rPr>
                <w:rFonts w:hint="eastAsia" w:ascii="宋体" w:hAnsi="宋体"/>
                <w:sz w:val="16"/>
                <w:lang w:eastAsia="zh-CN"/>
              </w:rPr>
              <w:t>。</w:t>
            </w:r>
            <w:r>
              <w:rPr>
                <w:rFonts w:ascii="宋体" w:hAnsi="宋体" w:eastAsia="宋体"/>
                <w:sz w:val="16"/>
              </w:rPr>
              <w:t>有效保障民丰县工业园区食品加工区消防设施正常运转，提高厂房安全系数。</w:t>
            </w:r>
          </w:p>
        </w:tc>
      </w:tr>
      <w:tr w14:paraId="4A2C32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19927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6056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BC48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7258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0085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E141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0B3B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9047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9F572">
            <w:pPr>
              <w:jc w:val="center"/>
            </w:pPr>
            <w:r>
              <w:rPr>
                <w:rFonts w:ascii="宋体" w:hAnsi="宋体" w:eastAsia="宋体"/>
                <w:sz w:val="16"/>
              </w:rPr>
              <w:t>偏差原因分析及改进措施</w:t>
            </w:r>
          </w:p>
        </w:tc>
      </w:tr>
      <w:tr w14:paraId="0A180D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9C1D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BC1F7">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E792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8DD19">
            <w:pPr>
              <w:jc w:val="center"/>
            </w:pPr>
            <w:r>
              <w:rPr>
                <w:rFonts w:ascii="宋体" w:hAnsi="宋体" w:eastAsia="宋体"/>
                <w:sz w:val="16"/>
              </w:rPr>
              <w:t>消防设施维修厂房数量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2ED06">
            <w:pPr>
              <w:jc w:val="center"/>
            </w:pPr>
            <w:r>
              <w:rPr>
                <w:rFonts w:ascii="宋体" w:hAnsi="宋体" w:eastAsia="宋体"/>
                <w:sz w:val="16"/>
              </w:rPr>
              <w:t>=9栋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9BE3C">
            <w:pPr>
              <w:jc w:val="center"/>
            </w:pPr>
            <w:r>
              <w:rPr>
                <w:rFonts w:ascii="宋体" w:hAnsi="宋体" w:eastAsia="宋体"/>
                <w:sz w:val="16"/>
              </w:rPr>
              <w:t>=9栋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570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6BC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C61A9">
            <w:pPr>
              <w:jc w:val="center"/>
            </w:pPr>
          </w:p>
        </w:tc>
      </w:tr>
      <w:tr w14:paraId="470779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119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7DE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425A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0A10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656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1EA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030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70D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C8B15">
            <w:pPr>
              <w:jc w:val="center"/>
            </w:pPr>
          </w:p>
        </w:tc>
      </w:tr>
      <w:tr w14:paraId="18F5D0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A97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EC21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A23C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941B1">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235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3F2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8BA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307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2169F">
            <w:pPr>
              <w:jc w:val="center"/>
            </w:pPr>
          </w:p>
        </w:tc>
      </w:tr>
      <w:tr w14:paraId="43B7B3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5D6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363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DB9E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DAE1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180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01E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7EA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6CE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93415">
            <w:pPr>
              <w:jc w:val="center"/>
            </w:pPr>
          </w:p>
        </w:tc>
      </w:tr>
      <w:tr w14:paraId="2CBA30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F0DC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E149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9FFD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FDFB3">
            <w:pPr>
              <w:jc w:val="center"/>
            </w:pPr>
            <w:r>
              <w:rPr>
                <w:rFonts w:ascii="宋体" w:hAnsi="宋体" w:eastAsia="宋体"/>
                <w:sz w:val="16"/>
              </w:rPr>
              <w:t>消防设施维修厂房平均成本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F6960">
            <w:pPr>
              <w:jc w:val="center"/>
            </w:pPr>
            <w:r>
              <w:rPr>
                <w:rFonts w:ascii="宋体" w:hAnsi="宋体" w:eastAsia="宋体"/>
                <w:sz w:val="16"/>
              </w:rPr>
              <w:t>&lt;=2.2222万元/栋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AA444">
            <w:pPr>
              <w:jc w:val="center"/>
            </w:pPr>
            <w:r>
              <w:rPr>
                <w:rFonts w:ascii="宋体" w:hAnsi="宋体" w:eastAsia="宋体"/>
                <w:sz w:val="16"/>
              </w:rPr>
              <w:t>=2.22万元/栋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81DC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F03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49FBB">
            <w:pPr>
              <w:jc w:val="center"/>
            </w:pPr>
          </w:p>
        </w:tc>
      </w:tr>
      <w:tr w14:paraId="403CF9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7E7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EC05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5115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F49F8">
            <w:pPr>
              <w:jc w:val="center"/>
            </w:pPr>
            <w:r>
              <w:rPr>
                <w:rFonts w:ascii="宋体" w:hAnsi="宋体" w:eastAsia="宋体"/>
                <w:sz w:val="16"/>
              </w:rPr>
              <w:t>保障民丰县工业园区食品加工区消防设施正常运转，提高厂房安全系数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8492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42C9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F343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F47C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E74E5">
            <w:pPr>
              <w:jc w:val="center"/>
            </w:pPr>
          </w:p>
        </w:tc>
      </w:tr>
      <w:tr w14:paraId="737347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1A9B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5222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B46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66FA8">
            <w:pPr>
              <w:jc w:val="center"/>
            </w:pPr>
            <w:r>
              <w:rPr>
                <w:rFonts w:ascii="宋体" w:hAnsi="宋体" w:eastAsia="宋体"/>
                <w:sz w:val="16"/>
              </w:rPr>
              <w:t>厂房工作人员满意度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6307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E4E7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5E9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6A5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571A5">
            <w:pPr>
              <w:jc w:val="center"/>
            </w:pPr>
          </w:p>
        </w:tc>
      </w:tr>
      <w:tr w14:paraId="77287A7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7587C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BEB1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B4F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2374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D316AC"/>
        </w:tc>
      </w:tr>
    </w:tbl>
    <w:p w14:paraId="10EECD2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2874FF">
        <w:tblPrEx>
          <w:tblCellMar>
            <w:top w:w="0" w:type="dxa"/>
            <w:left w:w="108" w:type="dxa"/>
            <w:bottom w:w="0" w:type="dxa"/>
            <w:right w:w="108" w:type="dxa"/>
          </w:tblCellMar>
        </w:tblPrEx>
        <w:tc>
          <w:tcPr>
            <w:tcW w:w="8847" w:type="dxa"/>
            <w:gridSpan w:val="9"/>
            <w:vAlign w:val="center"/>
          </w:tcPr>
          <w:p w14:paraId="5B913451">
            <w:pPr>
              <w:jc w:val="center"/>
            </w:pPr>
            <w:r>
              <w:rPr>
                <w:rFonts w:ascii="宋体" w:hAnsi="宋体" w:eastAsia="宋体"/>
                <w:sz w:val="24"/>
              </w:rPr>
              <w:t>项目支出绩效自评表</w:t>
            </w:r>
          </w:p>
        </w:tc>
      </w:tr>
      <w:tr w14:paraId="1EB2108C">
        <w:tblPrEx>
          <w:tblCellMar>
            <w:top w:w="0" w:type="dxa"/>
            <w:left w:w="108" w:type="dxa"/>
            <w:bottom w:w="0" w:type="dxa"/>
            <w:right w:w="108" w:type="dxa"/>
          </w:tblCellMar>
        </w:tblPrEx>
        <w:tc>
          <w:tcPr>
            <w:tcW w:w="8847" w:type="dxa"/>
            <w:gridSpan w:val="9"/>
            <w:vAlign w:val="center"/>
          </w:tcPr>
          <w:p w14:paraId="3503C367">
            <w:pPr>
              <w:jc w:val="center"/>
            </w:pPr>
            <w:r>
              <w:rPr>
                <w:rFonts w:ascii="宋体" w:hAnsi="宋体" w:eastAsia="宋体"/>
                <w:sz w:val="24"/>
              </w:rPr>
              <w:t>(2024年度)</w:t>
            </w:r>
          </w:p>
        </w:tc>
      </w:tr>
      <w:tr w14:paraId="301CD3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8675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5E4059">
            <w:pPr>
              <w:jc w:val="center"/>
            </w:pPr>
            <w:r>
              <w:rPr>
                <w:rFonts w:ascii="宋体" w:hAnsi="宋体" w:eastAsia="宋体"/>
                <w:sz w:val="16"/>
              </w:rPr>
              <w:t>情报信息奖金</w:t>
            </w:r>
          </w:p>
        </w:tc>
      </w:tr>
      <w:tr w14:paraId="4B9F435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B75F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B4E806">
            <w:pPr>
              <w:jc w:val="center"/>
            </w:pPr>
            <w:r>
              <w:rPr>
                <w:rFonts w:ascii="宋体" w:hAnsi="宋体" w:eastAsia="宋体"/>
                <w:sz w:val="16"/>
              </w:rPr>
              <w:t>民丰县工业园区管理委员会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EFA1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44B497">
            <w:pPr>
              <w:jc w:val="center"/>
            </w:pPr>
            <w:r>
              <w:rPr>
                <w:rFonts w:ascii="宋体" w:hAnsi="宋体" w:eastAsia="宋体"/>
                <w:sz w:val="16"/>
              </w:rPr>
              <w:t>民丰县工业园区管委会</w:t>
            </w:r>
          </w:p>
        </w:tc>
      </w:tr>
      <w:tr w14:paraId="47A8D1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5A9D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DC9F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2C20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93DB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29F8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C6B7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A80A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88AE0">
            <w:pPr>
              <w:jc w:val="center"/>
            </w:pPr>
            <w:r>
              <w:rPr>
                <w:rFonts w:ascii="宋体" w:hAnsi="宋体" w:eastAsia="宋体"/>
                <w:sz w:val="16"/>
              </w:rPr>
              <w:t>得分</w:t>
            </w:r>
          </w:p>
        </w:tc>
      </w:tr>
      <w:tr w14:paraId="0D4B77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FE9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8A4C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1A0FE">
            <w:pPr>
              <w:jc w:val="center"/>
            </w:pPr>
            <w:r>
              <w:rPr>
                <w:rFonts w:ascii="宋体" w:hAnsi="宋体" w:eastAsia="宋体"/>
                <w:sz w:val="16"/>
              </w:rPr>
              <w:t>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58198">
            <w:pPr>
              <w:jc w:val="center"/>
            </w:pPr>
            <w:r>
              <w:rPr>
                <w:rFonts w:ascii="宋体" w:hAnsi="宋体" w:eastAsia="宋体"/>
                <w:sz w:val="16"/>
              </w:rPr>
              <w:t>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055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75E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21085">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C4D3A">
            <w:pPr>
              <w:jc w:val="center"/>
            </w:pPr>
            <w:r>
              <w:rPr>
                <w:rFonts w:ascii="宋体" w:hAnsi="宋体" w:eastAsia="宋体"/>
                <w:sz w:val="16"/>
              </w:rPr>
              <w:t>0.00分</w:t>
            </w:r>
          </w:p>
        </w:tc>
      </w:tr>
      <w:tr w14:paraId="1120B8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524C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AA8E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8F8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89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5CF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6B5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768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856E8">
            <w:pPr>
              <w:jc w:val="center"/>
            </w:pPr>
            <w:r>
              <w:rPr>
                <w:rFonts w:ascii="宋体" w:hAnsi="宋体" w:eastAsia="宋体"/>
                <w:sz w:val="16"/>
              </w:rPr>
              <w:t>—</w:t>
            </w:r>
          </w:p>
        </w:tc>
      </w:tr>
      <w:tr w14:paraId="576FB0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2C72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FEBA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D01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C12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E68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51F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CB5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A3E96">
            <w:pPr>
              <w:jc w:val="center"/>
            </w:pPr>
            <w:r>
              <w:rPr>
                <w:rFonts w:ascii="宋体" w:hAnsi="宋体" w:eastAsia="宋体"/>
                <w:sz w:val="16"/>
              </w:rPr>
              <w:t>—</w:t>
            </w:r>
          </w:p>
        </w:tc>
      </w:tr>
      <w:tr w14:paraId="78B871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EB0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90CF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DB47D">
            <w:pPr>
              <w:jc w:val="center"/>
            </w:pPr>
            <w:r>
              <w:rPr>
                <w:rFonts w:ascii="宋体" w:hAnsi="宋体" w:eastAsia="宋体"/>
                <w:sz w:val="16"/>
              </w:rPr>
              <w:t>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0DB80">
            <w:pPr>
              <w:jc w:val="center"/>
            </w:pPr>
            <w:r>
              <w:rPr>
                <w:rFonts w:ascii="宋体" w:hAnsi="宋体" w:eastAsia="宋体"/>
                <w:sz w:val="16"/>
              </w:rPr>
              <w:t>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E8A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7CA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436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5FA1A">
            <w:pPr>
              <w:jc w:val="center"/>
            </w:pPr>
            <w:r>
              <w:rPr>
                <w:rFonts w:ascii="宋体" w:hAnsi="宋体" w:eastAsia="宋体"/>
                <w:sz w:val="16"/>
              </w:rPr>
              <w:t>—</w:t>
            </w:r>
          </w:p>
        </w:tc>
      </w:tr>
      <w:tr w14:paraId="7DC7C8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FED1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7BE48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8E054">
            <w:pPr>
              <w:jc w:val="center"/>
            </w:pPr>
            <w:r>
              <w:rPr>
                <w:rFonts w:ascii="宋体" w:hAnsi="宋体" w:eastAsia="宋体"/>
                <w:sz w:val="16"/>
              </w:rPr>
              <w:t>实际完成情况</w:t>
            </w:r>
          </w:p>
        </w:tc>
      </w:tr>
      <w:tr w14:paraId="0201F3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D372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9C9DBB">
            <w:pPr>
              <w:jc w:val="both"/>
            </w:pPr>
            <w:r>
              <w:rPr>
                <w:rFonts w:ascii="宋体" w:hAnsi="宋体" w:eastAsia="宋体"/>
                <w:sz w:val="16"/>
              </w:rPr>
              <w:t>根据项目实施方案实施本项目。项目实施内容：</w:t>
            </w:r>
            <w:r>
              <w:rPr>
                <w:rFonts w:hint="eastAsia" w:ascii="宋体" w:hAnsi="宋体"/>
                <w:sz w:val="16"/>
                <w:lang w:eastAsia="zh-CN"/>
              </w:rPr>
              <w:t>县委政法委</w:t>
            </w:r>
            <w:r>
              <w:rPr>
                <w:rFonts w:ascii="宋体" w:hAnsi="宋体" w:eastAsia="宋体"/>
                <w:sz w:val="16"/>
              </w:rPr>
              <w:t>拨给情报信息奖金6100元。通过项目实施，有效提高干部参加活动积极性。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26A840">
            <w:pPr>
              <w:jc w:val="both"/>
            </w:pPr>
            <w:r>
              <w:rPr>
                <w:rFonts w:ascii="宋体" w:hAnsi="宋体" w:eastAsia="宋体"/>
                <w:sz w:val="16"/>
              </w:rPr>
              <w:t>2024年未</w:t>
            </w:r>
            <w:bookmarkStart w:id="0" w:name="_GoBack"/>
            <w:r>
              <w:rPr>
                <w:rFonts w:ascii="宋体" w:hAnsi="宋体" w:eastAsia="宋体"/>
                <w:sz w:val="16"/>
              </w:rPr>
              <w:t>发生情报</w:t>
            </w:r>
            <w:bookmarkEnd w:id="0"/>
            <w:r>
              <w:rPr>
                <w:rFonts w:ascii="宋体" w:hAnsi="宋体" w:eastAsia="宋体"/>
                <w:sz w:val="16"/>
              </w:rPr>
              <w:t>举报信息，资金未支付</w:t>
            </w:r>
          </w:p>
        </w:tc>
      </w:tr>
      <w:tr w14:paraId="2FAB5B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E1F43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B9EF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0CC3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915E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05BE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40A8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2B6D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8ECB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242BE">
            <w:pPr>
              <w:jc w:val="center"/>
            </w:pPr>
            <w:r>
              <w:rPr>
                <w:rFonts w:ascii="宋体" w:hAnsi="宋体" w:eastAsia="宋体"/>
                <w:sz w:val="16"/>
              </w:rPr>
              <w:t>偏差原因分析及改进措施</w:t>
            </w:r>
          </w:p>
        </w:tc>
      </w:tr>
      <w:tr w14:paraId="416454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D7A3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0582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7CE8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F6FCE">
            <w:pPr>
              <w:jc w:val="center"/>
            </w:pPr>
            <w:r>
              <w:rPr>
                <w:rFonts w:ascii="宋体" w:hAnsi="宋体" w:eastAsia="宋体"/>
                <w:sz w:val="16"/>
              </w:rPr>
              <w:t>奖金发放人数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5B6A8">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7DBB4">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BD6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8193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58284">
            <w:pPr>
              <w:jc w:val="center"/>
            </w:pPr>
            <w:r>
              <w:rPr>
                <w:rFonts w:ascii="宋体" w:hAnsi="宋体" w:eastAsia="宋体"/>
                <w:sz w:val="16"/>
              </w:rPr>
              <w:t>偏差原因：2024年未发生情报举报信息，资金未支付；改进措施：加强预算管理。</w:t>
            </w:r>
          </w:p>
        </w:tc>
      </w:tr>
      <w:tr w14:paraId="6209EA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FFC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21E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D03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3074D">
            <w:pPr>
              <w:jc w:val="center"/>
            </w:pPr>
            <w:r>
              <w:rPr>
                <w:rFonts w:ascii="宋体" w:hAnsi="宋体" w:eastAsia="宋体"/>
                <w:sz w:val="16"/>
              </w:rPr>
              <w:t>奖金发放次数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32062">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A8C78">
            <w:pPr>
              <w:jc w:val="center"/>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61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B284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B5656">
            <w:pPr>
              <w:jc w:val="center"/>
            </w:pPr>
            <w:r>
              <w:rPr>
                <w:rFonts w:ascii="宋体" w:hAnsi="宋体" w:eastAsia="宋体"/>
                <w:sz w:val="16"/>
              </w:rPr>
              <w:t>偏差原因：2024年未发生情报举报信息，资金未支付；改进措施：加强预算管理。</w:t>
            </w:r>
          </w:p>
        </w:tc>
      </w:tr>
      <w:tr w14:paraId="7FB406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BF1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86E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8CD7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068B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C31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377F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A3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0896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27A0">
            <w:pPr>
              <w:jc w:val="center"/>
            </w:pPr>
            <w:r>
              <w:rPr>
                <w:rFonts w:ascii="宋体" w:hAnsi="宋体" w:eastAsia="宋体"/>
                <w:sz w:val="16"/>
              </w:rPr>
              <w:t>偏差原因：2024年未发生情报举报信息，资金未支付；改进措施：加强预算管理。</w:t>
            </w:r>
          </w:p>
        </w:tc>
      </w:tr>
      <w:tr w14:paraId="1D93ED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38E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4600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1D78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2878A">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A9D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79FD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E25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EBDC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10DB6">
            <w:pPr>
              <w:jc w:val="center"/>
            </w:pPr>
            <w:r>
              <w:rPr>
                <w:rFonts w:ascii="宋体" w:hAnsi="宋体" w:eastAsia="宋体"/>
                <w:sz w:val="16"/>
              </w:rPr>
              <w:t>偏差原因：2024年未发生情报举报信息，资金未支付；改进措施：加强预算管理。</w:t>
            </w:r>
          </w:p>
        </w:tc>
      </w:tr>
      <w:tr w14:paraId="7C4BBE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D6DA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D127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30B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267A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F237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A475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6AB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44A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5C06D">
            <w:pPr>
              <w:jc w:val="center"/>
            </w:pPr>
            <w:r>
              <w:rPr>
                <w:rFonts w:ascii="宋体" w:hAnsi="宋体" w:eastAsia="宋体"/>
                <w:sz w:val="16"/>
              </w:rPr>
              <w:t>此笔费还剩余3800元</w:t>
            </w:r>
          </w:p>
        </w:tc>
      </w:tr>
      <w:tr w14:paraId="225402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0EE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1951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9B46E">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2316C">
            <w:pPr>
              <w:jc w:val="center"/>
            </w:pPr>
            <w:r>
              <w:rPr>
                <w:rFonts w:ascii="宋体" w:hAnsi="宋体" w:eastAsia="宋体"/>
                <w:sz w:val="16"/>
              </w:rPr>
              <w:t>提高人员积极性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A458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FAD7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496D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18C4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C1E16">
            <w:pPr>
              <w:jc w:val="center"/>
            </w:pPr>
            <w:r>
              <w:rPr>
                <w:rFonts w:ascii="宋体" w:hAnsi="宋体" w:eastAsia="宋体"/>
                <w:sz w:val="16"/>
              </w:rPr>
              <w:t>偏差原因：2024年未发生情报举报信息，资金未支付；改进措施：加强预算管理。</w:t>
            </w:r>
          </w:p>
        </w:tc>
      </w:tr>
      <w:tr w14:paraId="54268F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795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DF64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427B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F0E73">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175D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D67C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EB0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7C7D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8EF6A">
            <w:pPr>
              <w:jc w:val="center"/>
            </w:pPr>
            <w:r>
              <w:rPr>
                <w:rFonts w:ascii="宋体" w:hAnsi="宋体" w:eastAsia="宋体"/>
                <w:sz w:val="16"/>
              </w:rPr>
              <w:t>偏差原因：2024年未发生情报举报信息，资金未支付；改进措施：加强预算管理。</w:t>
            </w:r>
          </w:p>
        </w:tc>
      </w:tr>
      <w:tr w14:paraId="67E1071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0D910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28A9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1A9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FFDA6">
            <w:pPr>
              <w:jc w:val="center"/>
            </w:pPr>
            <w:r>
              <w:rPr>
                <w:rFonts w:ascii="宋体" w:hAnsi="宋体" w:eastAsia="宋体"/>
                <w:sz w:val="16"/>
              </w:rPr>
              <w:t>10分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8CAB15"/>
        </w:tc>
      </w:tr>
    </w:tbl>
    <w:p w14:paraId="4F6F73A3">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1131"/>
        <w:gridCol w:w="835"/>
        <w:gridCol w:w="983"/>
        <w:gridCol w:w="983"/>
        <w:gridCol w:w="983"/>
        <w:gridCol w:w="983"/>
      </w:tblGrid>
      <w:tr w14:paraId="5AC51C90">
        <w:tblPrEx>
          <w:tblCellMar>
            <w:top w:w="0" w:type="dxa"/>
            <w:left w:w="108" w:type="dxa"/>
            <w:bottom w:w="0" w:type="dxa"/>
            <w:right w:w="108" w:type="dxa"/>
          </w:tblCellMar>
        </w:tblPrEx>
        <w:tc>
          <w:tcPr>
            <w:tcW w:w="8847" w:type="dxa"/>
            <w:gridSpan w:val="9"/>
            <w:vAlign w:val="center"/>
          </w:tcPr>
          <w:p w14:paraId="65442064">
            <w:pPr>
              <w:jc w:val="center"/>
            </w:pPr>
            <w:r>
              <w:rPr>
                <w:rFonts w:ascii="宋体" w:hAnsi="宋体" w:eastAsia="宋体"/>
                <w:sz w:val="24"/>
              </w:rPr>
              <w:t>项目支出绩效自评表</w:t>
            </w:r>
          </w:p>
        </w:tc>
      </w:tr>
      <w:tr w14:paraId="5C095467">
        <w:tblPrEx>
          <w:tblCellMar>
            <w:top w:w="0" w:type="dxa"/>
            <w:left w:w="108" w:type="dxa"/>
            <w:bottom w:w="0" w:type="dxa"/>
            <w:right w:w="108" w:type="dxa"/>
          </w:tblCellMar>
        </w:tblPrEx>
        <w:tc>
          <w:tcPr>
            <w:tcW w:w="8847" w:type="dxa"/>
            <w:gridSpan w:val="9"/>
            <w:vAlign w:val="center"/>
          </w:tcPr>
          <w:p w14:paraId="669D1F0F">
            <w:pPr>
              <w:jc w:val="center"/>
            </w:pPr>
            <w:r>
              <w:rPr>
                <w:rFonts w:ascii="宋体" w:hAnsi="宋体" w:eastAsia="宋体"/>
                <w:sz w:val="24"/>
              </w:rPr>
              <w:t>(2024年度)</w:t>
            </w:r>
          </w:p>
        </w:tc>
      </w:tr>
      <w:tr w14:paraId="41EE2D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2934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A870D6">
            <w:pPr>
              <w:jc w:val="center"/>
            </w:pPr>
            <w:r>
              <w:rPr>
                <w:rFonts w:ascii="宋体" w:hAnsi="宋体" w:eastAsia="宋体"/>
                <w:sz w:val="16"/>
              </w:rPr>
              <w:t>火车站道路占用耕地费用</w:t>
            </w:r>
          </w:p>
        </w:tc>
      </w:tr>
      <w:tr w14:paraId="6FEC60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37FFF">
            <w:pPr>
              <w:jc w:val="center"/>
            </w:pPr>
            <w:r>
              <w:rPr>
                <w:rFonts w:ascii="宋体" w:hAnsi="宋体" w:eastAsia="宋体"/>
                <w:sz w:val="16"/>
              </w:rPr>
              <w:t>主管部门</w:t>
            </w:r>
          </w:p>
        </w:tc>
        <w:tc>
          <w:tcPr>
            <w:tcW w:w="30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7594A7">
            <w:pPr>
              <w:jc w:val="center"/>
            </w:pPr>
            <w:r>
              <w:rPr>
                <w:rFonts w:ascii="宋体" w:hAnsi="宋体" w:eastAsia="宋体"/>
                <w:sz w:val="16"/>
              </w:rPr>
              <w:t>民丰县工业园区管理委员会</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1EF597C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078238">
            <w:pPr>
              <w:jc w:val="center"/>
            </w:pPr>
            <w:r>
              <w:rPr>
                <w:rFonts w:ascii="宋体" w:hAnsi="宋体" w:eastAsia="宋体"/>
                <w:sz w:val="16"/>
              </w:rPr>
              <w:t>民丰县工业园区管委会</w:t>
            </w:r>
          </w:p>
        </w:tc>
      </w:tr>
      <w:tr w14:paraId="105DD0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B02D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84B50">
            <w:pPr>
              <w:jc w:val="center"/>
            </w:pP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0C8419CF">
            <w:pPr>
              <w:jc w:val="center"/>
            </w:pPr>
            <w:r>
              <w:rPr>
                <w:rFonts w:ascii="宋体" w:hAnsi="宋体" w:eastAsia="宋体"/>
                <w:sz w:val="16"/>
              </w:rPr>
              <w:t>年初预算数</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0CE0B8A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000C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988F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087B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60DA4">
            <w:pPr>
              <w:jc w:val="center"/>
            </w:pPr>
            <w:r>
              <w:rPr>
                <w:rFonts w:ascii="宋体" w:hAnsi="宋体" w:eastAsia="宋体"/>
                <w:sz w:val="16"/>
              </w:rPr>
              <w:t>得分</w:t>
            </w:r>
          </w:p>
        </w:tc>
      </w:tr>
      <w:tr w14:paraId="25199B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943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18D56">
            <w:pPr>
              <w:jc w:val="center"/>
            </w:pPr>
            <w:r>
              <w:rPr>
                <w:rFonts w:ascii="宋体" w:hAnsi="宋体" w:eastAsia="宋体"/>
                <w:sz w:val="16"/>
              </w:rPr>
              <w:t>年度资金总额</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2B84AD48">
            <w:pPr>
              <w:jc w:val="center"/>
            </w:pPr>
            <w:r>
              <w:rPr>
                <w:rFonts w:ascii="宋体" w:hAnsi="宋体" w:eastAsia="宋体"/>
                <w:sz w:val="16"/>
              </w:rPr>
              <w:t>2.45</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78B87D74">
            <w:pPr>
              <w:jc w:val="center"/>
            </w:pPr>
            <w:r>
              <w:rPr>
                <w:rFonts w:ascii="宋体" w:hAnsi="宋体" w:eastAsia="宋体"/>
                <w:sz w:val="16"/>
              </w:rPr>
              <w:t>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BFE4E">
            <w:pPr>
              <w:jc w:val="center"/>
            </w:pPr>
            <w:r>
              <w:rPr>
                <w:rFonts w:ascii="宋体" w:hAnsi="宋体" w:eastAsia="宋体"/>
                <w:sz w:val="16"/>
              </w:rPr>
              <w:t>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2DC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FF48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19AC5">
            <w:pPr>
              <w:jc w:val="center"/>
            </w:pPr>
            <w:r>
              <w:rPr>
                <w:rFonts w:ascii="宋体" w:hAnsi="宋体" w:eastAsia="宋体"/>
                <w:sz w:val="16"/>
              </w:rPr>
              <w:t>10.00分</w:t>
            </w:r>
          </w:p>
        </w:tc>
      </w:tr>
      <w:tr w14:paraId="67BE72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3472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79E8">
            <w:pPr>
              <w:jc w:val="center"/>
            </w:pPr>
            <w:r>
              <w:rPr>
                <w:rFonts w:ascii="宋体" w:hAnsi="宋体" w:eastAsia="宋体"/>
                <w:sz w:val="16"/>
              </w:rPr>
              <w:t>其中：当年财政拨款</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07CC681C">
            <w:pPr>
              <w:jc w:val="center"/>
            </w:pPr>
            <w:r>
              <w:rPr>
                <w:rFonts w:ascii="宋体" w:hAnsi="宋体" w:eastAsia="宋体"/>
                <w:sz w:val="16"/>
              </w:rPr>
              <w:t>2.45</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04C9E8B8">
            <w:pPr>
              <w:jc w:val="center"/>
            </w:pPr>
            <w:r>
              <w:rPr>
                <w:rFonts w:ascii="宋体" w:hAnsi="宋体" w:eastAsia="宋体"/>
                <w:sz w:val="16"/>
              </w:rPr>
              <w:t>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7F02E">
            <w:pPr>
              <w:jc w:val="center"/>
            </w:pPr>
            <w:r>
              <w:rPr>
                <w:rFonts w:ascii="宋体" w:hAnsi="宋体" w:eastAsia="宋体"/>
                <w:sz w:val="16"/>
              </w:rPr>
              <w:t>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A8A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9A3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F331F">
            <w:pPr>
              <w:jc w:val="center"/>
            </w:pPr>
            <w:r>
              <w:rPr>
                <w:rFonts w:ascii="宋体" w:hAnsi="宋体" w:eastAsia="宋体"/>
                <w:sz w:val="16"/>
              </w:rPr>
              <w:t>—</w:t>
            </w:r>
          </w:p>
        </w:tc>
      </w:tr>
      <w:tr w14:paraId="76BBFB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8A5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FE56E">
            <w:pPr>
              <w:jc w:val="center"/>
            </w:pPr>
            <w:r>
              <w:rPr>
                <w:rFonts w:ascii="宋体" w:hAnsi="宋体" w:eastAsia="宋体"/>
                <w:sz w:val="16"/>
              </w:rPr>
              <w:t xml:space="preserve">      上年结转资金</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285129EE">
            <w:pPr>
              <w:jc w:val="center"/>
            </w:pPr>
            <w:r>
              <w:rPr>
                <w:rFonts w:ascii="宋体" w:hAnsi="宋体" w:eastAsia="宋体"/>
                <w:sz w:val="16"/>
              </w:rPr>
              <w:t>0.00</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14153A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4CB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232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467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03CE5">
            <w:pPr>
              <w:jc w:val="center"/>
            </w:pPr>
            <w:r>
              <w:rPr>
                <w:rFonts w:ascii="宋体" w:hAnsi="宋体" w:eastAsia="宋体"/>
                <w:sz w:val="16"/>
              </w:rPr>
              <w:t>—</w:t>
            </w:r>
          </w:p>
        </w:tc>
      </w:tr>
      <w:tr w14:paraId="25E73D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A0A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DC55B">
            <w:pPr>
              <w:jc w:val="center"/>
            </w:pPr>
            <w:r>
              <w:rPr>
                <w:rFonts w:ascii="宋体" w:hAnsi="宋体" w:eastAsia="宋体"/>
                <w:sz w:val="16"/>
              </w:rPr>
              <w:t xml:space="preserve">  其他资金</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6A1DF5A9">
            <w:pPr>
              <w:jc w:val="center"/>
            </w:pPr>
            <w:r>
              <w:rPr>
                <w:rFonts w:ascii="宋体" w:hAnsi="宋体" w:eastAsia="宋体"/>
                <w:sz w:val="16"/>
              </w:rPr>
              <w:t>0.00</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519527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05E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7FD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F33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96F8C">
            <w:pPr>
              <w:jc w:val="center"/>
            </w:pPr>
            <w:r>
              <w:rPr>
                <w:rFonts w:ascii="宋体" w:hAnsi="宋体" w:eastAsia="宋体"/>
                <w:sz w:val="16"/>
              </w:rPr>
              <w:t>—</w:t>
            </w:r>
          </w:p>
        </w:tc>
      </w:tr>
      <w:tr w14:paraId="368613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A246E">
            <w:pPr>
              <w:jc w:val="center"/>
            </w:pPr>
            <w:r>
              <w:rPr>
                <w:rFonts w:ascii="宋体" w:hAnsi="宋体" w:eastAsia="宋体"/>
                <w:sz w:val="16"/>
              </w:rPr>
              <w:t>年度总体目标</w:t>
            </w:r>
          </w:p>
        </w:tc>
        <w:tc>
          <w:tcPr>
            <w:tcW w:w="30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247427">
            <w:pPr>
              <w:jc w:val="center"/>
            </w:pPr>
            <w:r>
              <w:rPr>
                <w:rFonts w:ascii="宋体" w:hAnsi="宋体" w:eastAsia="宋体"/>
                <w:sz w:val="16"/>
              </w:rPr>
              <w:t>预期目标</w:t>
            </w:r>
          </w:p>
        </w:tc>
        <w:tc>
          <w:tcPr>
            <w:tcW w:w="476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FC7160">
            <w:pPr>
              <w:jc w:val="center"/>
            </w:pPr>
            <w:r>
              <w:rPr>
                <w:rFonts w:ascii="宋体" w:hAnsi="宋体" w:eastAsia="宋体"/>
                <w:sz w:val="16"/>
              </w:rPr>
              <w:t>实际完成情况</w:t>
            </w:r>
          </w:p>
        </w:tc>
      </w:tr>
      <w:tr w14:paraId="5BA14B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FEE62"/>
        </w:tc>
        <w:tc>
          <w:tcPr>
            <w:tcW w:w="30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398E09">
            <w:pPr>
              <w:jc w:val="both"/>
            </w:pPr>
            <w:r>
              <w:rPr>
                <w:rFonts w:ascii="宋体" w:hAnsi="宋体" w:eastAsia="宋体"/>
                <w:sz w:val="16"/>
              </w:rPr>
              <w:t>依据项目实施方案以及关于印发自治区耕地开垦费标准的通知（新发改规</w:t>
            </w:r>
            <w:r>
              <w:rPr>
                <w:rFonts w:hint="eastAsia" w:ascii="宋体" w:hAnsi="宋体"/>
                <w:sz w:val="16"/>
                <w:lang w:eastAsia="zh-CN"/>
              </w:rPr>
              <w:t>〔2024〕7号</w:t>
            </w:r>
            <w:r>
              <w:rPr>
                <w:rFonts w:ascii="宋体" w:hAnsi="宋体" w:eastAsia="宋体"/>
                <w:sz w:val="16"/>
              </w:rPr>
              <w:t>）文件实施本项目。主要内容：支付民丰县工业园区管理委员会火车站道路用地占用耕地面积3269平方米、4.9035亩，涉及缴纳耕地开垦费用2.45万元。通过项目实施，加快火车站道路建设工作。</w:t>
            </w:r>
          </w:p>
        </w:tc>
        <w:tc>
          <w:tcPr>
            <w:tcW w:w="476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869799">
            <w:pPr>
              <w:jc w:val="both"/>
            </w:pPr>
            <w:r>
              <w:rPr>
                <w:rFonts w:hint="eastAsia" w:ascii="宋体" w:hAnsi="宋体"/>
                <w:sz w:val="16"/>
                <w:lang w:eastAsia="zh-CN"/>
              </w:rPr>
              <w:t>截至</w:t>
            </w:r>
            <w:r>
              <w:rPr>
                <w:rFonts w:ascii="宋体" w:hAnsi="宋体" w:eastAsia="宋体"/>
                <w:sz w:val="16"/>
              </w:rPr>
              <w:t>2024年12月31日耕地开垦项目全部完成目标，已缴纳耕地开垦费用2.45万元。通过项目实施，加快火车站道路建设工作。</w:t>
            </w:r>
          </w:p>
        </w:tc>
      </w:tr>
      <w:tr w14:paraId="2EEEAD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A65ED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949C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67DDA">
            <w:pPr>
              <w:jc w:val="center"/>
            </w:pPr>
            <w:r>
              <w:rPr>
                <w:rFonts w:ascii="宋体" w:hAnsi="宋体" w:eastAsia="宋体"/>
                <w:sz w:val="16"/>
              </w:rPr>
              <w:t>二级指标</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56C614CB">
            <w:pPr>
              <w:jc w:val="center"/>
            </w:pPr>
            <w:r>
              <w:rPr>
                <w:rFonts w:ascii="宋体" w:hAnsi="宋体" w:eastAsia="宋体"/>
                <w:sz w:val="16"/>
              </w:rPr>
              <w:t>三级指标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6B1909C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FA1A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1466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735C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ED4A5">
            <w:pPr>
              <w:jc w:val="center"/>
            </w:pPr>
            <w:r>
              <w:rPr>
                <w:rFonts w:ascii="宋体" w:hAnsi="宋体" w:eastAsia="宋体"/>
                <w:sz w:val="16"/>
              </w:rPr>
              <w:t>偏差原因分析及改进措施</w:t>
            </w:r>
          </w:p>
        </w:tc>
      </w:tr>
      <w:tr w14:paraId="7B001A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06E1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7058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2A29B">
            <w:pPr>
              <w:jc w:val="center"/>
            </w:pPr>
            <w:r>
              <w:rPr>
                <w:rFonts w:ascii="宋体" w:hAnsi="宋体" w:eastAsia="宋体"/>
                <w:sz w:val="16"/>
              </w:rPr>
              <w:t>数量指标</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2237CF60">
            <w:pPr>
              <w:jc w:val="center"/>
            </w:pPr>
            <w:r>
              <w:rPr>
                <w:rFonts w:ascii="宋体" w:hAnsi="宋体" w:eastAsia="宋体"/>
                <w:sz w:val="16"/>
              </w:rPr>
              <w:t>占用耕地面积</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496E550C">
            <w:pPr>
              <w:jc w:val="center"/>
            </w:pPr>
            <w:r>
              <w:rPr>
                <w:rFonts w:ascii="宋体" w:hAnsi="宋体" w:eastAsia="宋体"/>
                <w:sz w:val="16"/>
              </w:rPr>
              <w:t>&gt;=4.9035亩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1A604">
            <w:pPr>
              <w:jc w:val="center"/>
            </w:pPr>
            <w:r>
              <w:rPr>
                <w:rFonts w:ascii="宋体" w:hAnsi="宋体" w:eastAsia="宋体"/>
                <w:sz w:val="16"/>
              </w:rPr>
              <w:t>=4.9035亩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91B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464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CB0AF">
            <w:pPr>
              <w:jc w:val="center"/>
            </w:pPr>
          </w:p>
        </w:tc>
      </w:tr>
      <w:tr w14:paraId="38ACA4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02B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739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BF094">
            <w:pPr>
              <w:jc w:val="center"/>
            </w:pPr>
            <w:r>
              <w:rPr>
                <w:rFonts w:ascii="宋体" w:hAnsi="宋体" w:eastAsia="宋体"/>
                <w:sz w:val="16"/>
              </w:rPr>
              <w:t>质量指标</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35CE83FB">
            <w:pPr>
              <w:jc w:val="center"/>
            </w:pPr>
            <w:r>
              <w:rPr>
                <w:rFonts w:ascii="宋体" w:hAnsi="宋体" w:eastAsia="宋体"/>
                <w:sz w:val="16"/>
              </w:rPr>
              <w:t>资金使用合规率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12F25F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C91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80C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81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D86E2">
            <w:pPr>
              <w:jc w:val="center"/>
            </w:pPr>
          </w:p>
        </w:tc>
      </w:tr>
      <w:tr w14:paraId="72EA7F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A0F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C40A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C2195">
            <w:pPr>
              <w:jc w:val="center"/>
            </w:pPr>
            <w:r>
              <w:rPr>
                <w:rFonts w:ascii="宋体" w:hAnsi="宋体" w:eastAsia="宋体"/>
                <w:sz w:val="16"/>
              </w:rPr>
              <w:t>时效指标</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7C3CACB9">
            <w:pPr>
              <w:jc w:val="center"/>
            </w:pPr>
            <w:r>
              <w:rPr>
                <w:rFonts w:ascii="宋体" w:hAnsi="宋体" w:eastAsia="宋体"/>
                <w:sz w:val="16"/>
              </w:rPr>
              <w:t>资金支付及时率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1DD056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C9A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EA7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A22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88D4D">
            <w:pPr>
              <w:jc w:val="center"/>
            </w:pPr>
          </w:p>
        </w:tc>
      </w:tr>
      <w:tr w14:paraId="5D0B6B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B14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986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F6F654"/>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231D73E7">
            <w:pPr>
              <w:jc w:val="center"/>
            </w:pPr>
            <w:r>
              <w:rPr>
                <w:rFonts w:ascii="宋体" w:hAnsi="宋体" w:eastAsia="宋体"/>
                <w:sz w:val="16"/>
              </w:rPr>
              <w:t>项目完成时间</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150091D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E27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ACF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101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34668">
            <w:pPr>
              <w:jc w:val="center"/>
            </w:pPr>
          </w:p>
        </w:tc>
      </w:tr>
      <w:tr w14:paraId="16F9B0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834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B20D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CCB63">
            <w:pPr>
              <w:jc w:val="center"/>
            </w:pPr>
            <w:r>
              <w:rPr>
                <w:rFonts w:ascii="宋体" w:hAnsi="宋体" w:eastAsia="宋体"/>
                <w:sz w:val="16"/>
              </w:rPr>
              <w:t>经济成本指标</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4E572753">
            <w:pPr>
              <w:jc w:val="center"/>
            </w:pPr>
            <w:r>
              <w:rPr>
                <w:rFonts w:ascii="宋体" w:hAnsi="宋体" w:eastAsia="宋体"/>
                <w:sz w:val="16"/>
              </w:rPr>
              <w:t>耕地开垦费用征收标准</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4F0862FB">
            <w:pPr>
              <w:jc w:val="center"/>
            </w:pPr>
            <w:r>
              <w:rPr>
                <w:rFonts w:ascii="宋体" w:hAnsi="宋体" w:eastAsia="宋体"/>
                <w:sz w:val="16"/>
              </w:rPr>
              <w:t>&lt;=5000元/亩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A7999">
            <w:pPr>
              <w:jc w:val="center"/>
            </w:pPr>
            <w:r>
              <w:rPr>
                <w:rFonts w:ascii="宋体" w:hAnsi="宋体" w:eastAsia="宋体"/>
                <w:sz w:val="16"/>
              </w:rPr>
              <w:t>=5000元/亩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BDCC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7F0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63233">
            <w:pPr>
              <w:jc w:val="center"/>
            </w:pPr>
          </w:p>
        </w:tc>
      </w:tr>
      <w:tr w14:paraId="1165D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320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032B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4C780">
            <w:pPr>
              <w:jc w:val="center"/>
            </w:pPr>
            <w:r>
              <w:rPr>
                <w:rFonts w:ascii="宋体" w:hAnsi="宋体" w:eastAsia="宋体"/>
                <w:sz w:val="16"/>
              </w:rPr>
              <w:t>社会效益指标</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067A5FDE">
            <w:pPr>
              <w:jc w:val="center"/>
            </w:pPr>
            <w:r>
              <w:rPr>
                <w:rFonts w:ascii="宋体" w:hAnsi="宋体" w:eastAsia="宋体"/>
                <w:sz w:val="16"/>
              </w:rPr>
              <w:t>加快火车站道路建设工作</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4CCE0CFB">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6A407">
            <w:pPr>
              <w:jc w:val="center"/>
            </w:pPr>
            <w:r>
              <w:rPr>
                <w:rFonts w:ascii="宋体" w:hAnsi="宋体" w:eastAsia="宋体"/>
                <w:sz w:val="16"/>
              </w:rPr>
              <w:t>基本完成目标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C4A4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C4AD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C9FB5">
            <w:pPr>
              <w:jc w:val="center"/>
            </w:pPr>
          </w:p>
        </w:tc>
      </w:tr>
      <w:tr w14:paraId="3E6DFC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484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7A9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40A29">
            <w:pPr>
              <w:jc w:val="center"/>
            </w:pPr>
            <w:r>
              <w:rPr>
                <w:rFonts w:ascii="宋体" w:hAnsi="宋体" w:eastAsia="宋体"/>
                <w:sz w:val="16"/>
              </w:rPr>
              <w:t>满意度指标</w:t>
            </w:r>
          </w:p>
        </w:tc>
        <w:tc>
          <w:tcPr>
            <w:tcW w:w="1131" w:type="dxa"/>
            <w:tcBorders>
              <w:top w:val="single" w:color="auto" w:sz="10" w:space="0"/>
              <w:left w:val="single" w:color="auto" w:sz="10" w:space="0"/>
              <w:bottom w:val="single" w:color="auto" w:sz="10" w:space="0"/>
              <w:right w:val="single" w:color="auto" w:sz="10" w:space="0"/>
              <w:insideV w:val="single" w:sz="10" w:space="0"/>
            </w:tcBorders>
            <w:vAlign w:val="center"/>
          </w:tcPr>
          <w:p w14:paraId="4ED5AAF3">
            <w:pPr>
              <w:jc w:val="center"/>
            </w:pPr>
            <w:r>
              <w:rPr>
                <w:rFonts w:ascii="宋体" w:hAnsi="宋体" w:eastAsia="宋体"/>
                <w:sz w:val="16"/>
              </w:rPr>
              <w:t>受益人员满意度</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48E5154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4CF0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283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D53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E2802">
            <w:pPr>
              <w:jc w:val="center"/>
            </w:pPr>
          </w:p>
        </w:tc>
      </w:tr>
      <w:tr w14:paraId="71BE0AA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0B11E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D083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2A4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9B20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F38884"/>
        </w:tc>
      </w:tr>
    </w:tbl>
    <w:p w14:paraId="2E118570">
      <w:r>
        <w:br w:type="page"/>
      </w:r>
    </w:p>
    <w:p w14:paraId="0CAD3EF8">
      <w:pPr>
        <w:spacing w:line="640" w:lineRule="exact"/>
        <w:ind w:firstLine="640"/>
        <w:jc w:val="both"/>
        <w:outlineLvl w:val="2"/>
      </w:pPr>
      <w:r>
        <w:rPr>
          <w:rFonts w:ascii="黑体" w:hAnsi="黑体" w:eastAsia="黑体"/>
          <w:sz w:val="32"/>
        </w:rPr>
        <w:t>十二、其他需说明的事项</w:t>
      </w:r>
    </w:p>
    <w:p w14:paraId="0712CEAC">
      <w:pPr>
        <w:spacing w:line="580" w:lineRule="exact"/>
        <w:ind w:firstLine="640"/>
        <w:jc w:val="both"/>
      </w:pPr>
      <w:r>
        <w:rPr>
          <w:rFonts w:ascii="仿宋_GB2312" w:hAnsi="仿宋_GB2312" w:eastAsia="仿宋_GB2312"/>
          <w:b w:val="0"/>
          <w:sz w:val="32"/>
        </w:rPr>
        <w:t>本单位无其他需说明的事项。</w:t>
      </w:r>
    </w:p>
    <w:p w14:paraId="0F15E0E0">
      <w:r>
        <w:br w:type="page"/>
      </w:r>
    </w:p>
    <w:p w14:paraId="05556E14">
      <w:pPr>
        <w:spacing w:line="240" w:lineRule="auto"/>
        <w:jc w:val="center"/>
        <w:outlineLvl w:val="1"/>
      </w:pPr>
      <w:r>
        <w:rPr>
          <w:rFonts w:ascii="黑体" w:hAnsi="黑体" w:eastAsia="黑体"/>
          <w:sz w:val="32"/>
        </w:rPr>
        <w:t>第三部分 专业名词解释</w:t>
      </w:r>
    </w:p>
    <w:p w14:paraId="067C562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20288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9D0C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D4C1D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553A7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6DA35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66A5A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D70C0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960F4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14906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FD46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AE442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2901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28474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82C6A6">
      <w:r>
        <w:br w:type="page"/>
      </w:r>
    </w:p>
    <w:p w14:paraId="11A2C773">
      <w:pPr>
        <w:spacing w:line="240" w:lineRule="auto"/>
        <w:jc w:val="center"/>
        <w:outlineLvl w:val="1"/>
      </w:pPr>
      <w:r>
        <w:rPr>
          <w:rFonts w:ascii="黑体" w:hAnsi="黑体" w:eastAsia="黑体"/>
          <w:sz w:val="32"/>
        </w:rPr>
        <w:t>第四部分 部门决算报表（见附表）</w:t>
      </w:r>
    </w:p>
    <w:p w14:paraId="1FF31B31">
      <w:pPr>
        <w:spacing w:line="240" w:lineRule="auto"/>
        <w:ind w:firstLine="640"/>
        <w:jc w:val="both"/>
      </w:pPr>
      <w:r>
        <w:rPr>
          <w:rFonts w:ascii="仿宋_GB2312" w:hAnsi="仿宋_GB2312" w:eastAsia="仿宋_GB2312"/>
          <w:b w:val="0"/>
          <w:sz w:val="32"/>
        </w:rPr>
        <w:t>一、《收入支出决算总表》</w:t>
      </w:r>
    </w:p>
    <w:p w14:paraId="3CDABE60">
      <w:pPr>
        <w:spacing w:line="240" w:lineRule="auto"/>
        <w:ind w:firstLine="640"/>
        <w:jc w:val="both"/>
      </w:pPr>
      <w:r>
        <w:rPr>
          <w:rFonts w:ascii="仿宋_GB2312" w:hAnsi="仿宋_GB2312" w:eastAsia="仿宋_GB2312"/>
          <w:b w:val="0"/>
          <w:sz w:val="32"/>
        </w:rPr>
        <w:t>二、《收入决算表》</w:t>
      </w:r>
    </w:p>
    <w:p w14:paraId="182CB783">
      <w:pPr>
        <w:spacing w:line="240" w:lineRule="auto"/>
        <w:ind w:firstLine="640"/>
        <w:jc w:val="both"/>
      </w:pPr>
      <w:r>
        <w:rPr>
          <w:rFonts w:ascii="仿宋_GB2312" w:hAnsi="仿宋_GB2312" w:eastAsia="仿宋_GB2312"/>
          <w:b w:val="0"/>
          <w:sz w:val="32"/>
        </w:rPr>
        <w:t>三、《支出决算表》</w:t>
      </w:r>
    </w:p>
    <w:p w14:paraId="3588C5D1">
      <w:pPr>
        <w:spacing w:line="240" w:lineRule="auto"/>
        <w:ind w:firstLine="640"/>
        <w:jc w:val="both"/>
      </w:pPr>
      <w:r>
        <w:rPr>
          <w:rFonts w:ascii="仿宋_GB2312" w:hAnsi="仿宋_GB2312" w:eastAsia="仿宋_GB2312"/>
          <w:b w:val="0"/>
          <w:sz w:val="32"/>
        </w:rPr>
        <w:t>四、《财政拨款收入支出决算总表》</w:t>
      </w:r>
    </w:p>
    <w:p w14:paraId="3EA6B96F">
      <w:pPr>
        <w:spacing w:line="240" w:lineRule="auto"/>
        <w:ind w:firstLine="640"/>
        <w:jc w:val="both"/>
      </w:pPr>
      <w:r>
        <w:rPr>
          <w:rFonts w:ascii="仿宋_GB2312" w:hAnsi="仿宋_GB2312" w:eastAsia="仿宋_GB2312"/>
          <w:b w:val="0"/>
          <w:sz w:val="32"/>
        </w:rPr>
        <w:t>五、《一般公共预算财政拨款支出决算表》</w:t>
      </w:r>
    </w:p>
    <w:p w14:paraId="22B7F1D4">
      <w:pPr>
        <w:spacing w:line="240" w:lineRule="auto"/>
        <w:ind w:firstLine="640"/>
        <w:jc w:val="both"/>
      </w:pPr>
      <w:r>
        <w:rPr>
          <w:rFonts w:ascii="仿宋_GB2312" w:hAnsi="仿宋_GB2312" w:eastAsia="仿宋_GB2312"/>
          <w:b w:val="0"/>
          <w:sz w:val="32"/>
        </w:rPr>
        <w:t>六、《一般公共预算财政拨款基本支出决算表》</w:t>
      </w:r>
    </w:p>
    <w:p w14:paraId="230F4CB1">
      <w:pPr>
        <w:spacing w:line="240" w:lineRule="auto"/>
        <w:ind w:firstLine="640"/>
        <w:jc w:val="both"/>
      </w:pPr>
      <w:r>
        <w:rPr>
          <w:rFonts w:ascii="仿宋_GB2312" w:hAnsi="仿宋_GB2312" w:eastAsia="仿宋_GB2312"/>
          <w:b w:val="0"/>
          <w:sz w:val="32"/>
        </w:rPr>
        <w:t>七、《政府性基金预算财政拨款收入支出决算表》</w:t>
      </w:r>
    </w:p>
    <w:p w14:paraId="27257C32">
      <w:pPr>
        <w:spacing w:line="240" w:lineRule="auto"/>
        <w:ind w:firstLine="640"/>
        <w:jc w:val="both"/>
      </w:pPr>
      <w:r>
        <w:rPr>
          <w:rFonts w:ascii="仿宋_GB2312" w:hAnsi="仿宋_GB2312" w:eastAsia="仿宋_GB2312"/>
          <w:b w:val="0"/>
          <w:sz w:val="32"/>
        </w:rPr>
        <w:t>八、《国有资本经营预算财政拨款收入支出决算表》</w:t>
      </w:r>
    </w:p>
    <w:p w14:paraId="6D2AB725">
      <w:pPr>
        <w:spacing w:line="240" w:lineRule="auto"/>
        <w:ind w:firstLine="640"/>
        <w:jc w:val="both"/>
      </w:pPr>
      <w:r>
        <w:rPr>
          <w:rFonts w:ascii="仿宋_GB2312" w:hAnsi="仿宋_GB2312" w:eastAsia="仿宋_GB2312"/>
          <w:b w:val="0"/>
          <w:sz w:val="32"/>
        </w:rPr>
        <w:t>九、《财政拨款“三公”经费支出决算表》</w:t>
      </w:r>
    </w:p>
    <w:p w14:paraId="5476821C">
      <w:pPr>
        <w:spacing w:line="240" w:lineRule="auto"/>
        <w:ind w:firstLine="640"/>
        <w:jc w:val="both"/>
      </w:pPr>
    </w:p>
    <w:p w14:paraId="27699ECC">
      <w:pPr>
        <w:spacing w:line="240" w:lineRule="auto"/>
        <w:ind w:firstLine="640"/>
        <w:jc w:val="both"/>
      </w:pPr>
    </w:p>
    <w:p w14:paraId="1DEEA696">
      <w:pPr>
        <w:spacing w:line="240" w:lineRule="auto"/>
        <w:ind w:firstLine="640"/>
        <w:jc w:val="both"/>
      </w:pPr>
    </w:p>
    <w:p w14:paraId="1C52666A">
      <w:pPr>
        <w:spacing w:line="240" w:lineRule="auto"/>
        <w:ind w:firstLine="640"/>
        <w:jc w:val="both"/>
      </w:pPr>
    </w:p>
    <w:p w14:paraId="671F31C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13F099-0B09-462B-829F-A344A49D3C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97A0AC7-306A-4F49-B0F8-115A68EDB8D5}"/>
  </w:font>
  <w:font w:name="仿宋_GB2312">
    <w:panose1 w:val="02010609030101010101"/>
    <w:charset w:val="86"/>
    <w:family w:val="modern"/>
    <w:pitch w:val="default"/>
    <w:sig w:usb0="00000001" w:usb1="080E0000" w:usb2="00000000" w:usb3="00000000" w:csb0="00040000" w:csb1="00000000"/>
    <w:embedRegular r:id="rId3" w:fontKey="{B2A2D7D5-2295-49F9-AB47-76238C01B5F1}"/>
  </w:font>
  <w:font w:name="楷体_GB2312">
    <w:panose1 w:val="02010609030101010101"/>
    <w:charset w:val="86"/>
    <w:family w:val="auto"/>
    <w:pitch w:val="default"/>
    <w:sig w:usb0="00000001" w:usb1="080E0000" w:usb2="00000000" w:usb3="00000000" w:csb0="00040000" w:csb1="00000000"/>
    <w:embedRegular r:id="rId4" w:fontKey="{ADD8A340-6178-446D-B83F-A9215515828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28244F"/>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9745F3"/>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6876</Words>
  <Characters>7793</Characters>
  <Lines>0</Lines>
  <Paragraphs>0</Paragraphs>
  <TotalTime>5</TotalTime>
  <ScaleCrop>false</ScaleCrop>
  <LinksUpToDate>false</LinksUpToDate>
  <CharactersWithSpaces>7955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2025-09-25T08:11:30Z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