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A3673D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民丰县尼雅新村幼儿园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5CC936">
      <w:r>
        <w:br w:type="page"/>
      </w:r>
    </w:p>
    <w:p w14:paraId="0682944D">
      <w:pPr>
        <w:spacing w:line="640" w:lineRule="exact"/>
        <w:jc w:val="center"/>
        <w:outlineLvl w:val="1"/>
      </w:pPr>
      <w:r>
        <w:rPr>
          <w:rFonts w:ascii="黑体" w:hAnsi="黑体" w:eastAsia="黑体"/>
          <w:sz w:val="32"/>
        </w:rPr>
        <w:t>第一部分 单位概况</w:t>
      </w:r>
    </w:p>
    <w:p w14:paraId="303F7597">
      <w:pPr>
        <w:spacing w:line="640" w:lineRule="exact"/>
        <w:ind w:firstLine="640"/>
        <w:jc w:val="both"/>
        <w:outlineLvl w:val="2"/>
      </w:pPr>
      <w:r>
        <w:rPr>
          <w:rFonts w:ascii="黑体" w:hAnsi="黑体" w:eastAsia="黑体"/>
          <w:sz w:val="32"/>
        </w:rPr>
        <w:t>一、主要职能</w:t>
      </w:r>
    </w:p>
    <w:p w14:paraId="668C4E55">
      <w:pPr>
        <w:spacing w:line="580" w:lineRule="exact"/>
        <w:ind w:firstLine="640"/>
        <w:jc w:val="both"/>
      </w:pPr>
      <w:r>
        <w:rPr>
          <w:rFonts w:ascii="仿宋_GB2312" w:hAnsi="仿宋_GB2312" w:eastAsia="仿宋_GB2312"/>
          <w:sz w:val="32"/>
        </w:rPr>
        <w:t>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w:t>
      </w:r>
      <w:r>
        <w:rPr>
          <w:rFonts w:hint="eastAsia" w:ascii="仿宋_GB2312" w:hAnsi="仿宋_GB2312" w:eastAsia="仿宋_GB2312"/>
          <w:sz w:val="32"/>
          <w:lang w:eastAsia="zh-CN"/>
        </w:rPr>
        <w:t>WW</w:t>
      </w:r>
      <w:r>
        <w:rPr>
          <w:rFonts w:ascii="仿宋_GB2312" w:hAnsi="仿宋_GB2312" w:eastAsia="仿宋_GB2312"/>
          <w:sz w:val="32"/>
        </w:rPr>
        <w:t>工作、党建工作、教育等日常工作。</w:t>
      </w:r>
    </w:p>
    <w:p w14:paraId="47FA4384">
      <w:pPr>
        <w:spacing w:line="640" w:lineRule="exact"/>
        <w:ind w:firstLine="640"/>
        <w:jc w:val="both"/>
        <w:outlineLvl w:val="2"/>
      </w:pPr>
      <w:r>
        <w:rPr>
          <w:rFonts w:ascii="黑体" w:hAnsi="黑体" w:eastAsia="黑体"/>
          <w:sz w:val="32"/>
        </w:rPr>
        <w:t>二、机构设置及人员情况</w:t>
      </w:r>
    </w:p>
    <w:p w14:paraId="4CDB1143">
      <w:pPr>
        <w:spacing w:line="580" w:lineRule="exact"/>
        <w:ind w:firstLine="640"/>
        <w:jc w:val="both"/>
      </w:pPr>
      <w:r>
        <w:rPr>
          <w:rFonts w:ascii="仿宋_GB2312" w:hAnsi="仿宋_GB2312" w:eastAsia="仿宋_GB2312"/>
          <w:sz w:val="32"/>
        </w:rPr>
        <w:t>民丰县尼雅新村幼儿园2024年度，实有人数12人，其中：在职人员9人，增加1人；离休人员0人，增加0人；退休人员3人,增加0人。</w:t>
      </w:r>
    </w:p>
    <w:p w14:paraId="456ECAA6">
      <w:pPr>
        <w:spacing w:line="580" w:lineRule="exact"/>
        <w:ind w:firstLine="640"/>
        <w:jc w:val="both"/>
      </w:pPr>
      <w:r>
        <w:rPr>
          <w:rFonts w:ascii="仿宋_GB2312" w:hAnsi="仿宋_GB2312" w:eastAsia="仿宋_GB2312"/>
          <w:sz w:val="32"/>
        </w:rPr>
        <w:t>民丰县尼雅新村幼儿园无下属预算单位，下设5个科室，分别是：党建办、园长办公室、德育办、后勤办、财务室。</w:t>
      </w:r>
    </w:p>
    <w:p w14:paraId="3875897E">
      <w:r>
        <w:br w:type="page"/>
      </w:r>
    </w:p>
    <w:p w14:paraId="370A2A0C">
      <w:pPr>
        <w:spacing w:line="240" w:lineRule="auto"/>
        <w:jc w:val="center"/>
        <w:outlineLvl w:val="1"/>
      </w:pPr>
      <w:r>
        <w:rPr>
          <w:rFonts w:ascii="黑体" w:hAnsi="黑体" w:eastAsia="黑体"/>
          <w:sz w:val="32"/>
        </w:rPr>
        <w:t>第二部分 部门决算情况说明</w:t>
      </w:r>
    </w:p>
    <w:p w14:paraId="43DB8E36">
      <w:pPr>
        <w:spacing w:line="640" w:lineRule="exact"/>
        <w:ind w:firstLine="640"/>
        <w:jc w:val="both"/>
        <w:outlineLvl w:val="2"/>
      </w:pPr>
      <w:r>
        <w:rPr>
          <w:rFonts w:ascii="黑体" w:hAnsi="黑体" w:eastAsia="黑体"/>
          <w:sz w:val="32"/>
        </w:rPr>
        <w:t>一、收入支出决算总体情况说明</w:t>
      </w:r>
    </w:p>
    <w:p w14:paraId="4EF07BA7">
      <w:pPr>
        <w:spacing w:line="580" w:lineRule="exact"/>
        <w:ind w:firstLine="640"/>
        <w:jc w:val="both"/>
      </w:pPr>
      <w:r>
        <w:rPr>
          <w:rFonts w:ascii="仿宋_GB2312" w:hAnsi="仿宋_GB2312" w:eastAsia="仿宋_GB2312"/>
          <w:b/>
          <w:sz w:val="32"/>
        </w:rPr>
        <w:t>2024年度收入总计184.98万元，</w:t>
      </w:r>
      <w:r>
        <w:rPr>
          <w:rFonts w:ascii="仿宋_GB2312" w:hAnsi="仿宋_GB2312" w:eastAsia="仿宋_GB2312"/>
          <w:b w:val="0"/>
          <w:sz w:val="32"/>
        </w:rPr>
        <w:t>其中：本年收入合计184.98万元，使用非财政拨款结余（含专用结余）0.00万元，年初结转和结余0.00万元。</w:t>
      </w:r>
    </w:p>
    <w:p w14:paraId="4A750321">
      <w:pPr>
        <w:spacing w:line="580" w:lineRule="exact"/>
        <w:ind w:firstLine="640"/>
        <w:jc w:val="both"/>
      </w:pPr>
      <w:r>
        <w:rPr>
          <w:rFonts w:ascii="仿宋_GB2312" w:hAnsi="仿宋_GB2312" w:eastAsia="仿宋_GB2312"/>
          <w:b/>
          <w:sz w:val="32"/>
        </w:rPr>
        <w:t>2024年度支出总计184.98万元，</w:t>
      </w:r>
      <w:r>
        <w:rPr>
          <w:rFonts w:ascii="仿宋_GB2312" w:hAnsi="仿宋_GB2312" w:eastAsia="仿宋_GB2312"/>
          <w:b w:val="0"/>
          <w:sz w:val="32"/>
        </w:rPr>
        <w:t>其中：本年支出合计184.98万元，结余分配0.00万元，年末结转和结余0.00万元。</w:t>
      </w:r>
    </w:p>
    <w:p w14:paraId="7DD77FA4">
      <w:pPr>
        <w:spacing w:line="580" w:lineRule="exact"/>
        <w:ind w:firstLine="640"/>
        <w:jc w:val="both"/>
      </w:pPr>
      <w:r>
        <w:rPr>
          <w:rFonts w:ascii="仿宋_GB2312" w:hAnsi="仿宋_GB2312" w:eastAsia="仿宋_GB2312"/>
          <w:b w:val="0"/>
          <w:sz w:val="32"/>
        </w:rPr>
        <w:t>收入支出总体与上年相比，减少76.09万元，下降29.15%，主要原因是：本年机构改革，我园下半年幼儿及教师分流至民丰县未来幼儿园，民丰县第二幼儿园，相关人员经费及公用经费减少。</w:t>
      </w:r>
    </w:p>
    <w:p w14:paraId="13AD61B0">
      <w:pPr>
        <w:spacing w:line="640" w:lineRule="exact"/>
        <w:ind w:firstLine="640"/>
        <w:jc w:val="both"/>
        <w:outlineLvl w:val="2"/>
      </w:pPr>
      <w:r>
        <w:rPr>
          <w:rFonts w:ascii="黑体" w:hAnsi="黑体" w:eastAsia="黑体"/>
          <w:sz w:val="32"/>
        </w:rPr>
        <w:t>二、收入决算情况说明</w:t>
      </w:r>
    </w:p>
    <w:p w14:paraId="493E5C20">
      <w:pPr>
        <w:spacing w:line="580" w:lineRule="exact"/>
        <w:ind w:firstLine="640"/>
        <w:jc w:val="both"/>
      </w:pPr>
      <w:r>
        <w:rPr>
          <w:rFonts w:ascii="仿宋_GB2312" w:hAnsi="仿宋_GB2312" w:eastAsia="仿宋_GB2312"/>
          <w:b/>
          <w:sz w:val="32"/>
        </w:rPr>
        <w:t>本年收入184.98万元，</w:t>
      </w:r>
      <w:r>
        <w:rPr>
          <w:rFonts w:ascii="仿宋_GB2312" w:hAnsi="仿宋_GB2312" w:eastAsia="仿宋_GB2312"/>
          <w:b w:val="0"/>
          <w:sz w:val="32"/>
        </w:rPr>
        <w:t>其中：财政拨款收入184.98万元，占100.00%；上级补助收入0.00万元，占0.00%；事业收入0.00万元，占0.00%；经营收入0.00万元，占0.00%；附属单位上缴收入0.00万元，占0.00%；其他收入0.00万元，占0.00%。</w:t>
      </w:r>
    </w:p>
    <w:p w14:paraId="7FA743D5">
      <w:pPr>
        <w:spacing w:line="640" w:lineRule="exact"/>
        <w:ind w:firstLine="640"/>
        <w:jc w:val="both"/>
        <w:outlineLvl w:val="2"/>
      </w:pPr>
      <w:r>
        <w:rPr>
          <w:rFonts w:ascii="黑体" w:hAnsi="黑体" w:eastAsia="黑体"/>
          <w:sz w:val="32"/>
        </w:rPr>
        <w:t>三、支出决算情况说明</w:t>
      </w:r>
    </w:p>
    <w:p w14:paraId="2227E6AB">
      <w:pPr>
        <w:spacing w:line="580" w:lineRule="exact"/>
        <w:ind w:firstLine="640"/>
        <w:jc w:val="both"/>
      </w:pPr>
      <w:r>
        <w:rPr>
          <w:rFonts w:ascii="仿宋_GB2312" w:hAnsi="仿宋_GB2312" w:eastAsia="仿宋_GB2312"/>
          <w:b/>
          <w:sz w:val="32"/>
        </w:rPr>
        <w:t>本年支出184.98万元，</w:t>
      </w:r>
      <w:r>
        <w:rPr>
          <w:rFonts w:ascii="仿宋_GB2312" w:hAnsi="仿宋_GB2312" w:eastAsia="仿宋_GB2312"/>
          <w:b w:val="0"/>
          <w:sz w:val="32"/>
        </w:rPr>
        <w:t>其中：基本支出154.93万元，占83.76%；项目支出30.05万元，占16.24%；上缴上级支出0.00万元，占0.00%；经营支出0.00万元，占0.00%；对附属单位补助支出0.00万元，占0.00%。</w:t>
      </w:r>
    </w:p>
    <w:p w14:paraId="32A596D2">
      <w:pPr>
        <w:spacing w:line="640" w:lineRule="exact"/>
        <w:ind w:firstLine="640"/>
        <w:jc w:val="both"/>
        <w:outlineLvl w:val="2"/>
      </w:pPr>
      <w:r>
        <w:rPr>
          <w:rFonts w:ascii="黑体" w:hAnsi="黑体" w:eastAsia="黑体"/>
          <w:sz w:val="32"/>
        </w:rPr>
        <w:t>四、财政拨款收入支出决算总体情况说明</w:t>
      </w:r>
    </w:p>
    <w:p w14:paraId="39DEC873">
      <w:pPr>
        <w:spacing w:line="580" w:lineRule="exact"/>
        <w:ind w:firstLine="640"/>
        <w:jc w:val="both"/>
      </w:pPr>
      <w:r>
        <w:rPr>
          <w:rFonts w:ascii="仿宋_GB2312" w:hAnsi="仿宋_GB2312" w:eastAsia="仿宋_GB2312"/>
          <w:b/>
          <w:sz w:val="32"/>
        </w:rPr>
        <w:t>2024年度财政拨款收入总计184.98万元，</w:t>
      </w:r>
      <w:r>
        <w:rPr>
          <w:rFonts w:ascii="仿宋_GB2312" w:hAnsi="仿宋_GB2312" w:eastAsia="仿宋_GB2312"/>
          <w:b w:val="0"/>
          <w:sz w:val="32"/>
        </w:rPr>
        <w:t>其中：年初财政拨款结转和结余0.00万元，本年财政拨款收入184.98万元。</w:t>
      </w:r>
      <w:r>
        <w:rPr>
          <w:rFonts w:ascii="仿宋_GB2312" w:hAnsi="仿宋_GB2312" w:eastAsia="仿宋_GB2312"/>
          <w:b/>
          <w:sz w:val="32"/>
        </w:rPr>
        <w:t>财政拨款支出总计184.98万元，</w:t>
      </w:r>
      <w:r>
        <w:rPr>
          <w:rFonts w:ascii="仿宋_GB2312" w:hAnsi="仿宋_GB2312" w:eastAsia="仿宋_GB2312"/>
          <w:b w:val="0"/>
          <w:sz w:val="32"/>
        </w:rPr>
        <w:t>其中：年末财政拨款结转和结余0.00万元，本年财政拨款支出184.98万元。</w:t>
      </w:r>
    </w:p>
    <w:p w14:paraId="312B901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减少76.08万元，下降29.14%，主要原因是：本年机构改革，我园下半年幼儿及教师分流至民丰县未来幼儿园，民丰县第二幼儿园，相关人员经费及公用经费减少。</w:t>
      </w:r>
      <w:r>
        <w:rPr>
          <w:rFonts w:ascii="仿宋_GB2312" w:hAnsi="仿宋_GB2312" w:eastAsia="仿宋_GB2312"/>
          <w:b/>
          <w:sz w:val="32"/>
        </w:rPr>
        <w:t>与年初预算相比，</w:t>
      </w:r>
      <w:r>
        <w:rPr>
          <w:rFonts w:ascii="仿宋_GB2312" w:hAnsi="仿宋_GB2312" w:eastAsia="仿宋_GB2312"/>
          <w:b w:val="0"/>
          <w:sz w:val="32"/>
        </w:rPr>
        <w:t>年初预算数237.41万元，决算数184.98万元，预决算差异率-22.08%，主要原因是：本年机构改革，我园下半年幼儿及教师分流至民丰县未来幼儿园，民丰县第二幼儿园，年中调减经费，导致预决算差异。</w:t>
      </w:r>
    </w:p>
    <w:p w14:paraId="7B7A5311">
      <w:pPr>
        <w:spacing w:line="640" w:lineRule="exact"/>
        <w:ind w:firstLine="640"/>
        <w:jc w:val="both"/>
        <w:outlineLvl w:val="2"/>
      </w:pPr>
      <w:r>
        <w:rPr>
          <w:rFonts w:ascii="黑体" w:hAnsi="黑体" w:eastAsia="黑体"/>
          <w:sz w:val="32"/>
        </w:rPr>
        <w:t>五、一般公共预算财政拨款支出决算情况说明</w:t>
      </w:r>
    </w:p>
    <w:p w14:paraId="2576DD67">
      <w:pPr>
        <w:spacing w:line="640" w:lineRule="exact"/>
        <w:ind w:firstLine="640"/>
        <w:jc w:val="both"/>
        <w:outlineLvl w:val="3"/>
      </w:pPr>
      <w:r>
        <w:rPr>
          <w:rFonts w:ascii="楷体_GB2312" w:hAnsi="楷体_GB2312" w:eastAsia="楷体_GB2312"/>
          <w:b/>
          <w:sz w:val="32"/>
        </w:rPr>
        <w:t>（一）一般公共预算财政拨款支出决算总体情况</w:t>
      </w:r>
    </w:p>
    <w:p w14:paraId="3A8F74EC">
      <w:pPr>
        <w:spacing w:line="580" w:lineRule="exact"/>
        <w:ind w:firstLine="640"/>
        <w:jc w:val="both"/>
      </w:pPr>
      <w:r>
        <w:rPr>
          <w:rFonts w:ascii="仿宋_GB2312" w:hAnsi="仿宋_GB2312" w:eastAsia="仿宋_GB2312"/>
          <w:b/>
          <w:sz w:val="32"/>
        </w:rPr>
        <w:t>2024年度一般公共预算财政拨款支出184.98万元，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减少76.08万元，下降29.14%，主要原因是：机构改革，我园下半年幼儿及教师分流至民丰县未来幼儿园，民丰县第二幼儿园，相关人员经费及公用经费减少。</w:t>
      </w:r>
      <w:r>
        <w:rPr>
          <w:rFonts w:ascii="仿宋_GB2312" w:hAnsi="仿宋_GB2312" w:eastAsia="仿宋_GB2312"/>
          <w:b/>
          <w:sz w:val="32"/>
        </w:rPr>
        <w:t>与年初预算相比,</w:t>
      </w:r>
      <w:r>
        <w:rPr>
          <w:rFonts w:ascii="仿宋_GB2312" w:hAnsi="仿宋_GB2312" w:eastAsia="仿宋_GB2312"/>
          <w:b w:val="0"/>
          <w:sz w:val="32"/>
        </w:rPr>
        <w:t>年初预算数237.41万元，决算数184.98万元，预决算差异率-22.08%，主要原因是：本年机构改革，我园下半年幼儿及教师分流至民丰县未来幼儿园，民丰县第二幼儿园，年中调减经费，导致预决算差异。</w:t>
      </w:r>
    </w:p>
    <w:p w14:paraId="6A581EB8">
      <w:pPr>
        <w:spacing w:line="640" w:lineRule="exact"/>
        <w:ind w:firstLine="640"/>
        <w:jc w:val="both"/>
        <w:outlineLvl w:val="3"/>
      </w:pPr>
      <w:r>
        <w:rPr>
          <w:rFonts w:ascii="楷体_GB2312" w:hAnsi="楷体_GB2312" w:eastAsia="楷体_GB2312"/>
          <w:b/>
          <w:sz w:val="32"/>
        </w:rPr>
        <w:t>（二）一般公共预算财政拨款支出决算结构情况</w:t>
      </w:r>
    </w:p>
    <w:p w14:paraId="0C47143C">
      <w:pPr>
        <w:spacing w:line="580" w:lineRule="exact"/>
        <w:ind w:firstLine="640"/>
        <w:jc w:val="both"/>
      </w:pPr>
      <w:r>
        <w:rPr>
          <w:rFonts w:ascii="仿宋_GB2312" w:hAnsi="仿宋_GB2312" w:eastAsia="仿宋_GB2312"/>
          <w:b w:val="0"/>
          <w:sz w:val="32"/>
        </w:rPr>
        <w:t>1.教育支出(类)184.98万元,占100.00%。</w:t>
      </w:r>
    </w:p>
    <w:p w14:paraId="4670E0C1">
      <w:pPr>
        <w:spacing w:line="640" w:lineRule="exact"/>
        <w:ind w:firstLine="640"/>
        <w:jc w:val="both"/>
        <w:outlineLvl w:val="3"/>
      </w:pPr>
      <w:r>
        <w:rPr>
          <w:rFonts w:ascii="楷体_GB2312" w:hAnsi="楷体_GB2312" w:eastAsia="楷体_GB2312"/>
          <w:b/>
          <w:sz w:val="32"/>
        </w:rPr>
        <w:t>（三）一般公共预算财政拨款支出决算具体情况</w:t>
      </w:r>
    </w:p>
    <w:p w14:paraId="79926EA4">
      <w:pPr>
        <w:spacing w:line="580" w:lineRule="exact"/>
        <w:ind w:firstLine="640"/>
        <w:jc w:val="both"/>
      </w:pPr>
      <w:r>
        <w:rPr>
          <w:rFonts w:ascii="仿宋_GB2312" w:hAnsi="仿宋_GB2312" w:eastAsia="仿宋_GB2312"/>
          <w:b w:val="0"/>
          <w:sz w:val="32"/>
        </w:rPr>
        <w:t>1.教育支出(类)普通教育(款)学前教育(项):支出决算数为184.98万元，比上年决算减少76.08万元，下降29.14%,主要原因是：机构改革，我园下半年幼儿及教师分流至民丰县未来幼儿园，民丰县第二幼儿园，相关人员经费及公用经费减少。</w:t>
      </w:r>
    </w:p>
    <w:p w14:paraId="0A772EA8">
      <w:pPr>
        <w:spacing w:line="640" w:lineRule="exact"/>
        <w:ind w:firstLine="640"/>
        <w:jc w:val="both"/>
        <w:outlineLvl w:val="2"/>
      </w:pPr>
      <w:r>
        <w:rPr>
          <w:rFonts w:ascii="黑体" w:hAnsi="黑体" w:eastAsia="黑体"/>
          <w:sz w:val="32"/>
        </w:rPr>
        <w:t>六、一般公共预算财政拨款基本支出决算情况说明</w:t>
      </w:r>
    </w:p>
    <w:p w14:paraId="5F7F0EAE">
      <w:pPr>
        <w:spacing w:line="580" w:lineRule="exact"/>
        <w:ind w:firstLine="640"/>
        <w:jc w:val="both"/>
      </w:pPr>
      <w:r>
        <w:rPr>
          <w:rFonts w:ascii="仿宋_GB2312" w:hAnsi="仿宋_GB2312" w:eastAsia="仿宋_GB2312"/>
          <w:b w:val="0"/>
          <w:sz w:val="32"/>
        </w:rPr>
        <w:t>2024年度一般公共预算财政拨款基本支出154.93万元，其中：</w:t>
      </w:r>
      <w:r>
        <w:rPr>
          <w:rFonts w:ascii="仿宋_GB2312" w:hAnsi="仿宋_GB2312" w:eastAsia="仿宋_GB2312"/>
          <w:b/>
          <w:sz w:val="32"/>
        </w:rPr>
        <w:t>人员经费154.93万元，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00ABAA8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49FCBC2">
      <w:pPr>
        <w:spacing w:line="640" w:lineRule="exact"/>
        <w:ind w:firstLine="640"/>
        <w:jc w:val="both"/>
        <w:outlineLvl w:val="2"/>
      </w:pPr>
      <w:r>
        <w:rPr>
          <w:rFonts w:ascii="黑体" w:hAnsi="黑体" w:eastAsia="黑体"/>
          <w:sz w:val="32"/>
        </w:rPr>
        <w:t>七、政府性基金预算财政拨款收入支出决算情况说明</w:t>
      </w:r>
    </w:p>
    <w:p w14:paraId="68756EA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E39B1AA">
      <w:pPr>
        <w:spacing w:line="640" w:lineRule="exact"/>
        <w:ind w:firstLine="640"/>
        <w:jc w:val="both"/>
        <w:outlineLvl w:val="2"/>
      </w:pPr>
      <w:r>
        <w:rPr>
          <w:rFonts w:ascii="黑体" w:hAnsi="黑体" w:eastAsia="黑体"/>
          <w:sz w:val="32"/>
        </w:rPr>
        <w:t>八、国有资本经营预算财政拨款收入支出决算情况说明</w:t>
      </w:r>
    </w:p>
    <w:p w14:paraId="4FBF2F4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6BF257">
      <w:pPr>
        <w:spacing w:line="640" w:lineRule="exact"/>
        <w:ind w:firstLine="640"/>
        <w:jc w:val="both"/>
        <w:outlineLvl w:val="2"/>
      </w:pPr>
      <w:r>
        <w:rPr>
          <w:rFonts w:ascii="黑体" w:hAnsi="黑体" w:eastAsia="黑体"/>
          <w:sz w:val="32"/>
        </w:rPr>
        <w:t>九、财政拨款“三公”经费支出决算情况说明</w:t>
      </w:r>
    </w:p>
    <w:p w14:paraId="01E1C0C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50704D1">
      <w:pPr>
        <w:spacing w:line="580" w:lineRule="exact"/>
        <w:ind w:firstLine="640"/>
        <w:jc w:val="both"/>
      </w:pPr>
      <w:r>
        <w:rPr>
          <w:rFonts w:ascii="仿宋_GB2312" w:hAnsi="仿宋_GB2312" w:eastAsia="仿宋_GB2312"/>
          <w:b/>
          <w:sz w:val="32"/>
        </w:rPr>
        <w:t>具体情况如下：</w:t>
      </w:r>
    </w:p>
    <w:p w14:paraId="6AF82A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70C81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AEF468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513956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8F86A69">
      <w:pPr>
        <w:spacing w:line="640" w:lineRule="exact"/>
        <w:ind w:firstLine="640"/>
        <w:jc w:val="both"/>
        <w:outlineLvl w:val="2"/>
      </w:pPr>
      <w:r>
        <w:rPr>
          <w:rFonts w:ascii="黑体" w:hAnsi="黑体" w:eastAsia="黑体"/>
          <w:sz w:val="32"/>
        </w:rPr>
        <w:t>十、其他重要事项的情况说明</w:t>
      </w:r>
    </w:p>
    <w:p w14:paraId="2465889C">
      <w:pPr>
        <w:spacing w:line="640" w:lineRule="exact"/>
        <w:ind w:firstLine="640"/>
        <w:jc w:val="both"/>
        <w:outlineLvl w:val="3"/>
      </w:pPr>
      <w:r>
        <w:rPr>
          <w:rFonts w:ascii="楷体_GB2312" w:hAnsi="楷体_GB2312" w:eastAsia="楷体_GB2312"/>
          <w:b/>
          <w:sz w:val="32"/>
        </w:rPr>
        <w:t>（一）机关运行经费及公用经费支出情况</w:t>
      </w:r>
    </w:p>
    <w:p w14:paraId="6B07A6AC">
      <w:pPr>
        <w:spacing w:line="580" w:lineRule="exact"/>
        <w:ind w:firstLine="640"/>
        <w:jc w:val="both"/>
      </w:pPr>
      <w:r>
        <w:rPr>
          <w:rFonts w:ascii="仿宋_GB2312" w:hAnsi="仿宋_GB2312" w:eastAsia="仿宋_GB2312"/>
          <w:b w:val="0"/>
          <w:sz w:val="32"/>
        </w:rPr>
        <w:t>2024年度民丰县尼雅新村幼儿园（事业单位）公用经费支出0.00万元，比上年增加0.00万元，增长0.00%，主要原因是：2023年与2024年均未安排公用经费支出。</w:t>
      </w:r>
    </w:p>
    <w:p w14:paraId="72F6841C">
      <w:pPr>
        <w:spacing w:line="640" w:lineRule="exact"/>
        <w:ind w:firstLine="640"/>
        <w:jc w:val="both"/>
        <w:outlineLvl w:val="3"/>
      </w:pPr>
      <w:r>
        <w:rPr>
          <w:rFonts w:ascii="楷体_GB2312" w:hAnsi="楷体_GB2312" w:eastAsia="楷体_GB2312"/>
          <w:b/>
          <w:sz w:val="32"/>
        </w:rPr>
        <w:t>（二）政府采购情况</w:t>
      </w:r>
    </w:p>
    <w:p w14:paraId="0674351A">
      <w:pPr>
        <w:spacing w:line="580" w:lineRule="exact"/>
        <w:ind w:firstLine="640"/>
        <w:jc w:val="both"/>
      </w:pPr>
      <w:r>
        <w:rPr>
          <w:rFonts w:ascii="仿宋_GB2312" w:hAnsi="仿宋_GB2312" w:eastAsia="仿宋_GB2312"/>
          <w:b w:val="0"/>
          <w:sz w:val="32"/>
        </w:rPr>
        <w:t>2024年度政府采购支出总额0.95万元，其中：政府采购货物支出0.95万元、政府采购工程支出0.00万元、政府采购服务支出0.00万元。</w:t>
      </w:r>
    </w:p>
    <w:p w14:paraId="11138393">
      <w:pPr>
        <w:spacing w:line="580" w:lineRule="exact"/>
        <w:ind w:firstLine="640"/>
        <w:jc w:val="both"/>
      </w:pPr>
      <w:r>
        <w:rPr>
          <w:rFonts w:ascii="仿宋_GB2312" w:hAnsi="仿宋_GB2312" w:eastAsia="仿宋_GB2312"/>
          <w:b w:val="0"/>
          <w:sz w:val="32"/>
        </w:rPr>
        <w:t>授予中小企业合同金额0.95万元，占政府采购支出总额的100.00%，其中：授予小微企业合同金额0.95万元，占政府采购支出总额的100.00%。</w:t>
      </w:r>
    </w:p>
    <w:p w14:paraId="625F83F6">
      <w:pPr>
        <w:spacing w:line="640" w:lineRule="exact"/>
        <w:ind w:firstLine="640"/>
        <w:jc w:val="both"/>
        <w:outlineLvl w:val="3"/>
      </w:pPr>
      <w:r>
        <w:rPr>
          <w:rFonts w:ascii="楷体_GB2312" w:hAnsi="楷体_GB2312" w:eastAsia="楷体_GB2312"/>
          <w:b/>
          <w:sz w:val="32"/>
        </w:rPr>
        <w:t>（三）国有资产占用情况说明</w:t>
      </w:r>
    </w:p>
    <w:p w14:paraId="203DD81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47FCEE3">
      <w:pPr>
        <w:spacing w:line="640" w:lineRule="exact"/>
        <w:ind w:firstLine="640"/>
        <w:jc w:val="both"/>
        <w:outlineLvl w:val="2"/>
      </w:pPr>
      <w:r>
        <w:rPr>
          <w:rFonts w:ascii="黑体" w:hAnsi="黑体" w:eastAsia="黑体"/>
          <w:sz w:val="32"/>
        </w:rPr>
        <w:t>十一、预算绩效的情况说明</w:t>
      </w:r>
    </w:p>
    <w:p w14:paraId="4853D8C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184.98万元，实际执行总额184.98万元；预算绩效评价项目2个，全年预算数4.69万元，全年执行数4.69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1F55DD7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957F53">
        <w:tblPrEx>
          <w:tblCellMar>
            <w:top w:w="0" w:type="dxa"/>
            <w:left w:w="108" w:type="dxa"/>
            <w:bottom w:w="0" w:type="dxa"/>
            <w:right w:w="108" w:type="dxa"/>
          </w:tblCellMar>
        </w:tblPrEx>
        <w:tc>
          <w:tcPr>
            <w:tcW w:w="8847" w:type="dxa"/>
            <w:gridSpan w:val="9"/>
            <w:vAlign w:val="center"/>
          </w:tcPr>
          <w:p w14:paraId="1EA6A8B5">
            <w:pPr>
              <w:jc w:val="center"/>
            </w:pPr>
            <w:r>
              <w:rPr>
                <w:rFonts w:ascii="宋体" w:hAnsi="宋体" w:eastAsia="宋体"/>
                <w:sz w:val="24"/>
              </w:rPr>
              <w:t>单位整体支出绩效自评表</w:t>
            </w:r>
          </w:p>
        </w:tc>
      </w:tr>
      <w:tr w14:paraId="5C80FD9B">
        <w:tblPrEx>
          <w:tblCellMar>
            <w:top w:w="0" w:type="dxa"/>
            <w:left w:w="108" w:type="dxa"/>
            <w:bottom w:w="0" w:type="dxa"/>
            <w:right w:w="108" w:type="dxa"/>
          </w:tblCellMar>
        </w:tblPrEx>
        <w:tc>
          <w:tcPr>
            <w:tcW w:w="8847" w:type="dxa"/>
            <w:gridSpan w:val="9"/>
            <w:vAlign w:val="center"/>
          </w:tcPr>
          <w:p w14:paraId="5F5EA5FE">
            <w:pPr>
              <w:jc w:val="center"/>
            </w:pPr>
            <w:r>
              <w:rPr>
                <w:rFonts w:ascii="宋体" w:hAnsi="宋体" w:eastAsia="宋体"/>
                <w:sz w:val="24"/>
              </w:rPr>
              <w:t>（2024年度）</w:t>
            </w:r>
          </w:p>
        </w:tc>
      </w:tr>
      <w:tr w14:paraId="5DDFD3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3E7C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6A07CC">
            <w:pPr>
              <w:jc w:val="center"/>
            </w:pPr>
            <w:r>
              <w:rPr>
                <w:rFonts w:ascii="宋体" w:hAnsi="宋体" w:eastAsia="宋体"/>
                <w:sz w:val="16"/>
              </w:rPr>
              <w:t>民丰县尼雅新村幼儿园</w:t>
            </w:r>
          </w:p>
        </w:tc>
      </w:tr>
      <w:tr w14:paraId="49AF98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D7D86">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977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7D58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4B08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355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077C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29CB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F2D06">
            <w:pPr>
              <w:jc w:val="center"/>
            </w:pPr>
            <w:r>
              <w:rPr>
                <w:rFonts w:ascii="宋体" w:hAnsi="宋体" w:eastAsia="宋体"/>
                <w:sz w:val="16"/>
              </w:rPr>
              <w:t>得分</w:t>
            </w:r>
          </w:p>
        </w:tc>
      </w:tr>
      <w:tr w14:paraId="35E631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966B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B9C8D">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CCB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4FF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30CCC">
            <w:pPr>
              <w:jc w:val="center"/>
            </w:pPr>
            <w:r>
              <w:rPr>
                <w:rFonts w:ascii="宋体" w:hAnsi="宋体" w:eastAsia="宋体"/>
                <w:sz w:val="16"/>
              </w:rPr>
              <w:t>30.05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ADE11">
            <w:pPr>
              <w:jc w:val="center"/>
            </w:pPr>
            <w:r>
              <w:rPr>
                <w:rFonts w:ascii="宋体" w:hAnsi="宋体" w:eastAsia="宋体"/>
                <w:sz w:val="16"/>
              </w:rPr>
              <w:t>30.05</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2E8F269">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3307D36B">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840767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6FC288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C27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78A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7DC83">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C80C0">
            <w:pPr>
              <w:jc w:val="center"/>
            </w:pPr>
            <w:r>
              <w:rPr>
                <w:rFonts w:ascii="宋体" w:hAnsi="宋体" w:eastAsia="宋体"/>
                <w:sz w:val="16"/>
              </w:rPr>
              <w:t>237.41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CFDFD">
            <w:pPr>
              <w:jc w:val="center"/>
            </w:pPr>
            <w:r>
              <w:rPr>
                <w:rFonts w:ascii="宋体" w:hAnsi="宋体" w:eastAsia="宋体"/>
                <w:sz w:val="16"/>
              </w:rPr>
              <w:t>154.93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F6D61">
            <w:pPr>
              <w:jc w:val="center"/>
            </w:pPr>
            <w:r>
              <w:rPr>
                <w:rFonts w:ascii="宋体" w:hAnsi="宋体" w:eastAsia="宋体"/>
                <w:sz w:val="16"/>
              </w:rPr>
              <w:t>154.93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35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CB9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F419A">
            <w:pPr>
              <w:jc w:val="center"/>
            </w:pPr>
            <w:r>
              <w:rPr>
                <w:rFonts w:ascii="宋体" w:hAnsi="宋体" w:eastAsia="宋体"/>
                <w:sz w:val="16"/>
              </w:rPr>
              <w:t>-</w:t>
            </w:r>
          </w:p>
        </w:tc>
      </w:tr>
      <w:tr w14:paraId="5D07B2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AC6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BAB2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1923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328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57E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0E9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EFB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D8B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5CA3B">
            <w:pPr>
              <w:jc w:val="center"/>
            </w:pPr>
            <w:r>
              <w:rPr>
                <w:rFonts w:ascii="宋体" w:hAnsi="宋体" w:eastAsia="宋体"/>
                <w:sz w:val="16"/>
              </w:rPr>
              <w:t>-</w:t>
            </w:r>
          </w:p>
        </w:tc>
      </w:tr>
      <w:tr w14:paraId="703465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E9B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80806">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7A2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0DD56">
            <w:pPr>
              <w:jc w:val="center"/>
            </w:pPr>
            <w:r>
              <w:rPr>
                <w:rFonts w:ascii="宋体" w:hAnsi="宋体" w:eastAsia="宋体"/>
                <w:sz w:val="16"/>
              </w:rPr>
              <w:t>237.41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26976">
            <w:pPr>
              <w:jc w:val="center"/>
            </w:pPr>
            <w:r>
              <w:rPr>
                <w:rFonts w:ascii="宋体" w:hAnsi="宋体" w:eastAsia="宋体"/>
                <w:sz w:val="16"/>
              </w:rPr>
              <w:t>184.98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65DB1">
            <w:pPr>
              <w:jc w:val="center"/>
            </w:pPr>
            <w:r>
              <w:rPr>
                <w:rFonts w:ascii="宋体" w:hAnsi="宋体" w:eastAsia="宋体"/>
                <w:sz w:val="16"/>
              </w:rPr>
              <w:t>184.98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E91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DDB2D">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3332D">
            <w:pPr>
              <w:jc w:val="center"/>
            </w:pPr>
            <w:r>
              <w:rPr>
                <w:rFonts w:ascii="宋体" w:hAnsi="宋体" w:eastAsia="宋体"/>
                <w:sz w:val="16"/>
              </w:rPr>
              <w:t>10</w:t>
            </w:r>
          </w:p>
        </w:tc>
      </w:tr>
      <w:tr w14:paraId="29A983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E774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14544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8027F1">
            <w:pPr>
              <w:jc w:val="center"/>
            </w:pPr>
            <w:r>
              <w:rPr>
                <w:rFonts w:ascii="宋体" w:hAnsi="宋体" w:eastAsia="宋体"/>
                <w:sz w:val="16"/>
              </w:rPr>
              <w:t>实际完成情况</w:t>
            </w:r>
          </w:p>
        </w:tc>
      </w:tr>
      <w:tr w14:paraId="1E2886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568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B1CFAE">
            <w:pPr>
              <w:jc w:val="both"/>
            </w:pPr>
            <w:r>
              <w:rPr>
                <w:rFonts w:ascii="宋体" w:hAnsi="宋体" w:eastAsia="宋体"/>
                <w:sz w:val="16"/>
              </w:rPr>
              <w:t xml:space="preserve">目标1：维护学校的教学秩序，为学生创造良好的学习环境；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目标2：积极稳妥地推进教育改革，按教育规律办事，不断提高教育质量；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目标3：根据学校规模，设置学校管理机构，建立健全各项规章制度和岗位责任制；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500EBA">
            <w:pPr>
              <w:jc w:val="both"/>
            </w:pPr>
            <w:r>
              <w:rPr>
                <w:rFonts w:ascii="宋体" w:hAnsi="宋体" w:eastAsia="宋体"/>
                <w:sz w:val="16"/>
              </w:rPr>
              <w:t>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3FC40D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558F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94FF4">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8DAD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20E17">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8ECE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CA81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C1265">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C06F1">
            <w:pPr>
              <w:jc w:val="center"/>
            </w:pPr>
            <w:r>
              <w:rPr>
                <w:rFonts w:ascii="宋体" w:hAnsi="宋体" w:eastAsia="宋体"/>
                <w:sz w:val="16"/>
              </w:rPr>
              <w:t>得分</w:t>
            </w:r>
          </w:p>
        </w:tc>
      </w:tr>
      <w:tr w14:paraId="3BB3B5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6687E">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7608F">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9D677">
            <w:pPr>
              <w:jc w:val="center"/>
            </w:pPr>
            <w:r>
              <w:rPr>
                <w:rFonts w:ascii="宋体" w:hAnsi="宋体" w:eastAsia="宋体"/>
                <w:sz w:val="16"/>
              </w:rPr>
              <w:t>享受资助补助政策学生数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C2160">
            <w:pPr>
              <w:jc w:val="center"/>
            </w:pPr>
            <w:r>
              <w:rPr>
                <w:rFonts w:ascii="宋体" w:hAnsi="宋体" w:eastAsia="宋体"/>
                <w:sz w:val="16"/>
              </w:rPr>
              <w:t>&lt;=87%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A4CE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0D12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65FCF">
            <w:pPr>
              <w:jc w:val="center"/>
            </w:pPr>
            <w:r>
              <w:rPr>
                <w:rFonts w:ascii="宋体" w:hAnsi="宋体" w:eastAsia="宋体"/>
                <w:sz w:val="16"/>
              </w:rPr>
              <w:t>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FD071">
            <w:pPr>
              <w:jc w:val="center"/>
            </w:pPr>
            <w:r>
              <w:rPr>
                <w:rFonts w:ascii="宋体" w:hAnsi="宋体" w:eastAsia="宋体"/>
                <w:sz w:val="16"/>
              </w:rPr>
              <w:t>24.48</w:t>
            </w:r>
          </w:p>
        </w:tc>
      </w:tr>
      <w:tr w14:paraId="796CB2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58CB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AEDD5">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8C82D">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FA840">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D98DE">
            <w:pPr>
              <w:jc w:val="center"/>
            </w:pPr>
            <w:r>
              <w:rPr>
                <w:rFonts w:ascii="宋体" w:hAnsi="宋体" w:eastAsia="宋体"/>
                <w:sz w:val="16"/>
              </w:rPr>
              <w:t>计划工资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FBC0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B81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D2CA3">
            <w:pPr>
              <w:jc w:val="center"/>
            </w:pPr>
            <w:r>
              <w:rPr>
                <w:rFonts w:ascii="宋体" w:hAnsi="宋体" w:eastAsia="宋体"/>
                <w:sz w:val="16"/>
              </w:rPr>
              <w:t>30</w:t>
            </w:r>
          </w:p>
        </w:tc>
      </w:tr>
      <w:tr w14:paraId="1DB880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2A1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88A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207A2">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BE779">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A2429">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D35F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B25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7B599">
            <w:pPr>
              <w:jc w:val="center"/>
            </w:pPr>
            <w:r>
              <w:rPr>
                <w:rFonts w:ascii="宋体" w:hAnsi="宋体" w:eastAsia="宋体"/>
                <w:sz w:val="16"/>
              </w:rPr>
              <w:t>30</w:t>
            </w:r>
          </w:p>
        </w:tc>
      </w:tr>
    </w:tbl>
    <w:p w14:paraId="46A51E5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8B4751">
        <w:tblPrEx>
          <w:tblCellMar>
            <w:top w:w="0" w:type="dxa"/>
            <w:left w:w="108" w:type="dxa"/>
            <w:bottom w:w="0" w:type="dxa"/>
            <w:right w:w="108" w:type="dxa"/>
          </w:tblCellMar>
        </w:tblPrEx>
        <w:tc>
          <w:tcPr>
            <w:tcW w:w="8847" w:type="dxa"/>
            <w:gridSpan w:val="9"/>
            <w:vAlign w:val="center"/>
          </w:tcPr>
          <w:p w14:paraId="26511E25">
            <w:pPr>
              <w:jc w:val="center"/>
            </w:pPr>
            <w:r>
              <w:rPr>
                <w:rFonts w:ascii="宋体" w:hAnsi="宋体" w:eastAsia="宋体"/>
                <w:sz w:val="24"/>
              </w:rPr>
              <w:t>项目支出绩效自评表</w:t>
            </w:r>
          </w:p>
        </w:tc>
      </w:tr>
      <w:tr w14:paraId="6709F1B8">
        <w:tblPrEx>
          <w:tblCellMar>
            <w:top w:w="0" w:type="dxa"/>
            <w:left w:w="108" w:type="dxa"/>
            <w:bottom w:w="0" w:type="dxa"/>
            <w:right w:w="108" w:type="dxa"/>
          </w:tblCellMar>
        </w:tblPrEx>
        <w:tc>
          <w:tcPr>
            <w:tcW w:w="8847" w:type="dxa"/>
            <w:gridSpan w:val="9"/>
            <w:vAlign w:val="center"/>
          </w:tcPr>
          <w:p w14:paraId="36EECB94">
            <w:pPr>
              <w:jc w:val="center"/>
            </w:pPr>
            <w:r>
              <w:rPr>
                <w:rFonts w:ascii="宋体" w:hAnsi="宋体" w:eastAsia="宋体"/>
                <w:sz w:val="24"/>
              </w:rPr>
              <w:t>(2024年度)</w:t>
            </w:r>
          </w:p>
        </w:tc>
      </w:tr>
      <w:tr w14:paraId="1420F4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FC2C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BC84F01">
            <w:pPr>
              <w:jc w:val="center"/>
            </w:pPr>
            <w:r>
              <w:rPr>
                <w:rFonts w:ascii="宋体" w:hAnsi="宋体" w:eastAsia="宋体"/>
                <w:sz w:val="16"/>
              </w:rPr>
              <w:t>2023年自治区农村学前三年免费教育保障经费 和地财教</w:t>
            </w:r>
            <w:r>
              <w:rPr>
                <w:rFonts w:hint="eastAsia" w:ascii="宋体" w:hAnsi="宋体"/>
                <w:sz w:val="16"/>
                <w:lang w:eastAsia="zh-CN"/>
              </w:rPr>
              <w:t>〔2023〕42号</w:t>
            </w:r>
            <w:r>
              <w:rPr>
                <w:rFonts w:ascii="宋体" w:hAnsi="宋体" w:eastAsia="宋体"/>
                <w:sz w:val="16"/>
              </w:rPr>
              <w:t>（伙食费）(结转)</w:t>
            </w:r>
          </w:p>
        </w:tc>
      </w:tr>
      <w:tr w14:paraId="7A23E9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4AD4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1598C3">
            <w:pPr>
              <w:jc w:val="center"/>
            </w:pPr>
            <w:r>
              <w:rPr>
                <w:rFonts w:ascii="宋体" w:hAnsi="宋体" w:eastAsia="宋体"/>
                <w:sz w:val="16"/>
              </w:rPr>
              <w:t>民丰县尼雅新村幼儿园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EB88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C588E3">
            <w:pPr>
              <w:jc w:val="center"/>
            </w:pPr>
            <w:r>
              <w:rPr>
                <w:rFonts w:ascii="宋体" w:hAnsi="宋体" w:eastAsia="宋体"/>
                <w:sz w:val="16"/>
              </w:rPr>
              <w:t>民丰县尼雅新村幼儿园</w:t>
            </w:r>
          </w:p>
        </w:tc>
      </w:tr>
      <w:tr w14:paraId="229165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AD24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38A2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F844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2DEC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0C05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E63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2715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FC1C7">
            <w:pPr>
              <w:jc w:val="center"/>
            </w:pPr>
            <w:r>
              <w:rPr>
                <w:rFonts w:ascii="宋体" w:hAnsi="宋体" w:eastAsia="宋体"/>
                <w:sz w:val="16"/>
              </w:rPr>
              <w:t>得分</w:t>
            </w:r>
          </w:p>
        </w:tc>
      </w:tr>
      <w:tr w14:paraId="3EF47A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C94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C84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EF04F">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FF747">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0349F">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55B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72BE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7A5FB">
            <w:pPr>
              <w:jc w:val="center"/>
            </w:pPr>
            <w:r>
              <w:rPr>
                <w:rFonts w:ascii="宋体" w:hAnsi="宋体" w:eastAsia="宋体"/>
                <w:sz w:val="16"/>
              </w:rPr>
              <w:t>10.00分</w:t>
            </w:r>
          </w:p>
        </w:tc>
      </w:tr>
      <w:tr w14:paraId="28B64D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9BF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778C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8CB7B">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9075C">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A77C4">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3C7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A6B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33017">
            <w:pPr>
              <w:jc w:val="center"/>
            </w:pPr>
            <w:r>
              <w:rPr>
                <w:rFonts w:ascii="宋体" w:hAnsi="宋体" w:eastAsia="宋体"/>
                <w:sz w:val="16"/>
              </w:rPr>
              <w:t>—</w:t>
            </w:r>
          </w:p>
        </w:tc>
      </w:tr>
      <w:tr w14:paraId="6D0556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C8BE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6C2B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074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D87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493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808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83A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8432C">
            <w:pPr>
              <w:jc w:val="center"/>
            </w:pPr>
            <w:r>
              <w:rPr>
                <w:rFonts w:ascii="宋体" w:hAnsi="宋体" w:eastAsia="宋体"/>
                <w:sz w:val="16"/>
              </w:rPr>
              <w:t>—</w:t>
            </w:r>
          </w:p>
        </w:tc>
      </w:tr>
      <w:tr w14:paraId="1FB9B3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EBF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DBB0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16F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CD2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A17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253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56F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14649">
            <w:pPr>
              <w:jc w:val="center"/>
            </w:pPr>
            <w:r>
              <w:rPr>
                <w:rFonts w:ascii="宋体" w:hAnsi="宋体" w:eastAsia="宋体"/>
                <w:sz w:val="16"/>
              </w:rPr>
              <w:t>—</w:t>
            </w:r>
          </w:p>
        </w:tc>
      </w:tr>
      <w:tr w14:paraId="0BB31C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C7CF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FC772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422663">
            <w:pPr>
              <w:jc w:val="center"/>
            </w:pPr>
            <w:r>
              <w:rPr>
                <w:rFonts w:ascii="宋体" w:hAnsi="宋体" w:eastAsia="宋体"/>
                <w:sz w:val="16"/>
              </w:rPr>
              <w:t>实际完成情况</w:t>
            </w:r>
          </w:p>
        </w:tc>
      </w:tr>
      <w:tr w14:paraId="7EFFF5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F6D6D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F9B3AC">
            <w:pPr>
              <w:jc w:val="both"/>
            </w:pPr>
            <w:r>
              <w:rPr>
                <w:rFonts w:ascii="宋体" w:hAnsi="宋体" w:eastAsia="宋体"/>
                <w:sz w:val="16"/>
              </w:rPr>
              <w:t>根据2023年自治区农村学前三年免费教育保障经费 和地财教</w:t>
            </w:r>
            <w:r>
              <w:rPr>
                <w:rFonts w:hint="eastAsia" w:ascii="宋体" w:hAnsi="宋体"/>
                <w:sz w:val="16"/>
                <w:lang w:eastAsia="zh-CN"/>
              </w:rPr>
              <w:t>〔2023〕42号</w:t>
            </w:r>
            <w:r>
              <w:rPr>
                <w:rFonts w:ascii="宋体" w:hAnsi="宋体" w:eastAsia="宋体"/>
                <w:sz w:val="16"/>
              </w:rPr>
              <w:t>（伙食费）文件实施本项目。项目实施内容：主要保障学校正常运行，城乡义务教育经费保障学生71人，学校教师人数8人。保障幼儿园71名学生220天的伙食补助。通过项目实施，减轻学前教育困难家庭学生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957B1B">
            <w:pPr>
              <w:jc w:val="both"/>
            </w:pPr>
            <w:r>
              <w:rPr>
                <w:rFonts w:ascii="宋体" w:hAnsi="宋体" w:eastAsia="宋体"/>
                <w:sz w:val="16"/>
              </w:rPr>
              <w:t>保障学校正常运行，城乡义务教育经费保障学生71人，学校教师人数9人。保障幼儿园71名学生220天的伙食补助。通过项目实施，减轻学前教育困难家庭学生生活费负担，促进教育资源公平均衡配置。</w:t>
            </w:r>
          </w:p>
        </w:tc>
      </w:tr>
      <w:tr w14:paraId="66BC3B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C1104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E729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5BBD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1643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F3FA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89DB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0D20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FB15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8505A">
            <w:pPr>
              <w:jc w:val="center"/>
            </w:pPr>
            <w:r>
              <w:rPr>
                <w:rFonts w:ascii="宋体" w:hAnsi="宋体" w:eastAsia="宋体"/>
                <w:sz w:val="16"/>
              </w:rPr>
              <w:t>偏差原因分析及改进措施</w:t>
            </w:r>
          </w:p>
        </w:tc>
      </w:tr>
      <w:tr w14:paraId="6816B3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B358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5889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4B5A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2CF25">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DE9DE">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F671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4BDA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6DF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2083D">
            <w:pPr>
              <w:jc w:val="center"/>
            </w:pPr>
          </w:p>
        </w:tc>
      </w:tr>
      <w:tr w14:paraId="7A9649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EF1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1D1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20B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2CAE9">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AC4E6">
            <w:pPr>
              <w:jc w:val="center"/>
            </w:pPr>
            <w:r>
              <w:rPr>
                <w:rFonts w:ascii="宋体" w:hAnsi="宋体" w:eastAsia="宋体"/>
                <w:sz w:val="16"/>
              </w:rPr>
              <w:t>&gt;=220天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F173B">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67B8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682A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4D6E4">
            <w:pPr>
              <w:jc w:val="center"/>
            </w:pPr>
          </w:p>
        </w:tc>
      </w:tr>
      <w:tr w14:paraId="26F12C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9A3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5320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FAD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026C7">
            <w:pPr>
              <w:jc w:val="center"/>
            </w:pPr>
            <w:r>
              <w:rPr>
                <w:rFonts w:ascii="宋体" w:hAnsi="宋体" w:eastAsia="宋体"/>
                <w:sz w:val="16"/>
              </w:rPr>
              <w:t>保障在园学生人数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EBE3B">
            <w:pPr>
              <w:jc w:val="center"/>
            </w:pPr>
            <w:r>
              <w:rPr>
                <w:rFonts w:ascii="宋体" w:hAnsi="宋体" w:eastAsia="宋体"/>
                <w:sz w:val="16"/>
              </w:rPr>
              <w:t>&gt;=71人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93EAA">
            <w:pPr>
              <w:jc w:val="center"/>
            </w:pPr>
            <w:r>
              <w:rPr>
                <w:rFonts w:ascii="宋体" w:hAnsi="宋体" w:eastAsia="宋体"/>
                <w:sz w:val="16"/>
              </w:rPr>
              <w:t>=71人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699C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2D39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C8EF0">
            <w:pPr>
              <w:jc w:val="center"/>
            </w:pPr>
          </w:p>
        </w:tc>
      </w:tr>
      <w:tr w14:paraId="1449FF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ED5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537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81BC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C05E3">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802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61B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FBB8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5D29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5F362">
            <w:pPr>
              <w:jc w:val="center"/>
            </w:pPr>
          </w:p>
        </w:tc>
      </w:tr>
      <w:tr w14:paraId="4049C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8D6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1AC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C311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130D1">
            <w:pPr>
              <w:jc w:val="center"/>
            </w:pPr>
            <w:r>
              <w:rPr>
                <w:rFonts w:ascii="宋体" w:hAnsi="宋体" w:eastAsia="宋体"/>
                <w:sz w:val="16"/>
              </w:rPr>
              <w:t>项目按期完成及时率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640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9FB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6C89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68E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56683">
            <w:pPr>
              <w:jc w:val="center"/>
            </w:pPr>
          </w:p>
        </w:tc>
      </w:tr>
      <w:tr w14:paraId="7236B9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474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78FD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A8C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F9368">
            <w:pPr>
              <w:jc w:val="center"/>
            </w:pPr>
            <w:r>
              <w:rPr>
                <w:rFonts w:ascii="宋体" w:hAnsi="宋体" w:eastAsia="宋体"/>
                <w:sz w:val="16"/>
              </w:rPr>
              <w:t>人均伙食费用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2846B">
            <w:pPr>
              <w:jc w:val="center"/>
            </w:pPr>
            <w:r>
              <w:rPr>
                <w:rFonts w:ascii="宋体" w:hAnsi="宋体" w:eastAsia="宋体"/>
                <w:sz w:val="16"/>
              </w:rPr>
              <w:t>&lt;=176.056元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10D80">
            <w:pPr>
              <w:jc w:val="center"/>
            </w:pPr>
            <w:r>
              <w:rPr>
                <w:rFonts w:ascii="宋体" w:hAnsi="宋体" w:eastAsia="宋体"/>
                <w:sz w:val="16"/>
              </w:rPr>
              <w:t>=145.07元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C5B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F428E">
            <w:pPr>
              <w:jc w:val="center"/>
            </w:pPr>
            <w:r>
              <w:rPr>
                <w:rFonts w:ascii="宋体" w:hAnsi="宋体" w:eastAsia="宋体"/>
                <w:sz w:val="16"/>
              </w:rPr>
              <w:t>11.2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16889">
            <w:pPr>
              <w:jc w:val="center"/>
            </w:pPr>
            <w:r>
              <w:rPr>
                <w:rFonts w:ascii="宋体" w:hAnsi="宋体" w:eastAsia="宋体"/>
                <w:sz w:val="16"/>
              </w:rPr>
              <w:t>人数按实际需求存在变动，幼儿园合并，人数减少。措施：加强年初预算精准度。</w:t>
            </w:r>
          </w:p>
        </w:tc>
      </w:tr>
      <w:tr w14:paraId="59843F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AE2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3A73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C099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82149">
            <w:pPr>
              <w:jc w:val="center"/>
            </w:pPr>
            <w:r>
              <w:rPr>
                <w:rFonts w:ascii="宋体" w:hAnsi="宋体" w:eastAsia="宋体"/>
                <w:sz w:val="16"/>
              </w:rPr>
              <w:t>有效减轻学前教育困难家庭学生生活费负担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78C4A">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8F99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8CA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4041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59296">
            <w:pPr>
              <w:jc w:val="center"/>
            </w:pPr>
          </w:p>
        </w:tc>
      </w:tr>
      <w:tr w14:paraId="5350E1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912C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1C47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129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661C3">
            <w:pPr>
              <w:jc w:val="center"/>
            </w:pPr>
            <w:r>
              <w:rPr>
                <w:rFonts w:ascii="宋体" w:hAnsi="宋体" w:eastAsia="宋体"/>
                <w:sz w:val="16"/>
              </w:rPr>
              <w:t>受益幼儿园学生满意度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5FD8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7D4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111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DB0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16812">
            <w:pPr>
              <w:jc w:val="center"/>
            </w:pPr>
          </w:p>
        </w:tc>
      </w:tr>
      <w:tr w14:paraId="2702821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E6EB7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52C02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53F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7B551">
            <w:pPr>
              <w:jc w:val="center"/>
            </w:pPr>
            <w:r>
              <w:rPr>
                <w:rFonts w:ascii="宋体" w:hAnsi="宋体" w:eastAsia="宋体"/>
                <w:sz w:val="16"/>
              </w:rPr>
              <w:t>91.2分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BD8571"/>
        </w:tc>
      </w:tr>
    </w:tbl>
    <w:p w14:paraId="745B336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316AE48">
        <w:tblPrEx>
          <w:tblCellMar>
            <w:top w:w="0" w:type="dxa"/>
            <w:left w:w="108" w:type="dxa"/>
            <w:bottom w:w="0" w:type="dxa"/>
            <w:right w:w="108" w:type="dxa"/>
          </w:tblCellMar>
        </w:tblPrEx>
        <w:tc>
          <w:tcPr>
            <w:tcW w:w="8847" w:type="dxa"/>
            <w:gridSpan w:val="9"/>
            <w:vAlign w:val="center"/>
          </w:tcPr>
          <w:p w14:paraId="5A989CAA">
            <w:pPr>
              <w:jc w:val="center"/>
            </w:pPr>
            <w:r>
              <w:rPr>
                <w:rFonts w:ascii="宋体" w:hAnsi="宋体" w:eastAsia="宋体"/>
                <w:sz w:val="24"/>
              </w:rPr>
              <w:t>项目支出绩效自评表</w:t>
            </w:r>
          </w:p>
        </w:tc>
      </w:tr>
      <w:tr w14:paraId="665BD5D8">
        <w:tblPrEx>
          <w:tblCellMar>
            <w:top w:w="0" w:type="dxa"/>
            <w:left w:w="108" w:type="dxa"/>
            <w:bottom w:w="0" w:type="dxa"/>
            <w:right w:w="108" w:type="dxa"/>
          </w:tblCellMar>
        </w:tblPrEx>
        <w:tc>
          <w:tcPr>
            <w:tcW w:w="8847" w:type="dxa"/>
            <w:gridSpan w:val="9"/>
            <w:vAlign w:val="center"/>
          </w:tcPr>
          <w:p w14:paraId="0C34A33F">
            <w:pPr>
              <w:jc w:val="center"/>
            </w:pPr>
            <w:r>
              <w:rPr>
                <w:rFonts w:ascii="宋体" w:hAnsi="宋体" w:eastAsia="宋体"/>
                <w:sz w:val="24"/>
              </w:rPr>
              <w:t>(2024年度)</w:t>
            </w:r>
          </w:p>
        </w:tc>
      </w:tr>
      <w:tr w14:paraId="6CD07E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F8CA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3449061">
            <w:pPr>
              <w:jc w:val="center"/>
            </w:pPr>
            <w:r>
              <w:rPr>
                <w:rFonts w:ascii="宋体" w:hAnsi="宋体" w:eastAsia="宋体"/>
                <w:sz w:val="16"/>
              </w:rPr>
              <w:t>县配套学前教育经费（伙食费）</w:t>
            </w:r>
          </w:p>
        </w:tc>
      </w:tr>
      <w:tr w14:paraId="70EB06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B672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29E63F">
            <w:pPr>
              <w:jc w:val="center"/>
            </w:pPr>
            <w:r>
              <w:rPr>
                <w:rFonts w:ascii="宋体" w:hAnsi="宋体" w:eastAsia="宋体"/>
                <w:sz w:val="16"/>
              </w:rPr>
              <w:t>民丰县尼雅新村幼儿园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ABE7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298FEA">
            <w:pPr>
              <w:jc w:val="center"/>
            </w:pPr>
            <w:r>
              <w:rPr>
                <w:rFonts w:ascii="宋体" w:hAnsi="宋体" w:eastAsia="宋体"/>
                <w:sz w:val="16"/>
              </w:rPr>
              <w:t>民丰县尼雅新村幼儿园</w:t>
            </w:r>
          </w:p>
        </w:tc>
      </w:tr>
      <w:tr w14:paraId="4C8C45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F981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A3C9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05A7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B27B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8D4C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96BF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EE82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34947">
            <w:pPr>
              <w:jc w:val="center"/>
            </w:pPr>
            <w:r>
              <w:rPr>
                <w:rFonts w:ascii="宋体" w:hAnsi="宋体" w:eastAsia="宋体"/>
                <w:sz w:val="16"/>
              </w:rPr>
              <w:t>得分</w:t>
            </w:r>
          </w:p>
        </w:tc>
      </w:tr>
      <w:tr w14:paraId="5E40A0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C2B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794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61FAB">
            <w:pPr>
              <w:jc w:val="center"/>
            </w:pPr>
            <w:r>
              <w:rPr>
                <w:rFonts w:ascii="宋体" w:hAnsi="宋体" w:eastAsia="宋体"/>
                <w:sz w:val="16"/>
              </w:rPr>
              <w:t>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A603">
            <w:pPr>
              <w:jc w:val="center"/>
            </w:pPr>
            <w:r>
              <w:rPr>
                <w:rFonts w:ascii="宋体" w:hAnsi="宋体" w:eastAsia="宋体"/>
                <w:sz w:val="16"/>
              </w:rPr>
              <w:t>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86793">
            <w:pPr>
              <w:jc w:val="center"/>
            </w:pPr>
            <w:r>
              <w:rPr>
                <w:rFonts w:ascii="宋体" w:hAnsi="宋体" w:eastAsia="宋体"/>
                <w:sz w:val="16"/>
              </w:rPr>
              <w:t>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2B0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5015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090B5">
            <w:pPr>
              <w:jc w:val="center"/>
            </w:pPr>
            <w:r>
              <w:rPr>
                <w:rFonts w:ascii="宋体" w:hAnsi="宋体" w:eastAsia="宋体"/>
                <w:sz w:val="16"/>
              </w:rPr>
              <w:t>10.00分</w:t>
            </w:r>
          </w:p>
        </w:tc>
      </w:tr>
      <w:tr w14:paraId="58F37F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8A7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1142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03610">
            <w:pPr>
              <w:jc w:val="center"/>
            </w:pPr>
            <w:r>
              <w:rPr>
                <w:rFonts w:ascii="宋体" w:hAnsi="宋体" w:eastAsia="宋体"/>
                <w:sz w:val="16"/>
              </w:rPr>
              <w:t>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CC83F">
            <w:pPr>
              <w:jc w:val="center"/>
            </w:pPr>
            <w:r>
              <w:rPr>
                <w:rFonts w:ascii="宋体" w:hAnsi="宋体" w:eastAsia="宋体"/>
                <w:sz w:val="16"/>
              </w:rPr>
              <w:t>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91E08">
            <w:pPr>
              <w:jc w:val="center"/>
            </w:pPr>
            <w:r>
              <w:rPr>
                <w:rFonts w:ascii="宋体" w:hAnsi="宋体" w:eastAsia="宋体"/>
                <w:sz w:val="16"/>
              </w:rPr>
              <w:t>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22E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749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83058">
            <w:pPr>
              <w:jc w:val="center"/>
            </w:pPr>
            <w:r>
              <w:rPr>
                <w:rFonts w:ascii="宋体" w:hAnsi="宋体" w:eastAsia="宋体"/>
                <w:sz w:val="16"/>
              </w:rPr>
              <w:t>—</w:t>
            </w:r>
          </w:p>
        </w:tc>
      </w:tr>
      <w:tr w14:paraId="2FF703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C790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4E0E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8C2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CEE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A06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231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9FC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DA374">
            <w:pPr>
              <w:jc w:val="center"/>
            </w:pPr>
            <w:r>
              <w:rPr>
                <w:rFonts w:ascii="宋体" w:hAnsi="宋体" w:eastAsia="宋体"/>
                <w:sz w:val="16"/>
              </w:rPr>
              <w:t>—</w:t>
            </w:r>
          </w:p>
        </w:tc>
      </w:tr>
      <w:tr w14:paraId="17C369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01D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467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621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375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6B9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9F5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BF3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21553">
            <w:pPr>
              <w:jc w:val="center"/>
            </w:pPr>
            <w:r>
              <w:rPr>
                <w:rFonts w:ascii="宋体" w:hAnsi="宋体" w:eastAsia="宋体"/>
                <w:sz w:val="16"/>
              </w:rPr>
              <w:t>—</w:t>
            </w:r>
          </w:p>
        </w:tc>
      </w:tr>
      <w:tr w14:paraId="1C50D7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1C3E5">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2A9D00">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F0CB31">
            <w:pPr>
              <w:jc w:val="center"/>
            </w:pPr>
            <w:r>
              <w:rPr>
                <w:rFonts w:ascii="宋体" w:hAnsi="宋体" w:eastAsia="宋体"/>
                <w:sz w:val="16"/>
              </w:rPr>
              <w:t>实际完成情况</w:t>
            </w:r>
          </w:p>
        </w:tc>
      </w:tr>
      <w:tr w14:paraId="75B3CD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337F3"/>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78A1F6">
            <w:pPr>
              <w:jc w:val="both"/>
            </w:pPr>
            <w:r>
              <w:rPr>
                <w:rFonts w:ascii="宋体" w:hAnsi="宋体" w:eastAsia="宋体"/>
                <w:sz w:val="16"/>
              </w:rPr>
              <w:t>根据项目实施方案实施本项目。项目实施内容：主要用于保障学前教育阶段幼儿园的正常运转，保障学生人数71名日常学习正常开展，保障</w:t>
            </w:r>
            <w:bookmarkStart w:id="0" w:name="_GoBack"/>
            <w:r>
              <w:rPr>
                <w:rFonts w:hint="eastAsia" w:ascii="宋体" w:hAnsi="宋体"/>
                <w:sz w:val="16"/>
                <w:lang w:eastAsia="zh-CN"/>
              </w:rPr>
              <w:t>学校</w:t>
            </w:r>
            <w:bookmarkEnd w:id="0"/>
            <w:r>
              <w:rPr>
                <w:rFonts w:ascii="宋体" w:hAnsi="宋体" w:eastAsia="宋体"/>
                <w:sz w:val="16"/>
              </w:rPr>
              <w:t>经营正常进行。通过项目的实施，有效保障学校正常运转，同时提供给师生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990F4C">
            <w:pPr>
              <w:jc w:val="both"/>
            </w:pPr>
            <w:r>
              <w:rPr>
                <w:rFonts w:ascii="宋体" w:hAnsi="宋体" w:eastAsia="宋体"/>
                <w:sz w:val="16"/>
              </w:rPr>
              <w:t>主要用于保障学前教育阶段幼儿园的正常运转，保障学生人数71名日常学习正常开展，保障</w:t>
            </w:r>
            <w:r>
              <w:rPr>
                <w:rFonts w:hint="eastAsia" w:ascii="宋体" w:hAnsi="宋体"/>
                <w:sz w:val="16"/>
                <w:lang w:eastAsia="zh-CN"/>
              </w:rPr>
              <w:t>学校</w:t>
            </w:r>
            <w:r>
              <w:rPr>
                <w:rFonts w:ascii="宋体" w:hAnsi="宋体" w:eastAsia="宋体"/>
                <w:sz w:val="16"/>
              </w:rPr>
              <w:t>经营正常进行。通过项目的实施，有效保障学校正常运转，同时提供给师生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r>
      <w:tr w14:paraId="512B3CB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9EA35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C078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4C6D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0F2D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A0B4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14C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9166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F740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5112A">
            <w:pPr>
              <w:jc w:val="center"/>
            </w:pPr>
            <w:r>
              <w:rPr>
                <w:rFonts w:ascii="宋体" w:hAnsi="宋体" w:eastAsia="宋体"/>
                <w:sz w:val="16"/>
              </w:rPr>
              <w:t>偏差原因分析及改进措施</w:t>
            </w:r>
          </w:p>
        </w:tc>
      </w:tr>
      <w:tr w14:paraId="74776D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9C06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C988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DD9A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A11AE">
            <w:pPr>
              <w:jc w:val="center"/>
            </w:pPr>
            <w:r>
              <w:rPr>
                <w:rFonts w:ascii="宋体" w:hAnsi="宋体" w:eastAsia="宋体"/>
                <w:sz w:val="16"/>
              </w:rPr>
              <w:t>县配套经费保障数量幼儿园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65B7D">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7C848">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823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9CB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FCC8E">
            <w:pPr>
              <w:jc w:val="center"/>
            </w:pPr>
          </w:p>
        </w:tc>
      </w:tr>
      <w:tr w14:paraId="6DF453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1A8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F09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4C9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212A8">
            <w:pPr>
              <w:jc w:val="center"/>
            </w:pPr>
            <w:r>
              <w:rPr>
                <w:rFonts w:ascii="宋体" w:hAnsi="宋体" w:eastAsia="宋体"/>
                <w:sz w:val="16"/>
              </w:rPr>
              <w:t>县配套经费补助学生人数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1095C">
            <w:pPr>
              <w:jc w:val="center"/>
            </w:pPr>
            <w:r>
              <w:rPr>
                <w:rFonts w:ascii="宋体" w:hAnsi="宋体" w:eastAsia="宋体"/>
                <w:sz w:val="16"/>
              </w:rPr>
              <w:t>&gt;=71人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2E46E">
            <w:pPr>
              <w:jc w:val="center"/>
            </w:pPr>
            <w:r>
              <w:rPr>
                <w:rFonts w:ascii="宋体" w:hAnsi="宋体" w:eastAsia="宋体"/>
                <w:sz w:val="16"/>
              </w:rPr>
              <w:t>=71人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6DC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5E0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84826">
            <w:pPr>
              <w:jc w:val="center"/>
            </w:pPr>
          </w:p>
        </w:tc>
      </w:tr>
      <w:tr w14:paraId="563C56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9F5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C2C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0845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B736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6DB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F4E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407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DCF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AFF2F">
            <w:pPr>
              <w:jc w:val="center"/>
            </w:pPr>
          </w:p>
        </w:tc>
      </w:tr>
      <w:tr w14:paraId="6027E3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E9F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7D1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BD1B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E51A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65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008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E55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371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2EC1C">
            <w:pPr>
              <w:jc w:val="center"/>
            </w:pPr>
          </w:p>
        </w:tc>
      </w:tr>
      <w:tr w14:paraId="729E5D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A24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C796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0B2E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2D9CE">
            <w:pPr>
              <w:jc w:val="center"/>
            </w:pPr>
            <w:r>
              <w:rPr>
                <w:rFonts w:ascii="宋体" w:hAnsi="宋体" w:eastAsia="宋体"/>
                <w:sz w:val="16"/>
              </w:rPr>
              <w:t>县配套经费补助标准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A3121">
            <w:pPr>
              <w:jc w:val="center"/>
            </w:pPr>
            <w:r>
              <w:rPr>
                <w:rFonts w:ascii="宋体" w:hAnsi="宋体" w:eastAsia="宋体"/>
                <w:sz w:val="16"/>
              </w:rPr>
              <w:t>&lt;=516元/人/年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6A270">
            <w:pPr>
              <w:jc w:val="center"/>
            </w:pPr>
            <w:r>
              <w:rPr>
                <w:rFonts w:ascii="宋体" w:hAnsi="宋体" w:eastAsia="宋体"/>
                <w:sz w:val="16"/>
              </w:rPr>
              <w:t>=516元/人/年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D623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FFC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A9FBB">
            <w:pPr>
              <w:jc w:val="center"/>
            </w:pPr>
          </w:p>
        </w:tc>
      </w:tr>
      <w:tr w14:paraId="617EDC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C0A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8BD6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06AD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86084">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8775">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3296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78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C82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2F805">
            <w:pPr>
              <w:jc w:val="center"/>
            </w:pPr>
          </w:p>
        </w:tc>
      </w:tr>
      <w:tr w14:paraId="7C7E95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E384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5049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EA85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43B12">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656D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535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9BD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705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742DA">
            <w:pPr>
              <w:jc w:val="center"/>
            </w:pPr>
          </w:p>
        </w:tc>
      </w:tr>
      <w:tr w14:paraId="766F39E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63239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E01A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A39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3F99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7E8C75"/>
        </w:tc>
      </w:tr>
    </w:tbl>
    <w:p w14:paraId="0940D569">
      <w:r>
        <w:br w:type="page"/>
      </w:r>
    </w:p>
    <w:p w14:paraId="4664FA46">
      <w:pPr>
        <w:spacing w:line="640" w:lineRule="exact"/>
        <w:ind w:firstLine="640"/>
        <w:jc w:val="both"/>
        <w:outlineLvl w:val="2"/>
      </w:pPr>
      <w:r>
        <w:rPr>
          <w:rFonts w:ascii="黑体" w:hAnsi="黑体" w:eastAsia="黑体"/>
          <w:sz w:val="32"/>
        </w:rPr>
        <w:t>十二、其他需说明的事项</w:t>
      </w:r>
    </w:p>
    <w:p w14:paraId="2F2652D5">
      <w:pPr>
        <w:spacing w:line="580" w:lineRule="exact"/>
        <w:ind w:firstLine="640"/>
        <w:jc w:val="both"/>
      </w:pPr>
      <w:r>
        <w:rPr>
          <w:rFonts w:ascii="仿宋_GB2312" w:hAnsi="仿宋_GB2312" w:eastAsia="仿宋_GB2312"/>
          <w:b w:val="0"/>
          <w:sz w:val="32"/>
        </w:rPr>
        <w:t>本单位无其他需说明的事项。</w:t>
      </w:r>
    </w:p>
    <w:p w14:paraId="6498E36F">
      <w:r>
        <w:br w:type="page"/>
      </w:r>
    </w:p>
    <w:p w14:paraId="5B40437A">
      <w:pPr>
        <w:spacing w:line="240" w:lineRule="auto"/>
        <w:jc w:val="center"/>
        <w:outlineLvl w:val="1"/>
      </w:pPr>
      <w:r>
        <w:rPr>
          <w:rFonts w:ascii="黑体" w:hAnsi="黑体" w:eastAsia="黑体"/>
          <w:sz w:val="32"/>
        </w:rPr>
        <w:t>第三部分 专业名词解释</w:t>
      </w:r>
    </w:p>
    <w:p w14:paraId="70DD5B8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9AFA3C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56ED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6E90D2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7AD4C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6A2167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8F550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DE39F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E471C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92321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B53D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0175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293D5C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F3DD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D09B73">
      <w:r>
        <w:br w:type="page"/>
      </w:r>
    </w:p>
    <w:p w14:paraId="535C0344">
      <w:pPr>
        <w:spacing w:line="240" w:lineRule="auto"/>
        <w:jc w:val="center"/>
        <w:outlineLvl w:val="1"/>
      </w:pPr>
      <w:r>
        <w:rPr>
          <w:rFonts w:ascii="黑体" w:hAnsi="黑体" w:eastAsia="黑体"/>
          <w:sz w:val="32"/>
        </w:rPr>
        <w:t>第四部分 部门决算报表（见附表）</w:t>
      </w:r>
    </w:p>
    <w:p w14:paraId="02B1F03F">
      <w:pPr>
        <w:spacing w:line="240" w:lineRule="auto"/>
        <w:ind w:firstLine="640"/>
        <w:jc w:val="both"/>
      </w:pPr>
      <w:r>
        <w:rPr>
          <w:rFonts w:ascii="仿宋_GB2312" w:hAnsi="仿宋_GB2312" w:eastAsia="仿宋_GB2312"/>
          <w:b w:val="0"/>
          <w:sz w:val="32"/>
        </w:rPr>
        <w:t>一、《收入支出决算总表》</w:t>
      </w:r>
    </w:p>
    <w:p w14:paraId="5A3707C1">
      <w:pPr>
        <w:spacing w:line="240" w:lineRule="auto"/>
        <w:ind w:firstLine="640"/>
        <w:jc w:val="both"/>
      </w:pPr>
      <w:r>
        <w:rPr>
          <w:rFonts w:ascii="仿宋_GB2312" w:hAnsi="仿宋_GB2312" w:eastAsia="仿宋_GB2312"/>
          <w:b w:val="0"/>
          <w:sz w:val="32"/>
        </w:rPr>
        <w:t>二、《收入决算表》</w:t>
      </w:r>
    </w:p>
    <w:p w14:paraId="37D27B97">
      <w:pPr>
        <w:spacing w:line="240" w:lineRule="auto"/>
        <w:ind w:firstLine="640"/>
        <w:jc w:val="both"/>
      </w:pPr>
      <w:r>
        <w:rPr>
          <w:rFonts w:ascii="仿宋_GB2312" w:hAnsi="仿宋_GB2312" w:eastAsia="仿宋_GB2312"/>
          <w:b w:val="0"/>
          <w:sz w:val="32"/>
        </w:rPr>
        <w:t>三、《支出决算表》</w:t>
      </w:r>
    </w:p>
    <w:p w14:paraId="4FFC0196">
      <w:pPr>
        <w:spacing w:line="240" w:lineRule="auto"/>
        <w:ind w:firstLine="640"/>
        <w:jc w:val="both"/>
      </w:pPr>
      <w:r>
        <w:rPr>
          <w:rFonts w:ascii="仿宋_GB2312" w:hAnsi="仿宋_GB2312" w:eastAsia="仿宋_GB2312"/>
          <w:b w:val="0"/>
          <w:sz w:val="32"/>
        </w:rPr>
        <w:t>四、《财政拨款收入支出决算总表》</w:t>
      </w:r>
    </w:p>
    <w:p w14:paraId="1800C293">
      <w:pPr>
        <w:spacing w:line="240" w:lineRule="auto"/>
        <w:ind w:firstLine="640"/>
        <w:jc w:val="both"/>
      </w:pPr>
      <w:r>
        <w:rPr>
          <w:rFonts w:ascii="仿宋_GB2312" w:hAnsi="仿宋_GB2312" w:eastAsia="仿宋_GB2312"/>
          <w:b w:val="0"/>
          <w:sz w:val="32"/>
        </w:rPr>
        <w:t>五、《一般公共预算财政拨款支出决算表》</w:t>
      </w:r>
    </w:p>
    <w:p w14:paraId="674FAF11">
      <w:pPr>
        <w:spacing w:line="240" w:lineRule="auto"/>
        <w:ind w:firstLine="640"/>
        <w:jc w:val="both"/>
      </w:pPr>
      <w:r>
        <w:rPr>
          <w:rFonts w:ascii="仿宋_GB2312" w:hAnsi="仿宋_GB2312" w:eastAsia="仿宋_GB2312"/>
          <w:b w:val="0"/>
          <w:sz w:val="32"/>
        </w:rPr>
        <w:t>六、《一般公共预算财政拨款基本支出决算表》</w:t>
      </w:r>
    </w:p>
    <w:p w14:paraId="07C4F987">
      <w:pPr>
        <w:spacing w:line="240" w:lineRule="auto"/>
        <w:ind w:firstLine="640"/>
        <w:jc w:val="both"/>
      </w:pPr>
      <w:r>
        <w:rPr>
          <w:rFonts w:ascii="仿宋_GB2312" w:hAnsi="仿宋_GB2312" w:eastAsia="仿宋_GB2312"/>
          <w:b w:val="0"/>
          <w:sz w:val="32"/>
        </w:rPr>
        <w:t>七、《政府性基金预算财政拨款收入支出决算表》</w:t>
      </w:r>
    </w:p>
    <w:p w14:paraId="60E7D42B">
      <w:pPr>
        <w:spacing w:line="240" w:lineRule="auto"/>
        <w:ind w:firstLine="640"/>
        <w:jc w:val="both"/>
      </w:pPr>
      <w:r>
        <w:rPr>
          <w:rFonts w:ascii="仿宋_GB2312" w:hAnsi="仿宋_GB2312" w:eastAsia="仿宋_GB2312"/>
          <w:b w:val="0"/>
          <w:sz w:val="32"/>
        </w:rPr>
        <w:t>八、《国有资本经营预算财政拨款收入支出决算表》</w:t>
      </w:r>
    </w:p>
    <w:p w14:paraId="2CD156E7">
      <w:pPr>
        <w:spacing w:line="240" w:lineRule="auto"/>
        <w:ind w:firstLine="640"/>
        <w:jc w:val="both"/>
      </w:pPr>
      <w:r>
        <w:rPr>
          <w:rFonts w:ascii="仿宋_GB2312" w:hAnsi="仿宋_GB2312" w:eastAsia="仿宋_GB2312"/>
          <w:b w:val="0"/>
          <w:sz w:val="32"/>
        </w:rPr>
        <w:t>九、《财政拨款“三公”经费支出决算表》</w:t>
      </w:r>
    </w:p>
    <w:p w14:paraId="173FC60B">
      <w:pPr>
        <w:spacing w:line="240" w:lineRule="auto"/>
        <w:ind w:firstLine="640"/>
        <w:jc w:val="both"/>
      </w:pPr>
    </w:p>
    <w:p w14:paraId="0E18AC7B">
      <w:pPr>
        <w:spacing w:line="240" w:lineRule="auto"/>
        <w:ind w:firstLine="640"/>
        <w:jc w:val="both"/>
      </w:pPr>
    </w:p>
    <w:p w14:paraId="6DEAAF08">
      <w:pPr>
        <w:spacing w:line="240" w:lineRule="auto"/>
        <w:ind w:firstLine="640"/>
        <w:jc w:val="both"/>
      </w:pPr>
    </w:p>
    <w:p w14:paraId="19FE0B50">
      <w:pPr>
        <w:spacing w:line="240" w:lineRule="auto"/>
        <w:ind w:firstLine="640"/>
        <w:jc w:val="both"/>
      </w:pPr>
    </w:p>
    <w:p w14:paraId="51D198D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DA0169"/>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5400</Words>
  <Characters>6151</Characters>
  <Lines>0</Lines>
  <Paragraphs>0</Paragraphs>
  <TotalTime>1</TotalTime>
  <ScaleCrop>false</ScaleCrop>
  <LinksUpToDate>false</LinksUpToDate>
  <CharactersWithSpaces>6299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2025-09-24T11:48:16Z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