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民丰县尼雅乡人民政府2024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428726">
      <w:r>
        <w:br w:type="page"/>
      </w:r>
    </w:p>
    <w:p w14:paraId="1744418A">
      <w:pPr>
        <w:spacing w:line="640" w:lineRule="exact"/>
        <w:jc w:val="center"/>
        <w:outlineLvl w:val="1"/>
      </w:pPr>
      <w:r>
        <w:rPr>
          <w:rFonts w:ascii="黑体" w:hAnsi="黑体" w:eastAsia="黑体"/>
          <w:sz w:val="32"/>
        </w:rPr>
        <w:t>第一部分 单位概况</w:t>
      </w:r>
    </w:p>
    <w:p w14:paraId="0FD0CE51">
      <w:pPr>
        <w:spacing w:line="640" w:lineRule="exact"/>
        <w:ind w:firstLine="640"/>
        <w:jc w:val="both"/>
        <w:outlineLvl w:val="2"/>
      </w:pPr>
      <w:r>
        <w:rPr>
          <w:rFonts w:ascii="黑体" w:hAnsi="黑体" w:eastAsia="黑体"/>
          <w:sz w:val="32"/>
        </w:rPr>
        <w:t>一、主要职能</w:t>
      </w:r>
    </w:p>
    <w:p w14:paraId="784EC9E4">
      <w:pPr>
        <w:spacing w:line="580" w:lineRule="exact"/>
        <w:ind w:firstLine="640"/>
        <w:jc w:val="both"/>
        <w:rPr>
          <w:rFonts w:hint="eastAsia" w:eastAsia="仿宋_GB2312"/>
          <w:lang w:eastAsia="zh-CN"/>
        </w:rPr>
      </w:pPr>
      <w:r>
        <w:rPr>
          <w:rFonts w:ascii="仿宋_GB2312" w:hAnsi="仿宋_GB2312" w:eastAsia="仿宋_GB2312"/>
          <w:sz w:val="32"/>
        </w:rPr>
        <w:t>乡党委</w:t>
      </w:r>
      <w:r>
        <w:rPr>
          <w:rFonts w:hint="eastAsia" w:ascii="仿宋_GB2312" w:hAnsi="仿宋_GB2312" w:eastAsia="仿宋_GB2312"/>
          <w:sz w:val="32"/>
          <w:lang w:eastAsia="zh-CN"/>
        </w:rPr>
        <w:t>：</w:t>
      </w:r>
    </w:p>
    <w:p w14:paraId="01E4D4B1">
      <w:pPr>
        <w:spacing w:line="580" w:lineRule="exact"/>
        <w:ind w:firstLine="640"/>
        <w:jc w:val="both"/>
      </w:pPr>
      <w:r>
        <w:rPr>
          <w:rFonts w:ascii="仿宋_GB2312" w:hAnsi="仿宋_GB2312" w:eastAsia="仿宋_GB2312"/>
          <w:sz w:val="32"/>
        </w:rPr>
        <w:t>(1)保证党的路线、方针、政策的坚决贯彻执行。领导和监督同级人大、政府落实上级安排的各项工作任务。教育和管理全乡各族干部群众</w:t>
      </w:r>
      <w:r>
        <w:rPr>
          <w:rFonts w:hint="eastAsia" w:ascii="仿宋_GB2312" w:hAnsi="仿宋_GB2312" w:eastAsia="仿宋_GB2312"/>
          <w:sz w:val="32"/>
          <w:lang w:eastAsia="zh-CN"/>
        </w:rPr>
        <w:t>，</w:t>
      </w:r>
      <w:r>
        <w:rPr>
          <w:rFonts w:ascii="仿宋_GB2312" w:hAnsi="仿宋_GB2312" w:eastAsia="仿宋_GB2312"/>
          <w:sz w:val="32"/>
        </w:rPr>
        <w:t>抓好经济建设</w:t>
      </w:r>
      <w:r>
        <w:rPr>
          <w:rFonts w:hint="eastAsia" w:ascii="仿宋_GB2312" w:hAnsi="仿宋_GB2312" w:eastAsia="仿宋_GB2312"/>
          <w:sz w:val="32"/>
          <w:lang w:eastAsia="zh-CN"/>
        </w:rPr>
        <w:t>，</w:t>
      </w:r>
      <w:r>
        <w:rPr>
          <w:rFonts w:ascii="仿宋_GB2312" w:hAnsi="仿宋_GB2312" w:eastAsia="仿宋_GB2312"/>
          <w:sz w:val="32"/>
        </w:rPr>
        <w:t>维护社会稳定。</w:t>
      </w:r>
    </w:p>
    <w:p w14:paraId="3DD82345">
      <w:pPr>
        <w:spacing w:line="580" w:lineRule="exact"/>
        <w:ind w:firstLine="640"/>
        <w:jc w:val="both"/>
      </w:pPr>
      <w:r>
        <w:rPr>
          <w:rFonts w:ascii="仿宋_GB2312" w:hAnsi="仿宋_GB2312" w:eastAsia="仿宋_GB2312"/>
          <w:sz w:val="32"/>
        </w:rPr>
        <w:t>(2)负责抓好本乡党建工作、群团工作、新闻宣传工作。抓好精神文明建设</w:t>
      </w:r>
      <w:r>
        <w:rPr>
          <w:rFonts w:hint="eastAsia" w:ascii="仿宋_GB2312" w:hAnsi="仿宋_GB2312" w:eastAsia="仿宋_GB2312"/>
          <w:sz w:val="32"/>
          <w:lang w:eastAsia="zh-CN"/>
        </w:rPr>
        <w:t>，</w:t>
      </w:r>
      <w:r>
        <w:rPr>
          <w:rFonts w:ascii="仿宋_GB2312" w:hAnsi="仿宋_GB2312" w:eastAsia="仿宋_GB2312"/>
          <w:sz w:val="32"/>
        </w:rPr>
        <w:t>丰富群众文化生活</w:t>
      </w:r>
      <w:r>
        <w:rPr>
          <w:rFonts w:hint="eastAsia" w:ascii="仿宋_GB2312" w:hAnsi="仿宋_GB2312" w:eastAsia="仿宋_GB2312"/>
          <w:sz w:val="32"/>
          <w:lang w:eastAsia="zh-CN"/>
        </w:rPr>
        <w:t>，</w:t>
      </w:r>
      <w:r>
        <w:rPr>
          <w:rFonts w:ascii="仿宋_GB2312" w:hAnsi="仿宋_GB2312" w:eastAsia="仿宋_GB2312"/>
          <w:sz w:val="32"/>
        </w:rPr>
        <w:t>提倡移风易俗</w:t>
      </w:r>
      <w:r>
        <w:rPr>
          <w:rFonts w:hint="eastAsia" w:ascii="仿宋_GB2312" w:hAnsi="仿宋_GB2312" w:eastAsia="仿宋_GB2312"/>
          <w:sz w:val="32"/>
          <w:lang w:eastAsia="zh-CN"/>
        </w:rPr>
        <w:t>，</w:t>
      </w:r>
      <w:r>
        <w:rPr>
          <w:rFonts w:ascii="仿宋_GB2312" w:hAnsi="仿宋_GB2312" w:eastAsia="仿宋_GB2312"/>
          <w:sz w:val="32"/>
        </w:rPr>
        <w:t>反对封建迷信</w:t>
      </w:r>
      <w:r>
        <w:rPr>
          <w:rFonts w:hint="eastAsia" w:ascii="仿宋_GB2312" w:hAnsi="仿宋_GB2312" w:eastAsia="仿宋_GB2312"/>
          <w:sz w:val="32"/>
          <w:lang w:eastAsia="zh-CN"/>
        </w:rPr>
        <w:t>，</w:t>
      </w:r>
      <w:r>
        <w:rPr>
          <w:rFonts w:ascii="仿宋_GB2312" w:hAnsi="仿宋_GB2312" w:eastAsia="仿宋_GB2312"/>
          <w:sz w:val="32"/>
        </w:rPr>
        <w:t>破除陈规陋习</w:t>
      </w:r>
      <w:r>
        <w:rPr>
          <w:rFonts w:hint="eastAsia" w:ascii="仿宋_GB2312" w:hAnsi="仿宋_GB2312" w:eastAsia="仿宋_GB2312"/>
          <w:sz w:val="32"/>
          <w:lang w:eastAsia="zh-CN"/>
        </w:rPr>
        <w:t>，</w:t>
      </w:r>
      <w:r>
        <w:rPr>
          <w:rFonts w:ascii="仿宋_GB2312" w:hAnsi="仿宋_GB2312" w:eastAsia="仿宋_GB2312"/>
          <w:sz w:val="32"/>
        </w:rPr>
        <w:t>树立社会主义新风尚。</w:t>
      </w:r>
    </w:p>
    <w:p w14:paraId="3B03BB92">
      <w:pPr>
        <w:spacing w:line="580" w:lineRule="exact"/>
        <w:ind w:firstLine="640"/>
        <w:jc w:val="both"/>
      </w:pPr>
      <w:r>
        <w:rPr>
          <w:rFonts w:ascii="仿宋_GB2312" w:hAnsi="仿宋_GB2312" w:eastAsia="仿宋_GB2312"/>
          <w:sz w:val="32"/>
        </w:rPr>
        <w:t>(3)完成县委、县政府交给的其他工作任务。</w:t>
      </w:r>
    </w:p>
    <w:p w14:paraId="2A0A01D9">
      <w:pPr>
        <w:spacing w:line="580" w:lineRule="exact"/>
        <w:ind w:firstLine="640"/>
        <w:jc w:val="both"/>
        <w:rPr>
          <w:rFonts w:hint="eastAsia" w:eastAsia="仿宋_GB2312"/>
          <w:lang w:eastAsia="zh-CN"/>
        </w:rPr>
      </w:pPr>
      <w:r>
        <w:rPr>
          <w:rFonts w:ascii="仿宋_GB2312" w:hAnsi="仿宋_GB2312" w:eastAsia="仿宋_GB2312"/>
          <w:sz w:val="32"/>
        </w:rPr>
        <w:t>乡政府</w:t>
      </w:r>
      <w:r>
        <w:rPr>
          <w:rFonts w:hint="eastAsia" w:ascii="仿宋_GB2312" w:hAnsi="仿宋_GB2312" w:eastAsia="仿宋_GB2312"/>
          <w:sz w:val="32"/>
          <w:lang w:eastAsia="zh-CN"/>
        </w:rPr>
        <w:t>：</w:t>
      </w:r>
    </w:p>
    <w:p w14:paraId="6DEB4AFF">
      <w:pPr>
        <w:spacing w:line="580" w:lineRule="exact"/>
        <w:ind w:firstLine="640"/>
        <w:jc w:val="both"/>
      </w:pPr>
      <w:r>
        <w:rPr>
          <w:rFonts w:ascii="仿宋_GB2312" w:hAnsi="仿宋_GB2312" w:eastAsia="仿宋_GB2312"/>
          <w:sz w:val="32"/>
        </w:rPr>
        <w:t>(1)执行本级党委和人民代表大会的决议及上级国家行政机关的决定和命令</w:t>
      </w:r>
      <w:r>
        <w:rPr>
          <w:rFonts w:hint="eastAsia" w:ascii="仿宋_GB2312" w:hAnsi="仿宋_GB2312" w:eastAsia="仿宋_GB2312"/>
          <w:sz w:val="32"/>
          <w:lang w:eastAsia="zh-CN"/>
        </w:rPr>
        <w:t>，</w:t>
      </w:r>
      <w:r>
        <w:rPr>
          <w:rFonts w:ascii="仿宋_GB2312" w:hAnsi="仿宋_GB2312" w:eastAsia="仿宋_GB2312"/>
          <w:sz w:val="32"/>
        </w:rPr>
        <w:t>发布决定和命令。</w:t>
      </w:r>
    </w:p>
    <w:p w14:paraId="57609CE4">
      <w:pPr>
        <w:spacing w:line="580" w:lineRule="exact"/>
        <w:ind w:firstLine="640"/>
        <w:jc w:val="both"/>
      </w:pPr>
      <w:r>
        <w:rPr>
          <w:rFonts w:ascii="仿宋_GB2312" w:hAnsi="仿宋_GB2312" w:eastAsia="仿宋_GB2312"/>
          <w:sz w:val="32"/>
        </w:rPr>
        <w:t>(2)执行本行政区域内的经济和社会发展计划、预算</w:t>
      </w:r>
      <w:r>
        <w:rPr>
          <w:rFonts w:hint="eastAsia" w:ascii="仿宋_GB2312" w:hAnsi="仿宋_GB2312" w:eastAsia="仿宋_GB2312"/>
          <w:sz w:val="32"/>
          <w:lang w:eastAsia="zh-CN"/>
        </w:rPr>
        <w:t>，</w:t>
      </w:r>
      <w:r>
        <w:rPr>
          <w:rFonts w:ascii="仿宋_GB2312" w:hAnsi="仿宋_GB2312" w:eastAsia="仿宋_GB2312"/>
          <w:sz w:val="32"/>
        </w:rPr>
        <w:t>管理本行政区域内的经济、教育、科学、文化、卫生、体育事业和财政、民政、公安、司法行政等行政工作；调解和处理民事纠纷</w:t>
      </w:r>
      <w:r>
        <w:rPr>
          <w:rFonts w:hint="eastAsia" w:ascii="仿宋_GB2312" w:hAnsi="仿宋_GB2312" w:eastAsia="仿宋_GB2312"/>
          <w:sz w:val="32"/>
          <w:lang w:eastAsia="zh-CN"/>
        </w:rPr>
        <w:t>，</w:t>
      </w:r>
      <w:r>
        <w:rPr>
          <w:rFonts w:ascii="仿宋_GB2312" w:hAnsi="仿宋_GB2312" w:eastAsia="仿宋_GB2312"/>
          <w:sz w:val="32"/>
        </w:rPr>
        <w:t>打击刑事犯罪维护社会稳定。</w:t>
      </w:r>
    </w:p>
    <w:p w14:paraId="02C385EE">
      <w:pPr>
        <w:spacing w:line="580" w:lineRule="exact"/>
        <w:ind w:firstLine="640"/>
        <w:jc w:val="both"/>
      </w:pPr>
      <w:r>
        <w:rPr>
          <w:rFonts w:ascii="仿宋_GB2312" w:hAnsi="仿宋_GB2312" w:eastAsia="仿宋_GB2312"/>
          <w:sz w:val="32"/>
        </w:rPr>
        <w:t>(3)制定和组织实施村镇建设规划</w:t>
      </w:r>
      <w:r>
        <w:rPr>
          <w:rFonts w:hint="eastAsia" w:ascii="仿宋_GB2312" w:hAnsi="仿宋_GB2312" w:eastAsia="仿宋_GB2312"/>
          <w:sz w:val="32"/>
          <w:lang w:eastAsia="zh-CN"/>
        </w:rPr>
        <w:t>，</w:t>
      </w:r>
      <w:r>
        <w:rPr>
          <w:rFonts w:ascii="仿宋_GB2312" w:hAnsi="仿宋_GB2312" w:eastAsia="仿宋_GB2312"/>
          <w:sz w:val="32"/>
        </w:rPr>
        <w:t>经济、科技和社会发展计划</w:t>
      </w:r>
      <w:r>
        <w:rPr>
          <w:rFonts w:hint="eastAsia" w:ascii="仿宋_GB2312" w:hAnsi="仿宋_GB2312" w:eastAsia="仿宋_GB2312"/>
          <w:sz w:val="32"/>
          <w:lang w:eastAsia="zh-CN"/>
        </w:rPr>
        <w:t>，</w:t>
      </w:r>
      <w:r>
        <w:rPr>
          <w:rFonts w:ascii="仿宋_GB2312" w:hAnsi="仿宋_GB2312" w:eastAsia="仿宋_GB2312"/>
          <w:sz w:val="32"/>
        </w:rPr>
        <w:t>制定产业结构调整方案</w:t>
      </w:r>
      <w:r>
        <w:rPr>
          <w:rFonts w:hint="eastAsia" w:ascii="仿宋_GB2312" w:hAnsi="仿宋_GB2312" w:eastAsia="仿宋_GB2312"/>
          <w:sz w:val="32"/>
          <w:lang w:eastAsia="zh-CN"/>
        </w:rPr>
        <w:t>，</w:t>
      </w:r>
      <w:r>
        <w:rPr>
          <w:rFonts w:ascii="仿宋_GB2312" w:hAnsi="仿宋_GB2312" w:eastAsia="仿宋_GB2312"/>
          <w:sz w:val="32"/>
        </w:rPr>
        <w:t>组织指导好各企业生产</w:t>
      </w:r>
      <w:r>
        <w:rPr>
          <w:rFonts w:hint="eastAsia" w:ascii="仿宋_GB2312" w:hAnsi="仿宋_GB2312" w:eastAsia="仿宋_GB2312"/>
          <w:sz w:val="32"/>
          <w:lang w:eastAsia="zh-CN"/>
        </w:rPr>
        <w:t>，</w:t>
      </w:r>
      <w:r>
        <w:rPr>
          <w:rFonts w:ascii="仿宋_GB2312" w:hAnsi="仿宋_GB2312" w:eastAsia="仿宋_GB2312"/>
          <w:sz w:val="32"/>
        </w:rPr>
        <w:t>搞好商品流通</w:t>
      </w:r>
      <w:r>
        <w:rPr>
          <w:rFonts w:hint="eastAsia" w:ascii="仿宋_GB2312" w:hAnsi="仿宋_GB2312" w:eastAsia="仿宋_GB2312"/>
          <w:sz w:val="32"/>
          <w:lang w:eastAsia="zh-CN"/>
        </w:rPr>
        <w:t>，</w:t>
      </w:r>
      <w:r>
        <w:rPr>
          <w:rFonts w:ascii="仿宋_GB2312" w:hAnsi="仿宋_GB2312" w:eastAsia="仿宋_GB2312"/>
          <w:sz w:val="32"/>
        </w:rPr>
        <w:t>协调好本乡与外地区的经济交流与合作</w:t>
      </w:r>
      <w:r>
        <w:rPr>
          <w:rFonts w:hint="eastAsia" w:ascii="仿宋_GB2312" w:hAnsi="仿宋_GB2312" w:eastAsia="仿宋_GB2312"/>
          <w:sz w:val="32"/>
          <w:lang w:eastAsia="zh-CN"/>
        </w:rPr>
        <w:t>，</w:t>
      </w:r>
      <w:r>
        <w:rPr>
          <w:rFonts w:ascii="仿宋_GB2312" w:hAnsi="仿宋_GB2312" w:eastAsia="仿宋_GB2312"/>
          <w:sz w:val="32"/>
        </w:rPr>
        <w:t>抓好招商引资</w:t>
      </w:r>
      <w:r>
        <w:rPr>
          <w:rFonts w:hint="eastAsia" w:ascii="仿宋_GB2312" w:hAnsi="仿宋_GB2312" w:eastAsia="仿宋_GB2312"/>
          <w:sz w:val="32"/>
          <w:lang w:eastAsia="zh-CN"/>
        </w:rPr>
        <w:t>，</w:t>
      </w:r>
      <w:r>
        <w:rPr>
          <w:rFonts w:ascii="仿宋_GB2312" w:hAnsi="仿宋_GB2312" w:eastAsia="仿宋_GB2312"/>
          <w:sz w:val="32"/>
        </w:rPr>
        <w:t>人才引进项目开发</w:t>
      </w:r>
      <w:r>
        <w:rPr>
          <w:rFonts w:hint="eastAsia" w:ascii="仿宋_GB2312" w:hAnsi="仿宋_GB2312" w:eastAsia="仿宋_GB2312"/>
          <w:sz w:val="32"/>
          <w:lang w:eastAsia="zh-CN"/>
        </w:rPr>
        <w:t>，</w:t>
      </w:r>
      <w:r>
        <w:rPr>
          <w:rFonts w:ascii="仿宋_GB2312" w:hAnsi="仿宋_GB2312" w:eastAsia="仿宋_GB2312"/>
          <w:sz w:val="32"/>
        </w:rPr>
        <w:t>不断培育市场体系</w:t>
      </w:r>
      <w:r>
        <w:rPr>
          <w:rFonts w:hint="eastAsia" w:ascii="仿宋_GB2312" w:hAnsi="仿宋_GB2312" w:eastAsia="仿宋_GB2312"/>
          <w:sz w:val="32"/>
          <w:lang w:eastAsia="zh-CN"/>
        </w:rPr>
        <w:t>，</w:t>
      </w:r>
      <w:r>
        <w:rPr>
          <w:rFonts w:ascii="仿宋_GB2312" w:hAnsi="仿宋_GB2312" w:eastAsia="仿宋_GB2312"/>
          <w:sz w:val="32"/>
        </w:rPr>
        <w:t>组织经济运行</w:t>
      </w:r>
      <w:r>
        <w:rPr>
          <w:rFonts w:hint="eastAsia" w:ascii="仿宋_GB2312" w:hAnsi="仿宋_GB2312" w:eastAsia="仿宋_GB2312"/>
          <w:sz w:val="32"/>
          <w:lang w:eastAsia="zh-CN"/>
        </w:rPr>
        <w:t>，</w:t>
      </w:r>
      <w:r>
        <w:rPr>
          <w:rFonts w:ascii="仿宋_GB2312" w:hAnsi="仿宋_GB2312" w:eastAsia="仿宋_GB2312"/>
          <w:sz w:val="32"/>
        </w:rPr>
        <w:t>促进经济发展。</w:t>
      </w:r>
    </w:p>
    <w:p w14:paraId="727C85FD">
      <w:pPr>
        <w:spacing w:line="580" w:lineRule="exact"/>
        <w:ind w:firstLine="640"/>
        <w:jc w:val="both"/>
      </w:pPr>
      <w:r>
        <w:rPr>
          <w:rFonts w:ascii="仿宋_GB2312" w:hAnsi="仿宋_GB2312" w:eastAsia="仿宋_GB2312"/>
          <w:sz w:val="32"/>
        </w:rPr>
        <w:t>(4)办理上级人民政府交办的其他事项。</w:t>
      </w:r>
    </w:p>
    <w:p w14:paraId="71B5CEA7">
      <w:pPr>
        <w:spacing w:line="640" w:lineRule="exact"/>
        <w:ind w:firstLine="640"/>
        <w:jc w:val="both"/>
        <w:outlineLvl w:val="2"/>
      </w:pPr>
      <w:r>
        <w:rPr>
          <w:rFonts w:ascii="黑体" w:hAnsi="黑体" w:eastAsia="黑体"/>
          <w:sz w:val="32"/>
        </w:rPr>
        <w:t>二、机构设置及人员情况</w:t>
      </w:r>
    </w:p>
    <w:p w14:paraId="38F45ECC">
      <w:pPr>
        <w:spacing w:line="580" w:lineRule="exact"/>
        <w:ind w:firstLine="640"/>
        <w:jc w:val="both"/>
      </w:pPr>
      <w:r>
        <w:rPr>
          <w:rFonts w:ascii="仿宋_GB2312" w:hAnsi="仿宋_GB2312" w:eastAsia="仿宋_GB2312"/>
          <w:sz w:val="32"/>
        </w:rPr>
        <w:t>民丰县尼雅乡人民政府2024年度，实有人数166人，其中：在职人员121人，增加1人；离休人员0人，增加0人；退休人员45人</w:t>
      </w:r>
      <w:r>
        <w:rPr>
          <w:rFonts w:hint="eastAsia" w:ascii="仿宋_GB2312" w:hAnsi="仿宋_GB2312" w:eastAsia="仿宋_GB2312"/>
          <w:sz w:val="32"/>
          <w:lang w:eastAsia="zh-CN"/>
        </w:rPr>
        <w:t>，</w:t>
      </w:r>
      <w:r>
        <w:rPr>
          <w:rFonts w:ascii="仿宋_GB2312" w:hAnsi="仿宋_GB2312" w:eastAsia="仿宋_GB2312"/>
          <w:sz w:val="32"/>
        </w:rPr>
        <w:t>减少1人。</w:t>
      </w:r>
    </w:p>
    <w:p w14:paraId="4B757458">
      <w:pPr>
        <w:spacing w:line="580" w:lineRule="exact"/>
        <w:ind w:firstLine="640"/>
        <w:jc w:val="both"/>
      </w:pPr>
      <w:r>
        <w:rPr>
          <w:rFonts w:ascii="仿宋_GB2312" w:hAnsi="仿宋_GB2312" w:eastAsia="仿宋_GB2312"/>
          <w:sz w:val="32"/>
        </w:rPr>
        <w:t>民丰县尼雅乡人民政府无下属预算单位，下设10个科室，分别是：党政综合办公室、党建工作办公室、经济发展和财政办公室、社会事务办公室、综合执法办公室、农业发展服务中心、便民服务中心、村镇建设发展中心、公共文化服务中心、综治和网格化服务中心。</w:t>
      </w:r>
    </w:p>
    <w:p w14:paraId="0C11F126">
      <w:r>
        <w:br w:type="page"/>
      </w:r>
    </w:p>
    <w:p w14:paraId="3C057D56">
      <w:pPr>
        <w:spacing w:line="240" w:lineRule="auto"/>
        <w:jc w:val="center"/>
        <w:outlineLvl w:val="1"/>
      </w:pPr>
      <w:r>
        <w:rPr>
          <w:rFonts w:ascii="黑体" w:hAnsi="黑体" w:eastAsia="黑体"/>
          <w:sz w:val="32"/>
        </w:rPr>
        <w:t>第二部分 部门决算情况说明</w:t>
      </w:r>
    </w:p>
    <w:p w14:paraId="3E6744F2">
      <w:pPr>
        <w:spacing w:line="640" w:lineRule="exact"/>
        <w:ind w:firstLine="640"/>
        <w:jc w:val="both"/>
        <w:outlineLvl w:val="2"/>
      </w:pPr>
      <w:r>
        <w:rPr>
          <w:rFonts w:ascii="黑体" w:hAnsi="黑体" w:eastAsia="黑体"/>
          <w:sz w:val="32"/>
        </w:rPr>
        <w:t>一、收入支出决算总体情况说明</w:t>
      </w:r>
    </w:p>
    <w:p w14:paraId="14403255">
      <w:pPr>
        <w:spacing w:line="580" w:lineRule="exact"/>
        <w:ind w:firstLine="640"/>
        <w:jc w:val="both"/>
      </w:pPr>
      <w:r>
        <w:rPr>
          <w:rFonts w:ascii="仿宋_GB2312" w:hAnsi="仿宋_GB2312" w:eastAsia="仿宋_GB2312"/>
          <w:b/>
          <w:sz w:val="32"/>
        </w:rPr>
        <w:t>2024年度收入总计4,554.36万元，</w:t>
      </w:r>
      <w:r>
        <w:rPr>
          <w:rFonts w:ascii="仿宋_GB2312" w:hAnsi="仿宋_GB2312" w:eastAsia="仿宋_GB2312"/>
          <w:b w:val="0"/>
          <w:sz w:val="32"/>
        </w:rPr>
        <w:t>其中：本年收入合计4,519.43万元，使用非财政拨款结余（含专用结余）0.00万元，年初结转和结余34.93万元。</w:t>
      </w:r>
    </w:p>
    <w:p w14:paraId="4AA399C2">
      <w:pPr>
        <w:spacing w:line="580" w:lineRule="exact"/>
        <w:ind w:firstLine="640"/>
        <w:jc w:val="both"/>
      </w:pPr>
      <w:r>
        <w:rPr>
          <w:rFonts w:ascii="仿宋_GB2312" w:hAnsi="仿宋_GB2312" w:eastAsia="仿宋_GB2312"/>
          <w:b/>
          <w:sz w:val="32"/>
        </w:rPr>
        <w:t>2024年度支出总计4,554.36万元，</w:t>
      </w:r>
      <w:r>
        <w:rPr>
          <w:rFonts w:ascii="仿宋_GB2312" w:hAnsi="仿宋_GB2312" w:eastAsia="仿宋_GB2312"/>
          <w:b w:val="0"/>
          <w:sz w:val="32"/>
        </w:rPr>
        <w:t>其中：本年支出合计4,550.05万元，结余分配0.00万元，年末结转和结余4.31万元。</w:t>
      </w:r>
    </w:p>
    <w:p w14:paraId="0E493109">
      <w:pPr>
        <w:spacing w:line="580" w:lineRule="exact"/>
        <w:ind w:firstLine="640"/>
        <w:jc w:val="both"/>
      </w:pPr>
      <w:r>
        <w:rPr>
          <w:rFonts w:ascii="仿宋_GB2312" w:hAnsi="仿宋_GB2312" w:eastAsia="仿宋_GB2312"/>
          <w:b w:val="0"/>
          <w:sz w:val="32"/>
        </w:rPr>
        <w:t>收入支出总体与上年相比，减少2,355.08万元，下降34.08%，主要原因是：本年减少民丰县尼雅乡光明村庭院改造项目（一期）</w:t>
      </w:r>
      <w:r>
        <w:rPr>
          <w:rFonts w:hint="eastAsia" w:ascii="仿宋_GB2312" w:hAnsi="仿宋_GB2312" w:eastAsia="仿宋_GB2312"/>
          <w:b w:val="0"/>
          <w:sz w:val="32"/>
          <w:lang w:eastAsia="zh-CN"/>
        </w:rPr>
        <w:t>，</w:t>
      </w:r>
      <w:r>
        <w:rPr>
          <w:rFonts w:ascii="仿宋_GB2312" w:hAnsi="仿宋_GB2312" w:eastAsia="仿宋_GB2312"/>
          <w:b w:val="0"/>
          <w:sz w:val="32"/>
        </w:rPr>
        <w:t>光明村示范村建设项目</w:t>
      </w:r>
      <w:r>
        <w:rPr>
          <w:rFonts w:hint="eastAsia" w:ascii="仿宋_GB2312" w:hAnsi="仿宋_GB2312" w:eastAsia="仿宋_GB2312"/>
          <w:b w:val="0"/>
          <w:sz w:val="32"/>
          <w:lang w:val="en-US" w:eastAsia="zh-CN"/>
        </w:rPr>
        <w:t>经费。</w:t>
      </w:r>
      <w:r>
        <w:rPr>
          <w:rFonts w:ascii="仿宋_GB2312" w:hAnsi="仿宋_GB2312" w:eastAsia="仿宋_GB2312"/>
          <w:b w:val="0"/>
          <w:sz w:val="32"/>
        </w:rPr>
        <w:t>本年减少民丰县尼雅乡幸福村示范村建设项目（产业设施配套）、尼雅乡幸福村示范村建设项目（基础设施）、尼雅乡幸福村乡村振兴示范村建设项目（产业设施配套）、尼雅乡幸福村乡村振兴示范村建设项目（基础设施）、民丰县尼雅乡农村污水处理项目（二期）和田地区第六批地方政府一般债券等项目。</w:t>
      </w:r>
    </w:p>
    <w:p w14:paraId="5373B108">
      <w:pPr>
        <w:spacing w:line="640" w:lineRule="exact"/>
        <w:ind w:firstLine="640"/>
        <w:jc w:val="both"/>
        <w:outlineLvl w:val="2"/>
      </w:pPr>
      <w:r>
        <w:rPr>
          <w:rFonts w:ascii="黑体" w:hAnsi="黑体" w:eastAsia="黑体"/>
          <w:sz w:val="32"/>
        </w:rPr>
        <w:t>二、收入决算情况说明</w:t>
      </w:r>
    </w:p>
    <w:p w14:paraId="25E913AD">
      <w:pPr>
        <w:spacing w:line="580" w:lineRule="exact"/>
        <w:ind w:firstLine="640"/>
        <w:jc w:val="both"/>
      </w:pPr>
      <w:r>
        <w:rPr>
          <w:rFonts w:ascii="仿宋_GB2312" w:hAnsi="仿宋_GB2312" w:eastAsia="仿宋_GB2312"/>
          <w:b/>
          <w:sz w:val="32"/>
        </w:rPr>
        <w:t>本年收入4,519.43万元，</w:t>
      </w:r>
      <w:r>
        <w:rPr>
          <w:rFonts w:ascii="仿宋_GB2312" w:hAnsi="仿宋_GB2312" w:eastAsia="仿宋_GB2312"/>
          <w:b w:val="0"/>
          <w:sz w:val="32"/>
        </w:rPr>
        <w:t>其中：财政拨款收入3,930.03万元，占86.96%；上级补助收入0.00万元，占0.00%；事业收入0.00万元，占0.00%；经营收入0.00万元，占0.00%；附属单位上缴收入0.00万元，占0.00%；其他收入589.40万元，占13.04%。</w:t>
      </w:r>
    </w:p>
    <w:p w14:paraId="4ED9D2C6">
      <w:pPr>
        <w:spacing w:line="640" w:lineRule="exact"/>
        <w:ind w:firstLine="640"/>
        <w:jc w:val="both"/>
        <w:outlineLvl w:val="2"/>
      </w:pPr>
      <w:r>
        <w:rPr>
          <w:rFonts w:ascii="黑体" w:hAnsi="黑体" w:eastAsia="黑体"/>
          <w:sz w:val="32"/>
        </w:rPr>
        <w:t>三、支出决算情况说明</w:t>
      </w:r>
    </w:p>
    <w:p w14:paraId="5C76D5B2">
      <w:pPr>
        <w:spacing w:line="580" w:lineRule="exact"/>
        <w:ind w:firstLine="640"/>
        <w:jc w:val="both"/>
      </w:pPr>
      <w:r>
        <w:rPr>
          <w:rFonts w:ascii="仿宋_GB2312" w:hAnsi="仿宋_GB2312" w:eastAsia="仿宋_GB2312"/>
          <w:b/>
          <w:sz w:val="32"/>
        </w:rPr>
        <w:t>本年支出4,550.05万元，</w:t>
      </w:r>
      <w:r>
        <w:rPr>
          <w:rFonts w:ascii="仿宋_GB2312" w:hAnsi="仿宋_GB2312" w:eastAsia="仿宋_GB2312"/>
          <w:b w:val="0"/>
          <w:sz w:val="32"/>
        </w:rPr>
        <w:t>其中：基本支出3,044.13万元，占66.90%；项目支出1,505.92万元，占33.10%；上缴上级支出0.00万元，占0.00%；经营支出0.00万元，占0.00%；对附属单位补助支出0.00万元，占0.00%。</w:t>
      </w:r>
    </w:p>
    <w:p w14:paraId="21245E94">
      <w:pPr>
        <w:spacing w:line="640" w:lineRule="exact"/>
        <w:ind w:firstLine="640"/>
        <w:jc w:val="both"/>
        <w:outlineLvl w:val="2"/>
      </w:pPr>
      <w:r>
        <w:rPr>
          <w:rFonts w:ascii="黑体" w:hAnsi="黑体" w:eastAsia="黑体"/>
          <w:sz w:val="32"/>
        </w:rPr>
        <w:t>四、财政拨款收入支出决算总体情况说明</w:t>
      </w:r>
    </w:p>
    <w:p w14:paraId="3FA7F945">
      <w:pPr>
        <w:spacing w:line="580" w:lineRule="exact"/>
        <w:ind w:firstLine="640"/>
        <w:jc w:val="both"/>
      </w:pPr>
      <w:r>
        <w:rPr>
          <w:rFonts w:ascii="仿宋_GB2312" w:hAnsi="仿宋_GB2312" w:eastAsia="仿宋_GB2312"/>
          <w:b/>
          <w:sz w:val="32"/>
        </w:rPr>
        <w:t>2024年度财政拨款收入总计3,930.03万元，</w:t>
      </w:r>
      <w:r>
        <w:rPr>
          <w:rFonts w:ascii="仿宋_GB2312" w:hAnsi="仿宋_GB2312" w:eastAsia="仿宋_GB2312"/>
          <w:b w:val="0"/>
          <w:sz w:val="32"/>
        </w:rPr>
        <w:t>其中：年初财政拨款结转和结余0.00万元，本年财政拨款收入3,930.03万元。</w:t>
      </w:r>
      <w:r>
        <w:rPr>
          <w:rFonts w:ascii="仿宋_GB2312" w:hAnsi="仿宋_GB2312" w:eastAsia="仿宋_GB2312"/>
          <w:b/>
          <w:sz w:val="32"/>
        </w:rPr>
        <w:t>财政拨款支出总计3,930.03万元，</w:t>
      </w:r>
      <w:r>
        <w:rPr>
          <w:rFonts w:ascii="仿宋_GB2312" w:hAnsi="仿宋_GB2312" w:eastAsia="仿宋_GB2312"/>
          <w:b w:val="0"/>
          <w:sz w:val="32"/>
        </w:rPr>
        <w:t>其中：年末财政拨款结转和结余0.00万元，本年财政拨款支出3,930.03万元。</w:t>
      </w:r>
    </w:p>
    <w:p w14:paraId="256F57C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减少2,365.11万元，下降37.57%，主要原因是：本年减少民丰县尼雅乡光明村庭院改造项目（一期）</w:t>
      </w:r>
      <w:r>
        <w:rPr>
          <w:rFonts w:hint="eastAsia" w:ascii="仿宋_GB2312" w:hAnsi="仿宋_GB2312" w:eastAsia="仿宋_GB2312"/>
          <w:b w:val="0"/>
          <w:sz w:val="32"/>
          <w:lang w:eastAsia="zh-CN"/>
        </w:rPr>
        <w:t>，</w:t>
      </w:r>
      <w:r>
        <w:rPr>
          <w:rFonts w:ascii="仿宋_GB2312" w:hAnsi="仿宋_GB2312" w:eastAsia="仿宋_GB2312"/>
          <w:b w:val="0"/>
          <w:sz w:val="32"/>
        </w:rPr>
        <w:t>光明村示范村建设项目</w:t>
      </w:r>
      <w:r>
        <w:rPr>
          <w:rFonts w:hint="eastAsia" w:ascii="仿宋_GB2312" w:hAnsi="仿宋_GB2312" w:eastAsia="仿宋_GB2312"/>
          <w:b w:val="0"/>
          <w:sz w:val="32"/>
          <w:lang w:val="en-US" w:eastAsia="zh-CN"/>
        </w:rPr>
        <w:t>经费。</w:t>
      </w:r>
      <w:r>
        <w:rPr>
          <w:rFonts w:ascii="仿宋_GB2312" w:hAnsi="仿宋_GB2312" w:eastAsia="仿宋_GB2312"/>
          <w:b w:val="0"/>
          <w:sz w:val="32"/>
        </w:rPr>
        <w:t>本年减少民丰县尼雅乡幸福村示范村建设项目（产业设施配套）、尼雅乡幸福村示范村建设项目（基础设施）、尼雅乡幸福村乡村振兴示范村建设项目（产业设施配套）、尼雅乡幸福村乡村振兴示范村建设项目（基础设施）、民丰县尼雅乡农村污水处理项目（二期）和田地区第六批地方政府一般债券等项目。</w:t>
      </w:r>
      <w:r>
        <w:rPr>
          <w:rFonts w:ascii="仿宋_GB2312" w:hAnsi="仿宋_GB2312" w:eastAsia="仿宋_GB2312"/>
          <w:b/>
          <w:sz w:val="32"/>
        </w:rPr>
        <w:t>与年初预算相比，</w:t>
      </w:r>
      <w:r>
        <w:rPr>
          <w:rFonts w:ascii="仿宋_GB2312" w:hAnsi="仿宋_GB2312" w:eastAsia="仿宋_GB2312"/>
          <w:b w:val="0"/>
          <w:sz w:val="32"/>
        </w:rPr>
        <w:t>年初预算数2,969.63万元，决算数3,930.03万元，预决算差异率32.34%，主要原因是：年中追加民丰县种植业产业帮扶精准到户项目、民丰县畜牧业产业帮扶精准到户项目等。</w:t>
      </w:r>
    </w:p>
    <w:p w14:paraId="5FAEEA7E">
      <w:pPr>
        <w:spacing w:line="640" w:lineRule="exact"/>
        <w:ind w:firstLine="640"/>
        <w:jc w:val="both"/>
        <w:outlineLvl w:val="2"/>
      </w:pPr>
      <w:r>
        <w:rPr>
          <w:rFonts w:ascii="黑体" w:hAnsi="黑体" w:eastAsia="黑体"/>
          <w:sz w:val="32"/>
        </w:rPr>
        <w:t>五、一般公共预算财政拨款支出决算情况说明</w:t>
      </w:r>
    </w:p>
    <w:p w14:paraId="35EDEBE2">
      <w:pPr>
        <w:spacing w:line="640" w:lineRule="exact"/>
        <w:ind w:firstLine="640"/>
        <w:jc w:val="both"/>
        <w:outlineLvl w:val="3"/>
      </w:pPr>
      <w:r>
        <w:rPr>
          <w:rFonts w:ascii="楷体_GB2312" w:hAnsi="楷体_GB2312" w:eastAsia="楷体_GB2312"/>
          <w:b/>
          <w:sz w:val="32"/>
        </w:rPr>
        <w:t>（一）一般公共预算财政拨款支出决算总体情况</w:t>
      </w:r>
    </w:p>
    <w:p w14:paraId="4A970E7C">
      <w:pPr>
        <w:spacing w:line="580" w:lineRule="exact"/>
        <w:ind w:firstLine="640"/>
        <w:jc w:val="both"/>
      </w:pPr>
      <w:r>
        <w:rPr>
          <w:rFonts w:ascii="仿宋_GB2312" w:hAnsi="仿宋_GB2312" w:eastAsia="仿宋_GB2312"/>
          <w:b/>
          <w:sz w:val="32"/>
        </w:rPr>
        <w:t>2024年度一般公共预算财政拨款支出3,930.03万元，</w:t>
      </w:r>
      <w:r>
        <w:rPr>
          <w:rFonts w:ascii="仿宋_GB2312" w:hAnsi="仿宋_GB2312" w:eastAsia="仿宋_GB2312"/>
          <w:b w:val="0"/>
          <w:sz w:val="32"/>
        </w:rPr>
        <w:t>占本年支出合计的86.37%。</w:t>
      </w:r>
      <w:r>
        <w:rPr>
          <w:rFonts w:ascii="仿宋_GB2312" w:hAnsi="仿宋_GB2312" w:eastAsia="仿宋_GB2312"/>
          <w:b/>
          <w:sz w:val="32"/>
        </w:rPr>
        <w:t>与上年相比，</w:t>
      </w:r>
      <w:r>
        <w:rPr>
          <w:rFonts w:ascii="仿宋_GB2312" w:hAnsi="仿宋_GB2312" w:eastAsia="仿宋_GB2312"/>
          <w:b w:val="0"/>
          <w:sz w:val="32"/>
        </w:rPr>
        <w:t>减少2,204.32万元，下降35.93%，主要原因是：本年减少民丰县尼雅乡幸福村示范村建设项目（产业设施配套）、尼雅乡幸福村示范村建设项目（基础设施）、尼雅乡幸福村乡村振兴示范村建设项目（产业设施配套）、尼雅乡幸福村乡村振兴示范村建设项目（基础设施）、民丰县尼雅乡农村污水处理项目（二期）和田地区第六批地方政府一般债券等项目。</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年初预算数2,959.63万元，决算数3,930.03万元，预决算差异率32.79%，主要原因是：年中追加民丰县种植业产业帮扶精准到户项目、民丰县畜牧业产业帮扶精准到户项目等。</w:t>
      </w:r>
    </w:p>
    <w:p w14:paraId="4D3721FD">
      <w:pPr>
        <w:spacing w:line="640" w:lineRule="exact"/>
        <w:ind w:firstLine="640"/>
        <w:jc w:val="both"/>
        <w:outlineLvl w:val="3"/>
      </w:pPr>
      <w:r>
        <w:rPr>
          <w:rFonts w:ascii="楷体_GB2312" w:hAnsi="楷体_GB2312" w:eastAsia="楷体_GB2312"/>
          <w:b/>
          <w:sz w:val="32"/>
        </w:rPr>
        <w:t>（二）一般公共预算财政拨款支出决算结构情况</w:t>
      </w:r>
    </w:p>
    <w:p w14:paraId="25939AC2">
      <w:pPr>
        <w:spacing w:line="580" w:lineRule="exact"/>
        <w:ind w:firstLine="640"/>
        <w:jc w:val="both"/>
      </w:pPr>
      <w:r>
        <w:rPr>
          <w:rFonts w:ascii="仿宋_GB2312" w:hAnsi="仿宋_GB2312" w:eastAsia="仿宋_GB2312"/>
          <w:b w:val="0"/>
          <w:sz w:val="32"/>
        </w:rPr>
        <w:t>1.一般公共服务支出(类)1,806.87万元</w:t>
      </w:r>
      <w:r>
        <w:rPr>
          <w:rFonts w:hint="eastAsia" w:ascii="仿宋_GB2312" w:hAnsi="仿宋_GB2312" w:eastAsia="仿宋_GB2312"/>
          <w:b w:val="0"/>
          <w:sz w:val="32"/>
          <w:lang w:eastAsia="zh-CN"/>
        </w:rPr>
        <w:t>，</w:t>
      </w:r>
      <w:r>
        <w:rPr>
          <w:rFonts w:ascii="仿宋_GB2312" w:hAnsi="仿宋_GB2312" w:eastAsia="仿宋_GB2312"/>
          <w:b w:val="0"/>
          <w:sz w:val="32"/>
        </w:rPr>
        <w:t>占45.98%。</w:t>
      </w:r>
    </w:p>
    <w:p w14:paraId="6AE80E30">
      <w:pPr>
        <w:spacing w:line="580" w:lineRule="exact"/>
        <w:ind w:firstLine="640"/>
        <w:jc w:val="both"/>
      </w:pPr>
      <w:r>
        <w:rPr>
          <w:rFonts w:ascii="仿宋_GB2312" w:hAnsi="仿宋_GB2312" w:eastAsia="仿宋_GB2312"/>
          <w:b w:val="0"/>
          <w:sz w:val="32"/>
        </w:rPr>
        <w:t>2.社会保障和就业支出(类)313.44万元</w:t>
      </w:r>
      <w:r>
        <w:rPr>
          <w:rFonts w:hint="eastAsia" w:ascii="仿宋_GB2312" w:hAnsi="仿宋_GB2312" w:eastAsia="仿宋_GB2312"/>
          <w:b w:val="0"/>
          <w:sz w:val="32"/>
          <w:lang w:eastAsia="zh-CN"/>
        </w:rPr>
        <w:t>，</w:t>
      </w:r>
      <w:r>
        <w:rPr>
          <w:rFonts w:ascii="仿宋_GB2312" w:hAnsi="仿宋_GB2312" w:eastAsia="仿宋_GB2312"/>
          <w:b w:val="0"/>
          <w:sz w:val="32"/>
        </w:rPr>
        <w:t>占7.98%。</w:t>
      </w:r>
    </w:p>
    <w:p w14:paraId="70F5B1FF">
      <w:pPr>
        <w:spacing w:line="580" w:lineRule="exact"/>
        <w:ind w:firstLine="640"/>
        <w:jc w:val="both"/>
      </w:pPr>
      <w:r>
        <w:rPr>
          <w:rFonts w:ascii="仿宋_GB2312" w:hAnsi="仿宋_GB2312" w:eastAsia="仿宋_GB2312"/>
          <w:b w:val="0"/>
          <w:sz w:val="32"/>
        </w:rPr>
        <w:t>3.卫生健康支出(类)133.94万元</w:t>
      </w:r>
      <w:r>
        <w:rPr>
          <w:rFonts w:hint="eastAsia" w:ascii="仿宋_GB2312" w:hAnsi="仿宋_GB2312" w:eastAsia="仿宋_GB2312"/>
          <w:b w:val="0"/>
          <w:sz w:val="32"/>
          <w:lang w:eastAsia="zh-CN"/>
        </w:rPr>
        <w:t>，</w:t>
      </w:r>
      <w:r>
        <w:rPr>
          <w:rFonts w:ascii="仿宋_GB2312" w:hAnsi="仿宋_GB2312" w:eastAsia="仿宋_GB2312"/>
          <w:b w:val="0"/>
          <w:sz w:val="32"/>
        </w:rPr>
        <w:t>占3.41%。</w:t>
      </w:r>
    </w:p>
    <w:p w14:paraId="3BCB1866">
      <w:pPr>
        <w:spacing w:line="580" w:lineRule="exact"/>
        <w:ind w:firstLine="640"/>
        <w:jc w:val="both"/>
      </w:pPr>
      <w:r>
        <w:rPr>
          <w:rFonts w:ascii="仿宋_GB2312" w:hAnsi="仿宋_GB2312" w:eastAsia="仿宋_GB2312"/>
          <w:b w:val="0"/>
          <w:sz w:val="32"/>
        </w:rPr>
        <w:t>4.农林水支出(类)1,505.92万元</w:t>
      </w:r>
      <w:r>
        <w:rPr>
          <w:rFonts w:hint="eastAsia" w:ascii="仿宋_GB2312" w:hAnsi="仿宋_GB2312" w:eastAsia="仿宋_GB2312"/>
          <w:b w:val="0"/>
          <w:sz w:val="32"/>
          <w:lang w:eastAsia="zh-CN"/>
        </w:rPr>
        <w:t>，</w:t>
      </w:r>
      <w:r>
        <w:rPr>
          <w:rFonts w:ascii="仿宋_GB2312" w:hAnsi="仿宋_GB2312" w:eastAsia="仿宋_GB2312"/>
          <w:b w:val="0"/>
          <w:sz w:val="32"/>
        </w:rPr>
        <w:t>占38.32%。</w:t>
      </w:r>
    </w:p>
    <w:p w14:paraId="51831442">
      <w:pPr>
        <w:spacing w:line="580" w:lineRule="exact"/>
        <w:ind w:firstLine="640"/>
        <w:jc w:val="both"/>
      </w:pPr>
      <w:r>
        <w:rPr>
          <w:rFonts w:ascii="仿宋_GB2312" w:hAnsi="仿宋_GB2312" w:eastAsia="仿宋_GB2312"/>
          <w:b w:val="0"/>
          <w:sz w:val="32"/>
        </w:rPr>
        <w:t>5.住房保障支出(类)169.86万元</w:t>
      </w:r>
      <w:r>
        <w:rPr>
          <w:rFonts w:hint="eastAsia" w:ascii="仿宋_GB2312" w:hAnsi="仿宋_GB2312" w:eastAsia="仿宋_GB2312"/>
          <w:b w:val="0"/>
          <w:sz w:val="32"/>
          <w:lang w:eastAsia="zh-CN"/>
        </w:rPr>
        <w:t>，</w:t>
      </w:r>
      <w:r>
        <w:rPr>
          <w:rFonts w:ascii="仿宋_GB2312" w:hAnsi="仿宋_GB2312" w:eastAsia="仿宋_GB2312"/>
          <w:b w:val="0"/>
          <w:sz w:val="32"/>
        </w:rPr>
        <w:t>占4.32%。</w:t>
      </w:r>
    </w:p>
    <w:p w14:paraId="48D1EBF5">
      <w:pPr>
        <w:spacing w:line="640" w:lineRule="exact"/>
        <w:ind w:firstLine="640"/>
        <w:jc w:val="both"/>
        <w:outlineLvl w:val="3"/>
      </w:pPr>
      <w:r>
        <w:rPr>
          <w:rFonts w:ascii="楷体_GB2312" w:hAnsi="楷体_GB2312" w:eastAsia="楷体_GB2312"/>
          <w:b/>
          <w:sz w:val="32"/>
        </w:rPr>
        <w:t>（三）一般公共预算财政拨款支出决算具体情况</w:t>
      </w:r>
    </w:p>
    <w:p w14:paraId="0061E107">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支出决算数为1,806.87万元，比上年决算减少342.41万元，下降15.93%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w:t>
      </w:r>
      <w:r>
        <w:rPr>
          <w:rFonts w:hint="eastAsia" w:ascii="仿宋_GB2312" w:hAnsi="仿宋_GB2312" w:eastAsia="仿宋_GB2312"/>
          <w:b w:val="0"/>
          <w:sz w:val="32"/>
          <w:lang w:val="en-US" w:eastAsia="zh-CN"/>
        </w:rPr>
        <w:t>公务员医疗补助、</w:t>
      </w:r>
      <w:r>
        <w:rPr>
          <w:rFonts w:ascii="仿宋_GB2312" w:hAnsi="仿宋_GB2312" w:eastAsia="仿宋_GB2312"/>
          <w:b w:val="0"/>
          <w:sz w:val="32"/>
        </w:rPr>
        <w:t>基本医疗</w:t>
      </w:r>
      <w:r>
        <w:rPr>
          <w:rFonts w:hint="eastAsia" w:ascii="仿宋_GB2312" w:hAnsi="仿宋_GB2312" w:eastAsia="仿宋_GB2312"/>
          <w:b w:val="0"/>
          <w:sz w:val="32"/>
          <w:lang w:val="en-US" w:eastAsia="zh-CN"/>
        </w:rPr>
        <w:t>支出</w:t>
      </w:r>
      <w:r>
        <w:rPr>
          <w:rFonts w:ascii="仿宋_GB2312" w:hAnsi="仿宋_GB2312" w:eastAsia="仿宋_GB2312"/>
          <w:b w:val="0"/>
          <w:sz w:val="32"/>
        </w:rPr>
        <w:t>上年度在主科目列支，本年单独列支，导致经费较上年减少。</w:t>
      </w:r>
    </w:p>
    <w:p w14:paraId="5ABBC057">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支出决算数为38.74万元，比上年决算增加38.74万元，增长100.00%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主要原因是：本年功能科目调整，行政单位离退休上年度在主科目列支，本年单独列支，导致经费较上年增加。</w:t>
      </w:r>
    </w:p>
    <w:p w14:paraId="38E0137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支出决算数为222.10万元，比上年决算增加13.73万元，增长6.59%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EAF9CBC">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支出决算数为52.59万元，比上年决算减少21.52万元，下降29.04%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主要原因是：本年辞职调出人员较上年减少，职业年金缴费较上年减少。</w:t>
      </w:r>
    </w:p>
    <w:p w14:paraId="1F3056D9">
      <w:pPr>
        <w:spacing w:line="580" w:lineRule="exact"/>
        <w:ind w:firstLine="640"/>
        <w:jc w:val="both"/>
      </w:pPr>
      <w:r>
        <w:rPr>
          <w:rFonts w:ascii="仿宋_GB2312" w:hAnsi="仿宋_GB2312" w:eastAsia="仿宋_GB2312"/>
          <w:b w:val="0"/>
          <w:sz w:val="32"/>
        </w:rPr>
        <w:t>5.社会保障和就业支出(类)临时救助(款)临时救助支出(项)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主要原因是：本年度困难群众救助资金减少。</w:t>
      </w:r>
    </w:p>
    <w:p w14:paraId="08CEE289">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支出决算数为90.60万元，比上年决算增加90.60万元，增长100.00%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主要原因是：本年功能科目调整，行政单位医疗上年度在主科目列支，本年单独列支，导致经费较上年增加。</w:t>
      </w:r>
    </w:p>
    <w:p w14:paraId="36E5B319">
      <w:pPr>
        <w:spacing w:line="580" w:lineRule="exact"/>
        <w:ind w:firstLine="640"/>
        <w:jc w:val="both"/>
      </w:pPr>
      <w:r>
        <w:rPr>
          <w:rFonts w:ascii="仿宋_GB2312" w:hAnsi="仿宋_GB2312" w:eastAsia="仿宋_GB2312"/>
          <w:b w:val="0"/>
          <w:sz w:val="32"/>
        </w:rPr>
        <w:t>7.卫生健康支出(类)行政事业单位医疗(款)公务员医疗补助(项)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支出决算数为36.84万元，比上年决算增加36.84万元，增长100.00%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主要原因是：本年功能科目调整，公务员医疗补助上年度在主科目列支，本年单独列支，导致经费较上年增加。</w:t>
      </w:r>
    </w:p>
    <w:p w14:paraId="213E2E5B">
      <w:pPr>
        <w:spacing w:line="580" w:lineRule="exact"/>
        <w:ind w:firstLine="640"/>
        <w:jc w:val="both"/>
      </w:pPr>
      <w:r>
        <w:rPr>
          <w:rFonts w:ascii="仿宋_GB2312" w:hAnsi="仿宋_GB2312" w:eastAsia="仿宋_GB2312"/>
          <w:b w:val="0"/>
          <w:sz w:val="32"/>
        </w:rPr>
        <w:t>8.卫生健康支出(类)行政事业单位医疗(款)其他行政事业单位医疗支出(项)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支出决算数为6.50万元，比上年决算增加6.50万元，增长100.00%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主要原因是：本年功能科目调整，职工大额医疗、失业保险、工伤保险等缴费支出上年度在主科目列支，本年单独列支，导致经费较上年增加。</w:t>
      </w:r>
    </w:p>
    <w:p w14:paraId="1E079CE4">
      <w:pPr>
        <w:spacing w:line="580" w:lineRule="exact"/>
        <w:ind w:firstLine="640"/>
        <w:jc w:val="both"/>
      </w:pPr>
      <w:r>
        <w:rPr>
          <w:rFonts w:ascii="仿宋_GB2312" w:hAnsi="仿宋_GB2312" w:eastAsia="仿宋_GB2312"/>
          <w:b w:val="0"/>
          <w:sz w:val="32"/>
        </w:rPr>
        <w:t>9.农林水支出(类)农业农村(款)农业资源保护修复与利用(项)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主要原因是：本年度民丰县尼雅乡农村污水处理项目（二期）减少。</w:t>
      </w:r>
    </w:p>
    <w:p w14:paraId="45036FC6">
      <w:pPr>
        <w:spacing w:line="580" w:lineRule="exact"/>
        <w:ind w:firstLine="640"/>
        <w:jc w:val="both"/>
      </w:pPr>
      <w:r>
        <w:rPr>
          <w:rFonts w:ascii="仿宋_GB2312" w:hAnsi="仿宋_GB2312" w:eastAsia="仿宋_GB2312"/>
          <w:b w:val="0"/>
          <w:sz w:val="32"/>
        </w:rPr>
        <w:t>10.农林水支出(类)巩固脱贫攻坚成果衔接乡村振兴(款)农村基础设施建设(项)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支出决算数为493.75万元，比上年决算减少3,091.52万元，下降86.23%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民丰县尼雅乡幸福村示范村建设项目（产业设施配套）、尼雅乡幸福村示范村建设项目（基础设施）、尼雅乡幸福村乡村振兴示范村建设项目（产业设施配套）、尼雅乡幸福村乡村振兴示范村建设项目（基础设施）、民丰县尼雅乡农村污水处理项目（二期）和田地区第六批地方政府一般债券等项目。</w:t>
      </w:r>
    </w:p>
    <w:p w14:paraId="745776BB">
      <w:pPr>
        <w:spacing w:line="580" w:lineRule="exact"/>
        <w:ind w:firstLine="640"/>
        <w:jc w:val="both"/>
      </w:pPr>
      <w:r>
        <w:rPr>
          <w:rFonts w:ascii="仿宋_GB2312" w:hAnsi="仿宋_GB2312" w:eastAsia="仿宋_GB2312"/>
          <w:b w:val="0"/>
          <w:sz w:val="32"/>
        </w:rPr>
        <w:t>11.农林水支出(类)巩固脱贫攻坚成果衔接乡村振兴(款)生产发展(项)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支出决算数为692.03万元，比上年决算增加692.03万元，增长100.00%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主要原因是：本年度增加民丰县种植业产业帮扶精准到户项目、民丰县畜牧业产业帮扶精准到户项目等项目。</w:t>
      </w:r>
    </w:p>
    <w:p w14:paraId="6696CCE7">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支出决算数为271.20万元，比上年决算增加271.20万元，增长100.00%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主要原因是：本年度增加尼雅湾微地形绿化建设项目。</w:t>
      </w:r>
    </w:p>
    <w:p w14:paraId="2A66B463">
      <w:pPr>
        <w:spacing w:line="580" w:lineRule="exact"/>
        <w:ind w:firstLine="640"/>
        <w:jc w:val="both"/>
      </w:pPr>
      <w:r>
        <w:rPr>
          <w:rFonts w:ascii="仿宋_GB2312" w:hAnsi="仿宋_GB2312" w:eastAsia="仿宋_GB2312"/>
          <w:b w:val="0"/>
          <w:sz w:val="32"/>
        </w:rPr>
        <w:t>13.农林水支出(类)农村综合改革(款)对村级公益事业建设的补助(项)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支出决算数为48.95万元，比上年决算增加41.84万元，增长588.47%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主要原因是：本年度增加光明村村容村貌改造项目。</w:t>
      </w:r>
    </w:p>
    <w:p w14:paraId="64E2EA67">
      <w:pPr>
        <w:spacing w:line="580" w:lineRule="exact"/>
        <w:ind w:firstLine="640"/>
        <w:jc w:val="both"/>
      </w:pPr>
      <w:r>
        <w:rPr>
          <w:rFonts w:ascii="仿宋_GB2312" w:hAnsi="仿宋_GB2312" w:eastAsia="仿宋_GB2312"/>
          <w:b w:val="0"/>
          <w:sz w:val="32"/>
        </w:rPr>
        <w:t>14.农林水支出(类)农村综合改革(款)其他农村综合改革支出(项)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支出决算数为0.00万元，比上年决算减少108.00万元，下降100.00%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民丰县尼雅乡幸福村乡村振兴示范村建设项目（产业设施配套）。</w:t>
      </w:r>
    </w:p>
    <w:p w14:paraId="5ABA7445">
      <w:pPr>
        <w:spacing w:line="580" w:lineRule="exact"/>
        <w:ind w:firstLine="640"/>
        <w:jc w:val="both"/>
      </w:pPr>
      <w:r>
        <w:rPr>
          <w:rFonts w:ascii="仿宋_GB2312" w:hAnsi="仿宋_GB2312" w:eastAsia="仿宋_GB2312"/>
          <w:b w:val="0"/>
          <w:sz w:val="32"/>
        </w:rPr>
        <w:t>15.住房保障支出(类)住房改革支出(款)住房公积金(项)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支出决算数为169.86万元，比上年决算增加169.86万元，增长100.00%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主要原因是：本年功能科目调整，住房公积金上年度在主科目列支，本年单独列支，导致经费较上年增加。</w:t>
      </w:r>
    </w:p>
    <w:p w14:paraId="262A04F3">
      <w:pPr>
        <w:spacing w:line="640" w:lineRule="exact"/>
        <w:ind w:firstLine="640"/>
        <w:jc w:val="both"/>
        <w:outlineLvl w:val="2"/>
      </w:pPr>
      <w:r>
        <w:rPr>
          <w:rFonts w:ascii="黑体" w:hAnsi="黑体" w:eastAsia="黑体"/>
          <w:sz w:val="32"/>
        </w:rPr>
        <w:t>六、一般公共预算财政拨款基本支出决算情况说明</w:t>
      </w:r>
    </w:p>
    <w:p w14:paraId="1771AD82">
      <w:pPr>
        <w:spacing w:line="580" w:lineRule="exact"/>
        <w:ind w:firstLine="640"/>
        <w:jc w:val="both"/>
      </w:pPr>
      <w:r>
        <w:rPr>
          <w:rFonts w:ascii="仿宋_GB2312" w:hAnsi="仿宋_GB2312" w:eastAsia="仿宋_GB2312"/>
          <w:b w:val="0"/>
          <w:sz w:val="32"/>
        </w:rPr>
        <w:t>2024年度一般公共预算财政拨款基本支出2,424.11万元，其中：</w:t>
      </w:r>
      <w:r>
        <w:rPr>
          <w:rFonts w:ascii="仿宋_GB2312" w:hAnsi="仿宋_GB2312" w:eastAsia="仿宋_GB2312"/>
          <w:b/>
          <w:sz w:val="32"/>
        </w:rPr>
        <w:t>人员经费2,323.31万元，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63926E9A">
      <w:pPr>
        <w:spacing w:line="580" w:lineRule="exact"/>
        <w:ind w:firstLine="640"/>
        <w:jc w:val="both"/>
      </w:pPr>
      <w:r>
        <w:rPr>
          <w:rFonts w:ascii="仿宋_GB2312" w:hAnsi="仿宋_GB2312" w:eastAsia="仿宋_GB2312"/>
          <w:b/>
          <w:sz w:val="32"/>
        </w:rPr>
        <w:t>公用经费100.80万元，</w:t>
      </w:r>
      <w:r>
        <w:rPr>
          <w:rFonts w:ascii="仿宋_GB2312" w:hAnsi="仿宋_GB2312" w:eastAsia="仿宋_GB2312"/>
          <w:b w:val="0"/>
          <w:sz w:val="32"/>
        </w:rPr>
        <w:t>包括：办公费、印刷费、水费、电费、邮电费、差旅费、劳务费。</w:t>
      </w:r>
    </w:p>
    <w:p w14:paraId="7C95F6C7">
      <w:pPr>
        <w:spacing w:line="640" w:lineRule="exact"/>
        <w:ind w:firstLine="640"/>
        <w:jc w:val="both"/>
        <w:outlineLvl w:val="2"/>
      </w:pPr>
      <w:r>
        <w:rPr>
          <w:rFonts w:ascii="黑体" w:hAnsi="黑体" w:eastAsia="黑体"/>
          <w:sz w:val="32"/>
        </w:rPr>
        <w:t>七、政府性基金预算财政拨款收入支出决算情况说明</w:t>
      </w:r>
    </w:p>
    <w:p w14:paraId="7BFF835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7A250F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减少160.79万元，下降100.00%，主要原因是：本年减少民丰县尼雅乡光明村庭院改造项目（一期）</w:t>
      </w:r>
      <w:r>
        <w:rPr>
          <w:rFonts w:hint="eastAsia" w:ascii="仿宋_GB2312" w:hAnsi="仿宋_GB2312" w:eastAsia="仿宋_GB2312"/>
          <w:b w:val="0"/>
          <w:sz w:val="32"/>
          <w:lang w:eastAsia="zh-CN"/>
        </w:rPr>
        <w:t>，</w:t>
      </w:r>
      <w:r>
        <w:rPr>
          <w:rFonts w:ascii="仿宋_GB2312" w:hAnsi="仿宋_GB2312" w:eastAsia="仿宋_GB2312"/>
          <w:b w:val="0"/>
          <w:sz w:val="32"/>
        </w:rPr>
        <w:t>光明村示范村建设项目</w:t>
      </w:r>
      <w:r>
        <w:rPr>
          <w:rFonts w:hint="eastAsia" w:ascii="仿宋_GB2312" w:hAnsi="仿宋_GB2312" w:eastAsia="仿宋_GB2312"/>
          <w:b w:val="0"/>
          <w:sz w:val="32"/>
          <w:lang w:val="en-US" w:eastAsia="zh-CN"/>
        </w:rPr>
        <w:t>经费。</w:t>
      </w:r>
      <w:r>
        <w:rPr>
          <w:rFonts w:ascii="仿宋_GB2312" w:hAnsi="仿宋_GB2312" w:eastAsia="仿宋_GB2312"/>
          <w:b/>
          <w:sz w:val="32"/>
        </w:rPr>
        <w:t>与年初预算相比，</w:t>
      </w:r>
      <w:r>
        <w:rPr>
          <w:rFonts w:ascii="仿宋_GB2312" w:hAnsi="仿宋_GB2312" w:eastAsia="仿宋_GB2312"/>
          <w:b w:val="0"/>
          <w:sz w:val="32"/>
        </w:rPr>
        <w:t>年初预算数10.00万元，决算数0.00万元，预决算差异率-100.00%，主要原因是：年中调减光明村示范建设项目资金。</w:t>
      </w:r>
    </w:p>
    <w:p w14:paraId="5D5079EC">
      <w:pPr>
        <w:spacing w:line="580" w:lineRule="exact"/>
        <w:ind w:firstLine="640"/>
        <w:jc w:val="both"/>
      </w:pPr>
      <w:r>
        <w:rPr>
          <w:rFonts w:ascii="仿宋_GB2312" w:hAnsi="仿宋_GB2312" w:eastAsia="仿宋_GB2312"/>
          <w:b w:val="0"/>
          <w:sz w:val="32"/>
        </w:rPr>
        <w:t>政府性基金预算财政拨款支出0.00万元。</w:t>
      </w:r>
    </w:p>
    <w:p w14:paraId="63EF1CFF">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主要原因是：本年减少民丰县尼雅乡光明村庭院改造项目（一期）。</w:t>
      </w:r>
    </w:p>
    <w:p w14:paraId="5014A999">
      <w:pPr>
        <w:spacing w:line="580" w:lineRule="exact"/>
        <w:ind w:firstLine="640"/>
        <w:jc w:val="both"/>
      </w:pPr>
      <w:r>
        <w:rPr>
          <w:rFonts w:ascii="仿宋_GB2312" w:hAnsi="仿宋_GB2312" w:eastAsia="仿宋_GB2312"/>
          <w:b w:val="0"/>
          <w:sz w:val="32"/>
        </w:rPr>
        <w:t>2.其他支出(类)彩票公益金安排的支出(款)用于其他社会公益事业的彩票公益金支出(项)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支出决算数为0.00万元，比上年决算减少75.79万元，下降100.00%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主要原因是：本年减少民丰县尼雅乡光明村示范村建设项目。</w:t>
      </w:r>
    </w:p>
    <w:p w14:paraId="079DDD8B">
      <w:pPr>
        <w:spacing w:line="640" w:lineRule="exact"/>
        <w:ind w:firstLine="640"/>
        <w:jc w:val="both"/>
        <w:outlineLvl w:val="2"/>
      </w:pPr>
      <w:r>
        <w:rPr>
          <w:rFonts w:ascii="黑体" w:hAnsi="黑体" w:eastAsia="黑体"/>
          <w:sz w:val="32"/>
        </w:rPr>
        <w:t>八、国有资本经营预算财政拨款收入支出决算情况说明</w:t>
      </w:r>
    </w:p>
    <w:p w14:paraId="29F97ED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80CC2E">
      <w:pPr>
        <w:spacing w:line="640" w:lineRule="exact"/>
        <w:ind w:firstLine="640"/>
        <w:jc w:val="both"/>
        <w:outlineLvl w:val="2"/>
      </w:pPr>
      <w:r>
        <w:rPr>
          <w:rFonts w:ascii="黑体" w:hAnsi="黑体" w:eastAsia="黑体"/>
          <w:sz w:val="32"/>
        </w:rPr>
        <w:t>九、财政拨款“三公”经费支出决算情况说明</w:t>
      </w:r>
    </w:p>
    <w:p w14:paraId="52E14DF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0F285C">
      <w:pPr>
        <w:spacing w:line="580" w:lineRule="exact"/>
        <w:ind w:firstLine="640"/>
        <w:jc w:val="both"/>
      </w:pPr>
      <w:r>
        <w:rPr>
          <w:rFonts w:ascii="仿宋_GB2312" w:hAnsi="仿宋_GB2312" w:eastAsia="仿宋_GB2312"/>
          <w:b/>
          <w:sz w:val="32"/>
        </w:rPr>
        <w:t>具体情况如下：</w:t>
      </w:r>
    </w:p>
    <w:p w14:paraId="37191E3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F7691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一般业务用车，预算未安排公务用车运行维护费。</w:t>
      </w:r>
    </w:p>
    <w:p w14:paraId="4D3F9F2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6070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A946832">
      <w:pPr>
        <w:spacing w:line="640" w:lineRule="exact"/>
        <w:ind w:firstLine="640"/>
        <w:jc w:val="both"/>
        <w:outlineLvl w:val="2"/>
      </w:pPr>
      <w:r>
        <w:rPr>
          <w:rFonts w:ascii="黑体" w:hAnsi="黑体" w:eastAsia="黑体"/>
          <w:sz w:val="32"/>
        </w:rPr>
        <w:t>十、其他重要事项的情况说明</w:t>
      </w:r>
    </w:p>
    <w:p w14:paraId="106003B3">
      <w:pPr>
        <w:spacing w:line="640" w:lineRule="exact"/>
        <w:ind w:firstLine="640"/>
        <w:jc w:val="both"/>
        <w:outlineLvl w:val="3"/>
      </w:pPr>
      <w:r>
        <w:rPr>
          <w:rFonts w:ascii="楷体_GB2312" w:hAnsi="楷体_GB2312" w:eastAsia="楷体_GB2312"/>
          <w:b/>
          <w:sz w:val="32"/>
        </w:rPr>
        <w:t>（一）机关运行经费及公用经费支出情况</w:t>
      </w:r>
    </w:p>
    <w:p w14:paraId="0536BB2D">
      <w:pPr>
        <w:spacing w:line="580" w:lineRule="exact"/>
        <w:ind w:firstLine="640"/>
        <w:jc w:val="both"/>
      </w:pPr>
      <w:r>
        <w:rPr>
          <w:rFonts w:ascii="仿宋_GB2312" w:hAnsi="仿宋_GB2312" w:eastAsia="仿宋_GB2312"/>
          <w:b w:val="0"/>
          <w:sz w:val="32"/>
        </w:rPr>
        <w:t>2024年度民丰县尼雅乡人民政府（行政单位和参照公务员法管理事业单位）机关运行经费支出100.80万元，比上年增加55.97万元，增长124.85%，主要原因是：本年办公费、印刷费、水费、电费、邮电费、差旅费增加，导致公用经费增加。</w:t>
      </w:r>
    </w:p>
    <w:p w14:paraId="4540CA58">
      <w:pPr>
        <w:spacing w:line="640" w:lineRule="exact"/>
        <w:ind w:firstLine="640"/>
        <w:jc w:val="both"/>
        <w:outlineLvl w:val="3"/>
      </w:pPr>
      <w:r>
        <w:rPr>
          <w:rFonts w:ascii="楷体_GB2312" w:hAnsi="楷体_GB2312" w:eastAsia="楷体_GB2312"/>
          <w:b/>
          <w:sz w:val="32"/>
        </w:rPr>
        <w:t>（二）政府采购情况</w:t>
      </w:r>
    </w:p>
    <w:p w14:paraId="07EB7679">
      <w:pPr>
        <w:spacing w:line="580" w:lineRule="exact"/>
        <w:ind w:firstLine="640"/>
        <w:jc w:val="both"/>
      </w:pPr>
      <w:r>
        <w:rPr>
          <w:rFonts w:ascii="仿宋_GB2312" w:hAnsi="仿宋_GB2312" w:eastAsia="仿宋_GB2312"/>
          <w:b w:val="0"/>
          <w:sz w:val="32"/>
        </w:rPr>
        <w:t>2024年度政府采购支出总额1,847.16万元，其中：政府采购货物支出54.26万元、政府采购工程支出1,684.51万元、政府采购服务支出108.38万元。</w:t>
      </w:r>
    </w:p>
    <w:p w14:paraId="764A412E">
      <w:pPr>
        <w:spacing w:line="580" w:lineRule="exact"/>
        <w:ind w:firstLine="640"/>
        <w:jc w:val="both"/>
      </w:pPr>
      <w:r>
        <w:rPr>
          <w:rFonts w:ascii="仿宋_GB2312" w:hAnsi="仿宋_GB2312" w:eastAsia="仿宋_GB2312"/>
          <w:b w:val="0"/>
          <w:sz w:val="32"/>
        </w:rPr>
        <w:t>授予中小企业合同金额1,847.16万元，占政府采购支出总额的100.00%，其中：授予小微企业合同金额1,847.16万元，占政府采购支出总额的100.00%。</w:t>
      </w:r>
    </w:p>
    <w:p w14:paraId="7CF0951B">
      <w:pPr>
        <w:spacing w:line="640" w:lineRule="exact"/>
        <w:ind w:firstLine="640"/>
        <w:jc w:val="both"/>
        <w:outlineLvl w:val="3"/>
      </w:pPr>
      <w:r>
        <w:rPr>
          <w:rFonts w:ascii="楷体_GB2312" w:hAnsi="楷体_GB2312" w:eastAsia="楷体_GB2312"/>
          <w:b/>
          <w:sz w:val="32"/>
        </w:rPr>
        <w:t>（三）国有资产占用情况说明</w:t>
      </w:r>
    </w:p>
    <w:p w14:paraId="6CE988D5">
      <w:pPr>
        <w:spacing w:line="580" w:lineRule="exact"/>
        <w:ind w:firstLine="640"/>
        <w:jc w:val="both"/>
      </w:pPr>
      <w:r>
        <w:rPr>
          <w:rFonts w:ascii="仿宋_GB2312" w:hAnsi="仿宋_GB2312" w:eastAsia="仿宋_GB2312"/>
          <w:b w:val="0"/>
          <w:sz w:val="32"/>
        </w:rPr>
        <w:t>截至2024年12月31日，房屋4,292.59平方米，价值584.07万元。车辆4辆，价值55.98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14:paraId="0F667FF3">
      <w:pPr>
        <w:spacing w:line="640" w:lineRule="exact"/>
        <w:ind w:firstLine="640"/>
        <w:jc w:val="both"/>
        <w:outlineLvl w:val="2"/>
      </w:pPr>
      <w:r>
        <w:rPr>
          <w:rFonts w:ascii="黑体" w:hAnsi="黑体" w:eastAsia="黑体"/>
          <w:sz w:val="32"/>
        </w:rPr>
        <w:t>十一、预算绩效的情况说明</w:t>
      </w:r>
    </w:p>
    <w:p w14:paraId="5A0DE52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4,896.83万元，实际执行总额4,550.05万元；预算绩效评价项目6个，全年预算数695.96万元，全年执行数480.43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具体附整体支出绩效自评表，项目支出绩效自评表和评价报告。</w:t>
      </w:r>
    </w:p>
    <w:p w14:paraId="7B5F9B7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0EC6BF">
        <w:tblPrEx>
          <w:tblCellMar>
            <w:top w:w="0" w:type="dxa"/>
            <w:left w:w="108" w:type="dxa"/>
            <w:bottom w:w="0" w:type="dxa"/>
            <w:right w:w="108" w:type="dxa"/>
          </w:tblCellMar>
        </w:tblPrEx>
        <w:tc>
          <w:tcPr>
            <w:tcW w:w="8847" w:type="dxa"/>
            <w:gridSpan w:val="9"/>
            <w:vAlign w:val="center"/>
          </w:tcPr>
          <w:p w14:paraId="3C0E72B7">
            <w:pPr>
              <w:jc w:val="center"/>
            </w:pPr>
            <w:r>
              <w:rPr>
                <w:rFonts w:ascii="宋体" w:hAnsi="宋体" w:eastAsia="宋体"/>
                <w:sz w:val="24"/>
              </w:rPr>
              <w:t>单位整体支出绩效自评表</w:t>
            </w:r>
          </w:p>
        </w:tc>
      </w:tr>
      <w:tr w14:paraId="3F83CC07">
        <w:tblPrEx>
          <w:tblCellMar>
            <w:top w:w="0" w:type="dxa"/>
            <w:left w:w="108" w:type="dxa"/>
            <w:bottom w:w="0" w:type="dxa"/>
            <w:right w:w="108" w:type="dxa"/>
          </w:tblCellMar>
        </w:tblPrEx>
        <w:tc>
          <w:tcPr>
            <w:tcW w:w="8847" w:type="dxa"/>
            <w:gridSpan w:val="9"/>
            <w:vAlign w:val="center"/>
          </w:tcPr>
          <w:p w14:paraId="59E96602">
            <w:pPr>
              <w:jc w:val="center"/>
            </w:pPr>
            <w:r>
              <w:rPr>
                <w:rFonts w:ascii="宋体" w:hAnsi="宋体" w:eastAsia="宋体"/>
                <w:sz w:val="24"/>
              </w:rPr>
              <w:t>（2024年度）</w:t>
            </w:r>
          </w:p>
        </w:tc>
      </w:tr>
      <w:tr w14:paraId="70CCBA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A50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9A83AE">
            <w:pPr>
              <w:jc w:val="center"/>
            </w:pPr>
            <w:r>
              <w:rPr>
                <w:rFonts w:ascii="宋体" w:hAnsi="宋体" w:eastAsia="宋体"/>
                <w:sz w:val="16"/>
              </w:rPr>
              <w:t>民丰县尼雅乡人民政府</w:t>
            </w:r>
          </w:p>
        </w:tc>
      </w:tr>
      <w:tr w14:paraId="13B426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9189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CD4C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5671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D6F9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FF58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93E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6743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6AC4E">
            <w:pPr>
              <w:jc w:val="center"/>
            </w:pPr>
            <w:r>
              <w:rPr>
                <w:rFonts w:ascii="宋体" w:hAnsi="宋体" w:eastAsia="宋体"/>
                <w:sz w:val="16"/>
              </w:rPr>
              <w:t>得分</w:t>
            </w:r>
          </w:p>
        </w:tc>
      </w:tr>
      <w:tr w14:paraId="750B64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9C1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F1BE8">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8AC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47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637B3">
            <w:pPr>
              <w:jc w:val="center"/>
            </w:pPr>
            <w:r>
              <w:rPr>
                <w:rFonts w:ascii="宋体" w:hAnsi="宋体" w:eastAsia="宋体"/>
                <w:sz w:val="16"/>
              </w:rPr>
              <w:t>1,505.92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F065F">
            <w:pPr>
              <w:jc w:val="center"/>
            </w:pPr>
            <w:r>
              <w:rPr>
                <w:rFonts w:ascii="宋体" w:hAnsi="宋体" w:eastAsia="宋体"/>
                <w:sz w:val="16"/>
              </w:rPr>
              <w:t>1,505.92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AAB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A29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EB069">
            <w:pPr>
              <w:jc w:val="center"/>
            </w:pPr>
            <w:r>
              <w:rPr>
                <w:rFonts w:ascii="宋体" w:hAnsi="宋体" w:eastAsia="宋体"/>
                <w:sz w:val="16"/>
              </w:rPr>
              <w:t>-</w:t>
            </w:r>
          </w:p>
        </w:tc>
      </w:tr>
      <w:tr w14:paraId="79E40B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691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22E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317FF">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5A079">
            <w:pPr>
              <w:jc w:val="center"/>
            </w:pPr>
            <w:r>
              <w:rPr>
                <w:rFonts w:ascii="宋体" w:hAnsi="宋体" w:eastAsia="宋体"/>
                <w:sz w:val="16"/>
              </w:rPr>
              <w:t>2,969.63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A21EE">
            <w:pPr>
              <w:jc w:val="center"/>
            </w:pPr>
            <w:r>
              <w:rPr>
                <w:rFonts w:ascii="宋体" w:hAnsi="宋体" w:eastAsia="宋体"/>
                <w:sz w:val="16"/>
              </w:rPr>
              <w:t>3,390.91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2F871">
            <w:pPr>
              <w:jc w:val="center"/>
            </w:pPr>
            <w:r>
              <w:rPr>
                <w:rFonts w:ascii="宋体" w:hAnsi="宋体" w:eastAsia="宋体"/>
                <w:sz w:val="16"/>
              </w:rPr>
              <w:t>3,044.13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EA9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250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CF02D">
            <w:pPr>
              <w:jc w:val="center"/>
            </w:pPr>
            <w:r>
              <w:rPr>
                <w:rFonts w:ascii="宋体" w:hAnsi="宋体" w:eastAsia="宋体"/>
                <w:sz w:val="16"/>
              </w:rPr>
              <w:t>-</w:t>
            </w:r>
          </w:p>
        </w:tc>
      </w:tr>
      <w:tr w14:paraId="3E14C5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668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3C5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3B3AD">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8647F">
            <w:pPr>
              <w:jc w:val="center"/>
            </w:pPr>
            <w:r>
              <w:rPr>
                <w:rFonts w:ascii="宋体" w:hAnsi="宋体" w:eastAsia="宋体"/>
                <w:sz w:val="16"/>
              </w:rPr>
              <w:t>26.87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ACF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51C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93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BCD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46716">
            <w:pPr>
              <w:jc w:val="center"/>
            </w:pPr>
            <w:r>
              <w:rPr>
                <w:rFonts w:ascii="宋体" w:hAnsi="宋体" w:eastAsia="宋体"/>
                <w:sz w:val="16"/>
              </w:rPr>
              <w:t>-</w:t>
            </w:r>
          </w:p>
        </w:tc>
      </w:tr>
      <w:tr w14:paraId="7C48F8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12C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3533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588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0DF19">
            <w:pPr>
              <w:jc w:val="center"/>
            </w:pPr>
            <w:r>
              <w:rPr>
                <w:rFonts w:ascii="宋体" w:hAnsi="宋体" w:eastAsia="宋体"/>
                <w:sz w:val="16"/>
              </w:rPr>
              <w:t>2,996.50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52365">
            <w:pPr>
              <w:jc w:val="center"/>
            </w:pPr>
            <w:r>
              <w:rPr>
                <w:rFonts w:ascii="宋体" w:hAnsi="宋体" w:eastAsia="宋体"/>
                <w:sz w:val="16"/>
              </w:rPr>
              <w:t>4,896.83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21CE6">
            <w:pPr>
              <w:jc w:val="center"/>
            </w:pPr>
            <w:r>
              <w:rPr>
                <w:rFonts w:ascii="宋体" w:hAnsi="宋体" w:eastAsia="宋体"/>
                <w:sz w:val="16"/>
              </w:rPr>
              <w:t>4,550.05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EDA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5BD0F">
            <w:pPr>
              <w:jc w:val="center"/>
            </w:pPr>
            <w:r>
              <w:rPr>
                <w:rFonts w:ascii="宋体" w:hAnsi="宋体" w:eastAsia="宋体"/>
                <w:sz w:val="16"/>
              </w:rPr>
              <w:t>92.92%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F6CF8">
            <w:pPr>
              <w:jc w:val="center"/>
            </w:pPr>
            <w:r>
              <w:rPr>
                <w:rFonts w:ascii="宋体" w:hAnsi="宋体" w:eastAsia="宋体"/>
                <w:sz w:val="16"/>
              </w:rPr>
              <w:t>9.29</w:t>
            </w:r>
          </w:p>
        </w:tc>
      </w:tr>
      <w:tr w14:paraId="5C5A39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B41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6D861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7E135E">
            <w:pPr>
              <w:jc w:val="center"/>
            </w:pPr>
            <w:r>
              <w:rPr>
                <w:rFonts w:ascii="宋体" w:hAnsi="宋体" w:eastAsia="宋体"/>
                <w:sz w:val="16"/>
              </w:rPr>
              <w:t>实际完成情况</w:t>
            </w:r>
          </w:p>
        </w:tc>
      </w:tr>
      <w:tr w14:paraId="379193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C7DC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A829C6">
            <w:pPr>
              <w:jc w:val="both"/>
            </w:pPr>
            <w:r>
              <w:rPr>
                <w:rFonts w:ascii="宋体" w:hAnsi="宋体" w:eastAsia="宋体"/>
                <w:sz w:val="16"/>
              </w:rPr>
              <w:t>目标1：乡镇公共服务运行履职保障人数为115人，有效解决乡镇公共服务运行经费保障问题，服务乡村数量不少于6个，要提升村、社区党组织服务群众能力，减轻农民负担；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社区党组织惠民政策的实施、村、社区党建服务品牌建设、村、社区公共事业的补助和实施等为民办实事项目的开展，确保为民办实事件数达到12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综合素质，有效提升服务群众水平，提高职业介绍和就业指导次数不少于9次，提高就业问题。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目标4：明显改善农村村容村貌，清洁卫生，促进新农村建设，改善老百姓生产生活环境，提高人民生活水平，困难群众核查清理次数不少于6次，农牧民实用技能培训场次不少于9次；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目标5：加强社会管理综合治理能力，维护社会稳定，营造良好社会秩序，达到公务保障车辆数3辆，保证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目标6：严格做好干部服务工作，切实加强服务管理平台，及时落实政策规定，按时发放干部国家及地方各项补贴，不断提升和增强干部生活上的幸福感，让退休干部安心、舒心、暖心。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目标7：抓好财政收支管理及村集体经济审计工作，做好预、决算编制、公开，达到预算绩效全覆盖，将绩效管理纳入预算编制、执行、监督全过程，强化绩效目标管理；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C28E7">
            <w:pPr>
              <w:jc w:val="both"/>
            </w:pPr>
            <w:r>
              <w:rPr>
                <w:rFonts w:ascii="宋体" w:hAnsi="宋体" w:eastAsia="宋体"/>
                <w:sz w:val="16"/>
              </w:rPr>
              <w:t>截至2024年12月31日，我单位共计支出4550.05万元，预算执行率92.920%。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完成了乡镇公共服务运行履职保障人数为115人，有效解决乡镇公共服务运行经费保障问题，服务乡村数量6个，提升村、社区党组织服务群众能力，减轻农民负担；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通过村、社区党组织惠民政策的实施、村、社区党建服务品牌建设、村、社区公共事业的补助和实施等为民办实事项目的开展，为民办实事件数达到12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完成了在乡镇开</w:t>
            </w:r>
            <w:r>
              <w:rPr>
                <w:rFonts w:hint="eastAsia" w:ascii="宋体" w:hAnsi="宋体"/>
                <w:sz w:val="16"/>
                <w:lang w:eastAsia="zh-CN"/>
              </w:rPr>
              <w:t>展的</w:t>
            </w:r>
            <w:r>
              <w:rPr>
                <w:rFonts w:ascii="宋体" w:hAnsi="宋体" w:eastAsia="宋体"/>
                <w:sz w:val="16"/>
              </w:rPr>
              <w:t>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综合素质，有效提升服务群众水平，提高职业介绍和就业指导次数9次，提高就业问题。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完成了明显改善农村村容村貌，清洁卫生，促进新农村建设，改善老百姓生产生活环境，提高人民生活水平，困难群众核查清理次数6次，农牧民实用技能培训场次9次；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完成了加强社会管理综合治理能力，维护社会稳定，营造良好社会秩序，达到公务保障车辆数3辆，保证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完成了严格做好干部服务工作，切实加强服务管理平台，及时落实政策规定，按时发放干部国家及地方各项补贴，不断提升和增强干部生活上的幸福感，让退休干部安心、舒心、暖心。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完成了抓好财政收支管理及村集体经济审计工作，做好</w:t>
            </w:r>
            <w:r>
              <w:rPr>
                <w:rFonts w:hint="eastAsia" w:ascii="宋体" w:hAnsi="宋体"/>
                <w:sz w:val="16"/>
                <w:lang w:eastAsia="zh-CN"/>
              </w:rPr>
              <w:t>预算</w:t>
            </w:r>
            <w:r>
              <w:rPr>
                <w:rFonts w:ascii="宋体" w:hAnsi="宋体" w:eastAsia="宋体"/>
                <w:sz w:val="16"/>
              </w:rPr>
              <w:t>、决算编制、公开，达到预算绩效全覆盖，将绩效管理纳入预算编制、执行、监督全过程，强化绩效目标管理；</w:t>
            </w:r>
          </w:p>
        </w:tc>
      </w:tr>
      <w:tr w14:paraId="08C668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A49B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3EEC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609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A317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DB99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BEAA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134C">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273B9">
            <w:pPr>
              <w:jc w:val="center"/>
            </w:pPr>
            <w:r>
              <w:rPr>
                <w:rFonts w:ascii="宋体" w:hAnsi="宋体" w:eastAsia="宋体"/>
                <w:sz w:val="16"/>
              </w:rPr>
              <w:t>得分</w:t>
            </w:r>
          </w:p>
        </w:tc>
      </w:tr>
      <w:tr w14:paraId="32FBFE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418C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8F138">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D068">
            <w:pPr>
              <w:jc w:val="center"/>
            </w:pPr>
            <w:r>
              <w:rPr>
                <w:rFonts w:ascii="宋体" w:hAnsi="宋体" w:eastAsia="宋体"/>
                <w:sz w:val="16"/>
              </w:rPr>
              <w:t>项目资金执行率达到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5813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CE46">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B9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378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CFE1D">
            <w:pPr>
              <w:jc w:val="center"/>
            </w:pPr>
            <w:r>
              <w:rPr>
                <w:rFonts w:ascii="宋体" w:hAnsi="宋体" w:eastAsia="宋体"/>
                <w:sz w:val="16"/>
              </w:rPr>
              <w:t>10</w:t>
            </w:r>
          </w:p>
        </w:tc>
      </w:tr>
      <w:tr w14:paraId="19961B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995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AD7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F575F">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673A1">
            <w:pPr>
              <w:jc w:val="center"/>
            </w:pPr>
            <w:r>
              <w:rPr>
                <w:rFonts w:ascii="宋体" w:hAnsi="宋体" w:eastAsia="宋体"/>
                <w:sz w:val="16"/>
              </w:rPr>
              <w:t>&gt;=1件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85EE6">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16A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9EF16">
            <w:pPr>
              <w:jc w:val="center"/>
            </w:pPr>
            <w:r>
              <w:rPr>
                <w:rFonts w:ascii="宋体" w:hAnsi="宋体" w:eastAsia="宋体"/>
                <w:sz w:val="16"/>
              </w:rPr>
              <w: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0AB84">
            <w:pPr>
              <w:jc w:val="center"/>
            </w:pPr>
            <w:r>
              <w:rPr>
                <w:rFonts w:ascii="宋体" w:hAnsi="宋体" w:eastAsia="宋体"/>
                <w:sz w:val="16"/>
              </w:rPr>
              <w:t>15</w:t>
            </w:r>
          </w:p>
        </w:tc>
      </w:tr>
      <w:tr w14:paraId="023F21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6FE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390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9FE2">
            <w:pPr>
              <w:jc w:val="center"/>
            </w:pPr>
            <w:r>
              <w:rPr>
                <w:rFonts w:ascii="宋体" w:hAnsi="宋体" w:eastAsia="宋体"/>
                <w:sz w:val="16"/>
              </w:rPr>
              <w:t>完成人居环境整治工作率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4FD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6A2C6">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9F2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C3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1C11">
            <w:pPr>
              <w:jc w:val="center"/>
            </w:pPr>
            <w:r>
              <w:rPr>
                <w:rFonts w:ascii="宋体" w:hAnsi="宋体" w:eastAsia="宋体"/>
                <w:sz w:val="16"/>
              </w:rPr>
              <w:t>10</w:t>
            </w:r>
          </w:p>
        </w:tc>
      </w:tr>
      <w:tr w14:paraId="137B5E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F64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619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79E6">
            <w:pPr>
              <w:jc w:val="center"/>
            </w:pPr>
            <w:r>
              <w:rPr>
                <w:rFonts w:ascii="宋体" w:hAnsi="宋体" w:eastAsia="宋体"/>
                <w:sz w:val="16"/>
              </w:rPr>
              <w:t>困难群众核查清理次数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375A5">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BEB8D">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D150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C18E8">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9FA4A">
            <w:pPr>
              <w:jc w:val="center"/>
            </w:pPr>
            <w:r>
              <w:rPr>
                <w:rFonts w:ascii="宋体" w:hAnsi="宋体" w:eastAsia="宋体"/>
                <w:sz w:val="16"/>
              </w:rPr>
              <w:t>20</w:t>
            </w:r>
          </w:p>
        </w:tc>
      </w:tr>
      <w:tr w14:paraId="1DA66D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521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A43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4C8D">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BA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1AFC9">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BC9F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0E5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BAB14">
            <w:pPr>
              <w:jc w:val="center"/>
            </w:pPr>
            <w:r>
              <w:rPr>
                <w:rFonts w:ascii="宋体" w:hAnsi="宋体" w:eastAsia="宋体"/>
                <w:sz w:val="16"/>
              </w:rPr>
              <w:t>15</w:t>
            </w:r>
          </w:p>
        </w:tc>
      </w:tr>
      <w:tr w14:paraId="1B12D1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D6B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0DEB9">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58B9">
            <w:pPr>
              <w:jc w:val="center"/>
            </w:pPr>
            <w:r>
              <w:rPr>
                <w:rFonts w:ascii="宋体" w:hAnsi="宋体" w:eastAsia="宋体"/>
                <w:sz w:val="16"/>
              </w:rPr>
              <w:t>乡镇信访事项化解率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6D2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1F254">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139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84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51286">
            <w:pPr>
              <w:jc w:val="center"/>
            </w:pPr>
            <w:r>
              <w:rPr>
                <w:rFonts w:ascii="宋体" w:hAnsi="宋体" w:eastAsia="宋体"/>
                <w:sz w:val="16"/>
              </w:rPr>
              <w:t>20</w:t>
            </w:r>
          </w:p>
        </w:tc>
      </w:tr>
    </w:tbl>
    <w:p w14:paraId="32E7B75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0DF2E62B">
        <w:tblPrEx>
          <w:tblCellMar>
            <w:top w:w="0" w:type="dxa"/>
            <w:left w:w="108" w:type="dxa"/>
            <w:bottom w:w="0" w:type="dxa"/>
            <w:right w:w="108" w:type="dxa"/>
          </w:tblCellMar>
        </w:tblPrEx>
        <w:tc>
          <w:tcPr>
            <w:tcW w:w="8847" w:type="dxa"/>
            <w:gridSpan w:val="9"/>
            <w:vAlign w:val="center"/>
          </w:tcPr>
          <w:p w14:paraId="418F3206">
            <w:pPr>
              <w:jc w:val="center"/>
            </w:pPr>
            <w:r>
              <w:rPr>
                <w:rFonts w:ascii="宋体" w:hAnsi="宋体" w:eastAsia="宋体"/>
                <w:sz w:val="24"/>
              </w:rPr>
              <w:t>项目支出绩效自评表</w:t>
            </w:r>
          </w:p>
        </w:tc>
      </w:tr>
      <w:tr w14:paraId="193B709C">
        <w:tblPrEx>
          <w:tblCellMar>
            <w:top w:w="0" w:type="dxa"/>
            <w:left w:w="108" w:type="dxa"/>
            <w:bottom w:w="0" w:type="dxa"/>
            <w:right w:w="108" w:type="dxa"/>
          </w:tblCellMar>
        </w:tblPrEx>
        <w:tc>
          <w:tcPr>
            <w:tcW w:w="8847" w:type="dxa"/>
            <w:gridSpan w:val="9"/>
            <w:vAlign w:val="center"/>
          </w:tcPr>
          <w:p w14:paraId="301D871A">
            <w:pPr>
              <w:jc w:val="center"/>
            </w:pPr>
            <w:r>
              <w:rPr>
                <w:rFonts w:ascii="宋体" w:hAnsi="宋体" w:eastAsia="宋体"/>
                <w:sz w:val="24"/>
              </w:rPr>
              <w:t>(2024年度)</w:t>
            </w:r>
          </w:p>
        </w:tc>
      </w:tr>
      <w:tr w14:paraId="0ED16D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B8A5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DC3A4C">
            <w:pPr>
              <w:jc w:val="center"/>
            </w:pPr>
            <w:r>
              <w:rPr>
                <w:rFonts w:ascii="宋体" w:hAnsi="宋体" w:eastAsia="宋体"/>
                <w:sz w:val="16"/>
              </w:rPr>
              <w:t>县尼雅湾微地形绿化项目（结转）</w:t>
            </w:r>
          </w:p>
        </w:tc>
      </w:tr>
      <w:tr w14:paraId="440A14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ED73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74B47F">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C4D7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7CE503">
            <w:pPr>
              <w:jc w:val="center"/>
            </w:pPr>
            <w:r>
              <w:rPr>
                <w:rFonts w:ascii="宋体" w:hAnsi="宋体" w:eastAsia="宋体"/>
                <w:sz w:val="16"/>
              </w:rPr>
              <w:t>民丰县尼雅乡人民政府</w:t>
            </w:r>
          </w:p>
        </w:tc>
      </w:tr>
      <w:tr w14:paraId="0E52AD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602A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B7E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55E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FE64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0D1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8BB2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BFF8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F37A4">
            <w:pPr>
              <w:jc w:val="center"/>
            </w:pPr>
            <w:r>
              <w:rPr>
                <w:rFonts w:ascii="宋体" w:hAnsi="宋体" w:eastAsia="宋体"/>
                <w:sz w:val="16"/>
              </w:rPr>
              <w:t>得分</w:t>
            </w:r>
          </w:p>
        </w:tc>
      </w:tr>
      <w:tr w14:paraId="02E40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F8FF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5FE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39E0C">
            <w:pPr>
              <w:jc w:val="center"/>
            </w:pPr>
            <w:r>
              <w:rPr>
                <w:rFonts w:ascii="宋体" w:hAnsi="宋体" w:eastAsia="宋体"/>
                <w:sz w:val="16"/>
              </w:rPr>
              <w:t>373.89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44B07">
            <w:pPr>
              <w:jc w:val="center"/>
            </w:pPr>
            <w:r>
              <w:rPr>
                <w:rFonts w:ascii="宋体" w:hAnsi="宋体" w:eastAsia="宋体"/>
                <w:sz w:val="16"/>
              </w:rPr>
              <w:t>373.89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A828A">
            <w:pPr>
              <w:jc w:val="center"/>
            </w:pPr>
            <w:r>
              <w:rPr>
                <w:rFonts w:ascii="宋体" w:hAnsi="宋体" w:eastAsia="宋体"/>
                <w:sz w:val="16"/>
              </w:rPr>
              <w:t>271.19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670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D0277">
            <w:pPr>
              <w:jc w:val="center"/>
            </w:pPr>
            <w:r>
              <w:rPr>
                <w:rFonts w:ascii="宋体" w:hAnsi="宋体" w:eastAsia="宋体"/>
                <w:sz w:val="16"/>
              </w:rPr>
              <w:t xml:space="preserve">72.53%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F1D3F">
            <w:pPr>
              <w:jc w:val="center"/>
            </w:pPr>
            <w:r>
              <w:rPr>
                <w:rFonts w:ascii="宋体" w:hAnsi="宋体" w:eastAsia="宋体"/>
                <w:sz w:val="16"/>
              </w:rPr>
              <w:t>3.13分</w:t>
            </w:r>
          </w:p>
        </w:tc>
      </w:tr>
      <w:tr w14:paraId="4599A3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368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0365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D23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A15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EA4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0CB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3A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5D4F5">
            <w:pPr>
              <w:jc w:val="center"/>
            </w:pPr>
            <w:r>
              <w:rPr>
                <w:rFonts w:ascii="宋体" w:hAnsi="宋体" w:eastAsia="宋体"/>
                <w:sz w:val="16"/>
              </w:rPr>
              <w:t>—</w:t>
            </w:r>
          </w:p>
        </w:tc>
      </w:tr>
      <w:tr w14:paraId="128799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91B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AA96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CAA69">
            <w:pPr>
              <w:jc w:val="center"/>
            </w:pPr>
            <w:r>
              <w:rPr>
                <w:rFonts w:ascii="宋体" w:hAnsi="宋体" w:eastAsia="宋体"/>
                <w:sz w:val="16"/>
              </w:rPr>
              <w:t>373.89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0998B">
            <w:pPr>
              <w:jc w:val="center"/>
            </w:pPr>
            <w:r>
              <w:rPr>
                <w:rFonts w:ascii="宋体" w:hAnsi="宋体" w:eastAsia="宋体"/>
                <w:sz w:val="16"/>
              </w:rPr>
              <w:t>373.89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89BE">
            <w:pPr>
              <w:jc w:val="center"/>
            </w:pPr>
            <w:r>
              <w:rPr>
                <w:rFonts w:ascii="宋体" w:hAnsi="宋体" w:eastAsia="宋体"/>
                <w:sz w:val="16"/>
              </w:rPr>
              <w:t>271.19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D76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416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5B38D">
            <w:pPr>
              <w:jc w:val="center"/>
            </w:pPr>
            <w:r>
              <w:rPr>
                <w:rFonts w:ascii="宋体" w:hAnsi="宋体" w:eastAsia="宋体"/>
                <w:sz w:val="16"/>
              </w:rPr>
              <w:t>—</w:t>
            </w:r>
          </w:p>
        </w:tc>
      </w:tr>
      <w:tr w14:paraId="2AA93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D16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0096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E4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0AF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43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320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7CA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483EB">
            <w:pPr>
              <w:jc w:val="center"/>
            </w:pPr>
            <w:r>
              <w:rPr>
                <w:rFonts w:ascii="宋体" w:hAnsi="宋体" w:eastAsia="宋体"/>
                <w:sz w:val="16"/>
              </w:rPr>
              <w:t>—</w:t>
            </w:r>
          </w:p>
        </w:tc>
      </w:tr>
      <w:tr w14:paraId="56C9D4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AC73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AE1F5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B337DE">
            <w:pPr>
              <w:jc w:val="center"/>
            </w:pPr>
            <w:r>
              <w:rPr>
                <w:rFonts w:ascii="宋体" w:hAnsi="宋体" w:eastAsia="宋体"/>
                <w:sz w:val="16"/>
              </w:rPr>
              <w:t>实际完成情况</w:t>
            </w:r>
          </w:p>
        </w:tc>
      </w:tr>
      <w:tr w14:paraId="713BF6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2BE3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92D6E7">
            <w:pPr>
              <w:jc w:val="both"/>
            </w:pPr>
            <w:r>
              <w:rPr>
                <w:rFonts w:ascii="宋体" w:hAnsi="宋体" w:eastAsia="宋体"/>
                <w:sz w:val="16"/>
              </w:rPr>
              <w:t>目标1：建设室外绿化16493.1平方米、种植土方22170平方米、排水管网1763米、绿化给水管网7015米；</w:t>
            </w:r>
            <w:r>
              <w:rPr>
                <w:rFonts w:ascii="宋体" w:hAnsi="宋体" w:eastAsia="宋体"/>
                <w:sz w:val="16"/>
              </w:rPr>
              <w:br w:type="textWrapping"/>
            </w:r>
            <w:r>
              <w:rPr>
                <w:rFonts w:ascii="宋体" w:hAnsi="宋体" w:eastAsia="宋体"/>
                <w:sz w:val="16"/>
              </w:rPr>
              <w:t>目标2：进一步民丰县尼雅湾环境现状。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FB311">
            <w:pPr>
              <w:jc w:val="both"/>
            </w:pPr>
            <w:r>
              <w:rPr>
                <w:rFonts w:ascii="宋体" w:hAnsi="宋体" w:eastAsia="宋体"/>
                <w:sz w:val="16"/>
              </w:rPr>
              <w:t>截至2024年12月底，本项目预算安排373.89万元，实际支出271.19万元，预算执行率72.53%。项目已经完成建设室外绿化16493.1平方米、种植土方22170平方米、排水管网1763米、绿化给水管网7015米，通过项目实施，达到了改善民丰县尼雅湾环境现状的效果。</w:t>
            </w:r>
          </w:p>
        </w:tc>
      </w:tr>
      <w:tr w14:paraId="2C51D9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3B3C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3858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0EA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4CF2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F57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A51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6CB8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8E95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FE4C">
            <w:pPr>
              <w:jc w:val="center"/>
            </w:pPr>
            <w:r>
              <w:rPr>
                <w:rFonts w:ascii="宋体" w:hAnsi="宋体" w:eastAsia="宋体"/>
                <w:sz w:val="16"/>
              </w:rPr>
              <w:t>偏差原因分析及改进措施</w:t>
            </w:r>
          </w:p>
        </w:tc>
      </w:tr>
      <w:tr w14:paraId="26DE03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83C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272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FDFF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75B27">
            <w:pPr>
              <w:jc w:val="center"/>
            </w:pPr>
            <w:r>
              <w:rPr>
                <w:rFonts w:ascii="宋体" w:hAnsi="宋体" w:eastAsia="宋体"/>
                <w:sz w:val="16"/>
              </w:rPr>
              <w:t>室外绿化面积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8639D">
            <w:pPr>
              <w:jc w:val="center"/>
            </w:pPr>
            <w:r>
              <w:rPr>
                <w:rFonts w:ascii="宋体" w:hAnsi="宋体" w:eastAsia="宋体"/>
                <w:sz w:val="16"/>
              </w:rPr>
              <w:t>&gt;=16493.10平方米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9992">
            <w:pPr>
              <w:jc w:val="center"/>
            </w:pPr>
            <w:r>
              <w:rPr>
                <w:rFonts w:ascii="宋体" w:hAnsi="宋体" w:eastAsia="宋体"/>
                <w:sz w:val="16"/>
              </w:rPr>
              <w:t>=16493.1平方米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A962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065C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694C1">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553363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26C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A45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B0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1456">
            <w:pPr>
              <w:jc w:val="center"/>
            </w:pPr>
            <w:r>
              <w:rPr>
                <w:rFonts w:ascii="宋体" w:hAnsi="宋体" w:eastAsia="宋体"/>
                <w:sz w:val="16"/>
              </w:rPr>
              <w:t>种植土方面积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47B1">
            <w:pPr>
              <w:jc w:val="center"/>
            </w:pPr>
            <w:r>
              <w:rPr>
                <w:rFonts w:ascii="宋体" w:hAnsi="宋体" w:eastAsia="宋体"/>
                <w:sz w:val="16"/>
              </w:rPr>
              <w:t>&gt;=22170平方米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BB7FC">
            <w:pPr>
              <w:jc w:val="center"/>
            </w:pPr>
            <w:r>
              <w:rPr>
                <w:rFonts w:ascii="宋体" w:hAnsi="宋体" w:eastAsia="宋体"/>
                <w:sz w:val="16"/>
              </w:rPr>
              <w:t>=22170平方米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6224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8D4D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314B6">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2D7D6F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6AE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C43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D01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A8DE5">
            <w:pPr>
              <w:jc w:val="center"/>
            </w:pPr>
            <w:r>
              <w:rPr>
                <w:rFonts w:ascii="宋体" w:hAnsi="宋体" w:eastAsia="宋体"/>
                <w:sz w:val="16"/>
              </w:rPr>
              <w:t>新建排水管网长度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87934">
            <w:pPr>
              <w:jc w:val="center"/>
            </w:pPr>
            <w:r>
              <w:rPr>
                <w:rFonts w:ascii="宋体" w:hAnsi="宋体" w:eastAsia="宋体"/>
                <w:sz w:val="16"/>
              </w:rPr>
              <w:t>&gt;=1763米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CD6C5">
            <w:pPr>
              <w:jc w:val="center"/>
            </w:pPr>
            <w:r>
              <w:rPr>
                <w:rFonts w:ascii="宋体" w:hAnsi="宋体" w:eastAsia="宋体"/>
                <w:sz w:val="16"/>
              </w:rPr>
              <w:t>=1763米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D718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AAA2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0009B">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3F695E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726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5E8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BD0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6216D">
            <w:pPr>
              <w:jc w:val="center"/>
            </w:pPr>
            <w:r>
              <w:rPr>
                <w:rFonts w:ascii="宋体" w:hAnsi="宋体" w:eastAsia="宋体"/>
                <w:sz w:val="16"/>
              </w:rPr>
              <w:t>新建绿化给水管网长度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E0F3C">
            <w:pPr>
              <w:jc w:val="center"/>
            </w:pPr>
            <w:r>
              <w:rPr>
                <w:rFonts w:ascii="宋体" w:hAnsi="宋体" w:eastAsia="宋体"/>
                <w:sz w:val="16"/>
              </w:rPr>
              <w:t>&gt;=7015米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CCDAB">
            <w:pPr>
              <w:jc w:val="center"/>
            </w:pPr>
            <w:r>
              <w:rPr>
                <w:rFonts w:ascii="宋体" w:hAnsi="宋体" w:eastAsia="宋体"/>
                <w:sz w:val="16"/>
              </w:rPr>
              <w:t>=7015米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F0F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1220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1BD12">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22EF50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172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D25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8E1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7992F">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804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BE5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2D9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0752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4941F">
            <w:pPr>
              <w:jc w:val="center"/>
            </w:pPr>
            <w:r>
              <w:rPr>
                <w:rFonts w:ascii="宋体" w:hAnsi="宋体" w:eastAsia="宋体"/>
                <w:sz w:val="16"/>
              </w:rPr>
              <w:t>偏差原因：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2E0B2D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8A8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E77B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09B0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C1AD7">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D49B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1707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CB4C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B7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83A49">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1A6270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409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F6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5B0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BF7D2">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353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A5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3932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E7E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73BEF">
            <w:pPr>
              <w:jc w:val="center"/>
            </w:pPr>
            <w:r>
              <w:rPr>
                <w:rFonts w:ascii="宋体" w:hAnsi="宋体" w:eastAsia="宋体"/>
                <w:sz w:val="16"/>
              </w:rPr>
              <w:t>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40744E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E75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CA9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9945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8D1AD">
            <w:pPr>
              <w:jc w:val="center"/>
            </w:pPr>
            <w:r>
              <w:rPr>
                <w:rFonts w:ascii="宋体" w:hAnsi="宋体" w:eastAsia="宋体"/>
                <w:sz w:val="16"/>
              </w:rPr>
              <w:t>进一步民丰县尼雅湾环境现状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5CDA0">
            <w:pPr>
              <w:jc w:val="center"/>
            </w:pPr>
            <w:r>
              <w:rPr>
                <w:rFonts w:ascii="宋体" w:hAnsi="宋体" w:eastAsia="宋体"/>
                <w:sz w:val="16"/>
              </w:rPr>
              <w:t>明显提升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20800">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8D6A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ED7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C627">
            <w:pPr>
              <w:jc w:val="center"/>
            </w:pPr>
            <w:r>
              <w:rPr>
                <w:rFonts w:ascii="宋体" w:hAnsi="宋体" w:eastAsia="宋体"/>
                <w:sz w:val="16"/>
              </w:rPr>
              <w:t>偏差原因：由于前期规划没有充分考虑当地的气候、土壤、水源等自然条件，导致所选植物不适应在当地生长，存活率低；绿化项目所需的苗木、肥料、农药、工具等物资没有按照计划及时到达施工现场，导致施工人员无法正常开展工作；当地土壤质量较差，大规模土壤改良难度大，导致项目需要耗费大量的时间和精力。</w:t>
            </w:r>
          </w:p>
        </w:tc>
      </w:tr>
      <w:tr w14:paraId="7CFFC8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1CE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5B90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99E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E5A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5CC7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7007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C94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7A59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CC141">
            <w:pPr>
              <w:jc w:val="center"/>
            </w:pPr>
            <w:r>
              <w:rPr>
                <w:rFonts w:ascii="宋体" w:hAnsi="宋体" w:eastAsia="宋体"/>
                <w:sz w:val="16"/>
              </w:rPr>
              <w:t>偏差原因</w:t>
            </w:r>
            <w:r>
              <w:rPr>
                <w:rFonts w:hint="eastAsia" w:ascii="宋体" w:hAnsi="宋体"/>
                <w:sz w:val="16"/>
                <w:lang w:eastAsia="zh-CN"/>
              </w:rPr>
              <w:t>：因</w:t>
            </w:r>
            <w:r>
              <w:rPr>
                <w:rFonts w:ascii="宋体" w:hAnsi="宋体" w:eastAsia="宋体"/>
                <w:sz w:val="16"/>
              </w:rPr>
              <w:t>为该项目未实施完工，受益群众没有切身感受到该项目实施应该达到的效果。</w:t>
            </w:r>
          </w:p>
        </w:tc>
      </w:tr>
      <w:tr w14:paraId="39EC35D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4EFC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D6D1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11F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89718">
            <w:pPr>
              <w:jc w:val="center"/>
            </w:pPr>
            <w:r>
              <w:rPr>
                <w:rFonts w:ascii="宋体" w:hAnsi="宋体" w:eastAsia="宋体"/>
                <w:sz w:val="16"/>
              </w:rPr>
              <w:t>46.13分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FBF12B"/>
        </w:tc>
      </w:tr>
    </w:tbl>
    <w:p w14:paraId="149FC6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21E3C8">
        <w:tblPrEx>
          <w:tblCellMar>
            <w:top w:w="0" w:type="dxa"/>
            <w:left w:w="108" w:type="dxa"/>
            <w:bottom w:w="0" w:type="dxa"/>
            <w:right w:w="108" w:type="dxa"/>
          </w:tblCellMar>
        </w:tblPrEx>
        <w:tc>
          <w:tcPr>
            <w:tcW w:w="8847" w:type="dxa"/>
            <w:gridSpan w:val="9"/>
            <w:vAlign w:val="center"/>
          </w:tcPr>
          <w:p w14:paraId="21AC2ED9">
            <w:pPr>
              <w:jc w:val="center"/>
            </w:pPr>
            <w:r>
              <w:rPr>
                <w:rFonts w:ascii="宋体" w:hAnsi="宋体" w:eastAsia="宋体"/>
                <w:sz w:val="24"/>
              </w:rPr>
              <w:t>项目支出绩效自评表</w:t>
            </w:r>
          </w:p>
        </w:tc>
      </w:tr>
      <w:tr w14:paraId="46501AB0">
        <w:tblPrEx>
          <w:tblCellMar>
            <w:top w:w="0" w:type="dxa"/>
            <w:left w:w="108" w:type="dxa"/>
            <w:bottom w:w="0" w:type="dxa"/>
            <w:right w:w="108" w:type="dxa"/>
          </w:tblCellMar>
        </w:tblPrEx>
        <w:tc>
          <w:tcPr>
            <w:tcW w:w="8847" w:type="dxa"/>
            <w:gridSpan w:val="9"/>
            <w:vAlign w:val="center"/>
          </w:tcPr>
          <w:p w14:paraId="4610AF3A">
            <w:pPr>
              <w:jc w:val="center"/>
            </w:pPr>
            <w:r>
              <w:rPr>
                <w:rFonts w:ascii="宋体" w:hAnsi="宋体" w:eastAsia="宋体"/>
                <w:sz w:val="24"/>
              </w:rPr>
              <w:t>(2024年度)</w:t>
            </w:r>
          </w:p>
        </w:tc>
      </w:tr>
      <w:tr w14:paraId="01E2D7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D23E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3EECE8">
            <w:pPr>
              <w:jc w:val="center"/>
            </w:pPr>
            <w:r>
              <w:rPr>
                <w:rFonts w:ascii="宋体" w:hAnsi="宋体" w:eastAsia="宋体"/>
                <w:sz w:val="16"/>
              </w:rPr>
              <w:t>尼雅乡人民政府2023基本户结余资金</w:t>
            </w:r>
          </w:p>
        </w:tc>
      </w:tr>
      <w:tr w14:paraId="08525D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1ED2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381FC4">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25CC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319296">
            <w:pPr>
              <w:jc w:val="center"/>
            </w:pPr>
            <w:r>
              <w:rPr>
                <w:rFonts w:ascii="宋体" w:hAnsi="宋体" w:eastAsia="宋体"/>
                <w:sz w:val="16"/>
              </w:rPr>
              <w:t>民丰县尼雅乡人民政府</w:t>
            </w:r>
          </w:p>
        </w:tc>
      </w:tr>
      <w:tr w14:paraId="7BB80C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AE1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275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68D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B2AF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B6E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C7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7034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79B79">
            <w:pPr>
              <w:jc w:val="center"/>
            </w:pPr>
            <w:r>
              <w:rPr>
                <w:rFonts w:ascii="宋体" w:hAnsi="宋体" w:eastAsia="宋体"/>
                <w:sz w:val="16"/>
              </w:rPr>
              <w:t>得分</w:t>
            </w:r>
          </w:p>
        </w:tc>
      </w:tr>
      <w:tr w14:paraId="1A6172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A27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6CB2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9350D">
            <w:pPr>
              <w:jc w:val="center"/>
            </w:pPr>
            <w:r>
              <w:rPr>
                <w:rFonts w:ascii="宋体" w:hAnsi="宋体" w:eastAsia="宋体"/>
                <w:sz w:val="16"/>
              </w:rPr>
              <w:t>26.87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E7602">
            <w:pPr>
              <w:jc w:val="center"/>
            </w:pPr>
            <w:r>
              <w:rPr>
                <w:rFonts w:ascii="宋体" w:hAnsi="宋体" w:eastAsia="宋体"/>
                <w:sz w:val="16"/>
              </w:rPr>
              <w:t>26.87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FF1F6">
            <w:pPr>
              <w:jc w:val="center"/>
            </w:pPr>
            <w:r>
              <w:rPr>
                <w:rFonts w:ascii="宋体" w:hAnsi="宋体" w:eastAsia="宋体"/>
                <w:sz w:val="16"/>
              </w:rPr>
              <w:t>24.88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619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1AF82">
            <w:pPr>
              <w:jc w:val="center"/>
            </w:pPr>
            <w:r>
              <w:rPr>
                <w:rFonts w:ascii="宋体" w:hAnsi="宋体" w:eastAsia="宋体"/>
                <w:sz w:val="16"/>
              </w:rPr>
              <w:t xml:space="preserve">92.59%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D5CA2">
            <w:pPr>
              <w:jc w:val="center"/>
            </w:pPr>
            <w:r>
              <w:rPr>
                <w:rFonts w:ascii="宋体" w:hAnsi="宋体" w:eastAsia="宋体"/>
                <w:sz w:val="16"/>
              </w:rPr>
              <w:t>8.15分</w:t>
            </w:r>
          </w:p>
        </w:tc>
      </w:tr>
      <w:tr w14:paraId="4D062D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C01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89F4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010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C3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18B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316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27B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C3470">
            <w:pPr>
              <w:jc w:val="center"/>
            </w:pPr>
            <w:r>
              <w:rPr>
                <w:rFonts w:ascii="宋体" w:hAnsi="宋体" w:eastAsia="宋体"/>
                <w:sz w:val="16"/>
              </w:rPr>
              <w:t>—</w:t>
            </w:r>
          </w:p>
        </w:tc>
      </w:tr>
      <w:tr w14:paraId="7944D9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16A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1CA1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B0F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BAE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39B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EB5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187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3766F">
            <w:pPr>
              <w:jc w:val="center"/>
            </w:pPr>
            <w:r>
              <w:rPr>
                <w:rFonts w:ascii="宋体" w:hAnsi="宋体" w:eastAsia="宋体"/>
                <w:sz w:val="16"/>
              </w:rPr>
              <w:t>—</w:t>
            </w:r>
          </w:p>
        </w:tc>
      </w:tr>
      <w:tr w14:paraId="73A63C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091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619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E2A13">
            <w:pPr>
              <w:jc w:val="center"/>
            </w:pPr>
            <w:r>
              <w:rPr>
                <w:rFonts w:ascii="宋体" w:hAnsi="宋体" w:eastAsia="宋体"/>
                <w:sz w:val="16"/>
              </w:rPr>
              <w:t>26.87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65560">
            <w:pPr>
              <w:jc w:val="center"/>
            </w:pPr>
            <w:r>
              <w:rPr>
                <w:rFonts w:ascii="宋体" w:hAnsi="宋体" w:eastAsia="宋体"/>
                <w:sz w:val="16"/>
              </w:rPr>
              <w:t>26.87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9CFA0">
            <w:pPr>
              <w:jc w:val="center"/>
            </w:pPr>
            <w:r>
              <w:rPr>
                <w:rFonts w:ascii="宋体" w:hAnsi="宋体" w:eastAsia="宋体"/>
                <w:sz w:val="16"/>
              </w:rPr>
              <w:t>24.88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300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A33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12E78">
            <w:pPr>
              <w:jc w:val="center"/>
            </w:pPr>
            <w:r>
              <w:rPr>
                <w:rFonts w:ascii="宋体" w:hAnsi="宋体" w:eastAsia="宋体"/>
                <w:sz w:val="16"/>
              </w:rPr>
              <w:t>—</w:t>
            </w:r>
          </w:p>
        </w:tc>
      </w:tr>
      <w:tr w14:paraId="3E514C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BE8D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781F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09F706">
            <w:pPr>
              <w:jc w:val="center"/>
            </w:pPr>
            <w:r>
              <w:rPr>
                <w:rFonts w:ascii="宋体" w:hAnsi="宋体" w:eastAsia="宋体"/>
                <w:sz w:val="16"/>
              </w:rPr>
              <w:t>实际完成情况</w:t>
            </w:r>
          </w:p>
        </w:tc>
      </w:tr>
      <w:tr w14:paraId="0A2C6A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7B7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35CF5E">
            <w:pPr>
              <w:jc w:val="both"/>
            </w:pPr>
            <w:r>
              <w:rPr>
                <w:rFonts w:ascii="宋体" w:hAnsi="宋体" w:eastAsia="宋体"/>
                <w:sz w:val="16"/>
              </w:rPr>
              <w:t>根据《尼雅乡人民政府2023基本户结余资金》实施方案，实施本项目。保障我单位115名在职人员经费支出。通过项目的实施，保障我单位日常工作正常运行，提高公共服务能力。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9067CA">
            <w:pPr>
              <w:jc w:val="both"/>
            </w:pPr>
            <w:r>
              <w:rPr>
                <w:rFonts w:ascii="宋体" w:hAnsi="宋体" w:eastAsia="宋体"/>
                <w:sz w:val="16"/>
              </w:rPr>
              <w:t>截至2024年12月底，本项目预算安排26.87万元，实际支出24.88万元，预算执行率92.59%。项目已经完成我单位115名在职人员经费支出，通过项目实施，达到了保障我单位日常工作正常运行，提高公共服务能力的效果</w:t>
            </w:r>
          </w:p>
        </w:tc>
      </w:tr>
      <w:tr w14:paraId="470D8C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C71B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E9A5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773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4FB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1C97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5018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14B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6462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82578">
            <w:pPr>
              <w:jc w:val="center"/>
            </w:pPr>
            <w:r>
              <w:rPr>
                <w:rFonts w:ascii="宋体" w:hAnsi="宋体" w:eastAsia="宋体"/>
                <w:sz w:val="16"/>
              </w:rPr>
              <w:t>偏差原因分析及改进措施</w:t>
            </w:r>
          </w:p>
        </w:tc>
      </w:tr>
      <w:tr w14:paraId="6FD174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C431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E572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6ED5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20B43">
            <w:pPr>
              <w:jc w:val="center"/>
            </w:pPr>
            <w:r>
              <w:rPr>
                <w:rFonts w:ascii="宋体" w:hAnsi="宋体" w:eastAsia="宋体"/>
                <w:sz w:val="16"/>
              </w:rPr>
              <w:t>单位在职工作人员数量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05954">
            <w:pPr>
              <w:jc w:val="center"/>
            </w:pPr>
            <w:r>
              <w:rPr>
                <w:rFonts w:ascii="宋体" w:hAnsi="宋体" w:eastAsia="宋体"/>
                <w:sz w:val="16"/>
              </w:rPr>
              <w:t>&lt;=115人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0B01">
            <w:pPr>
              <w:jc w:val="center"/>
            </w:pPr>
            <w:r>
              <w:rPr>
                <w:rFonts w:ascii="宋体" w:hAnsi="宋体" w:eastAsia="宋体"/>
                <w:sz w:val="16"/>
              </w:rPr>
              <w: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F04FA">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73E8A">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898B">
            <w:pPr>
              <w:jc w:val="center"/>
            </w:pPr>
          </w:p>
        </w:tc>
      </w:tr>
      <w:tr w14:paraId="734358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6ED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F36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429C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7B868">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1F8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C9A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9B336">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2D38D">
            <w:pPr>
              <w:jc w:val="center"/>
            </w:pPr>
            <w:r>
              <w:rPr>
                <w:rFonts w:ascii="宋体" w:hAnsi="宋体" w:eastAsia="宋体"/>
                <w:sz w:val="16"/>
              </w:rPr>
              <w:t>10.59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29414">
            <w:pPr>
              <w:jc w:val="center"/>
            </w:pPr>
            <w:r>
              <w:rPr>
                <w:rFonts w:ascii="宋体" w:hAnsi="宋体" w:eastAsia="宋体"/>
                <w:sz w:val="16"/>
              </w:rPr>
              <w:t>偏差原因：项目已完成，剩余资金为正常结转结余，改进措施：后期精准年初预算。</w:t>
            </w:r>
          </w:p>
        </w:tc>
      </w:tr>
      <w:tr w14:paraId="209EA7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7A1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D30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5E32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EA31C">
            <w:pPr>
              <w:jc w:val="center"/>
            </w:pPr>
            <w:r>
              <w:rPr>
                <w:rFonts w:ascii="宋体" w:hAnsi="宋体" w:eastAsia="宋体"/>
                <w:sz w:val="16"/>
              </w:rPr>
              <w:t>经费支付及时性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724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557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BBB9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3342D">
            <w:pPr>
              <w:jc w:val="center"/>
            </w:pPr>
            <w:r>
              <w:rPr>
                <w:rFonts w:ascii="宋体" w:hAnsi="宋体" w:eastAsia="宋体"/>
                <w:sz w:val="16"/>
              </w:rPr>
              <w:t>10.59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80C37">
            <w:pPr>
              <w:jc w:val="center"/>
            </w:pPr>
            <w:r>
              <w:rPr>
                <w:rFonts w:ascii="宋体" w:hAnsi="宋体" w:eastAsia="宋体"/>
                <w:sz w:val="16"/>
              </w:rPr>
              <w:t>偏差原因：项目已完成，剩余资金为正常结转结余，改进措施：后期精准年初预算。</w:t>
            </w:r>
          </w:p>
        </w:tc>
      </w:tr>
      <w:tr w14:paraId="74ABB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F63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D582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2625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6C5E1">
            <w:pPr>
              <w:jc w:val="center"/>
            </w:pPr>
            <w:r>
              <w:rPr>
                <w:rFonts w:ascii="宋体" w:hAnsi="宋体" w:eastAsia="宋体"/>
                <w:sz w:val="16"/>
              </w:rPr>
              <w:t>每次支付资金数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6021">
            <w:pPr>
              <w:jc w:val="center"/>
            </w:pPr>
            <w:r>
              <w:rPr>
                <w:rFonts w:ascii="宋体" w:hAnsi="宋体" w:eastAsia="宋体"/>
                <w:sz w:val="16"/>
              </w:rPr>
              <w:t>&lt;=0.23万元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C1A3B">
            <w:pPr>
              <w:jc w:val="center"/>
            </w:pPr>
            <w:r>
              <w:rPr>
                <w:rFonts w:ascii="宋体" w:hAnsi="宋体" w:eastAsia="宋体"/>
                <w:sz w:val="16"/>
              </w:rPr>
              <w:t>=0.22万元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5B7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D70AC">
            <w:pPr>
              <w:jc w:val="center"/>
            </w:pPr>
            <w:r>
              <w:rPr>
                <w:rFonts w:ascii="宋体" w:hAnsi="宋体" w:eastAsia="宋体"/>
                <w:sz w:val="16"/>
              </w:rPr>
              <w:t>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53EED">
            <w:pPr>
              <w:jc w:val="center"/>
            </w:pPr>
            <w:r>
              <w:rPr>
                <w:rFonts w:ascii="宋体" w:hAnsi="宋体" w:eastAsia="宋体"/>
                <w:sz w:val="16"/>
              </w:rPr>
              <w:t>偏差原因：项目已完成，剩余资金为正常结转结余，改进措施：后期精准年初预算。</w:t>
            </w:r>
          </w:p>
        </w:tc>
      </w:tr>
      <w:tr w14:paraId="33CB6F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EB0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F334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B073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89E3D">
            <w:pPr>
              <w:jc w:val="center"/>
            </w:pPr>
            <w:r>
              <w:rPr>
                <w:rFonts w:ascii="宋体" w:hAnsi="宋体" w:eastAsia="宋体"/>
                <w:sz w:val="16"/>
              </w:rPr>
              <w:t>保障单位日常工作运转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8A01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309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0F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02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681D">
            <w:pPr>
              <w:jc w:val="center"/>
            </w:pPr>
          </w:p>
        </w:tc>
      </w:tr>
      <w:tr w14:paraId="56B99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69A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272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949B">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A6DE">
            <w:pPr>
              <w:jc w:val="center"/>
            </w:pPr>
            <w:r>
              <w:rPr>
                <w:rFonts w:ascii="宋体" w:hAnsi="宋体" w:eastAsia="宋体"/>
                <w:sz w:val="16"/>
              </w:rPr>
              <w:t>提高公共服务能力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49BA0">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4E07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262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C04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D84D1">
            <w:pPr>
              <w:jc w:val="center"/>
            </w:pPr>
            <w:r>
              <w:rPr>
                <w:rFonts w:ascii="宋体" w:hAnsi="宋体" w:eastAsia="宋体"/>
                <w:sz w:val="16"/>
              </w:rPr>
              <w:t>公共服务能力发挥不完全。</w:t>
            </w:r>
          </w:p>
        </w:tc>
      </w:tr>
      <w:tr w14:paraId="6B92E2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708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7094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D3F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972E1">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5D6E0">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F4C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6E6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A10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04D3F">
            <w:pPr>
              <w:jc w:val="center"/>
            </w:pPr>
          </w:p>
        </w:tc>
      </w:tr>
      <w:tr w14:paraId="751A414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93F84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47EE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03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D614E">
            <w:pPr>
              <w:jc w:val="center"/>
            </w:pPr>
            <w:r>
              <w:rPr>
                <w:rFonts w:ascii="宋体" w:hAnsi="宋体" w:eastAsia="宋体"/>
                <w:sz w:val="16"/>
              </w:rPr>
              <w:t>89.63分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D308F2"/>
        </w:tc>
      </w:tr>
    </w:tbl>
    <w:p w14:paraId="79F0CE6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53FBD2">
        <w:tblPrEx>
          <w:tblCellMar>
            <w:top w:w="0" w:type="dxa"/>
            <w:left w:w="108" w:type="dxa"/>
            <w:bottom w:w="0" w:type="dxa"/>
            <w:right w:w="108" w:type="dxa"/>
          </w:tblCellMar>
        </w:tblPrEx>
        <w:tc>
          <w:tcPr>
            <w:tcW w:w="8847" w:type="dxa"/>
            <w:gridSpan w:val="9"/>
            <w:vAlign w:val="center"/>
          </w:tcPr>
          <w:p w14:paraId="03BA518F">
            <w:pPr>
              <w:jc w:val="center"/>
            </w:pPr>
            <w:r>
              <w:rPr>
                <w:rFonts w:ascii="宋体" w:hAnsi="宋体" w:eastAsia="宋体"/>
                <w:sz w:val="24"/>
              </w:rPr>
              <w:t>项目支出绩效自评表</w:t>
            </w:r>
          </w:p>
        </w:tc>
      </w:tr>
      <w:tr w14:paraId="2FF8E12D">
        <w:tblPrEx>
          <w:tblCellMar>
            <w:top w:w="0" w:type="dxa"/>
            <w:left w:w="108" w:type="dxa"/>
            <w:bottom w:w="0" w:type="dxa"/>
            <w:right w:w="108" w:type="dxa"/>
          </w:tblCellMar>
        </w:tblPrEx>
        <w:tc>
          <w:tcPr>
            <w:tcW w:w="8847" w:type="dxa"/>
            <w:gridSpan w:val="9"/>
            <w:vAlign w:val="center"/>
          </w:tcPr>
          <w:p w14:paraId="548ECCA6">
            <w:pPr>
              <w:jc w:val="center"/>
            </w:pPr>
            <w:r>
              <w:rPr>
                <w:rFonts w:ascii="宋体" w:hAnsi="宋体" w:eastAsia="宋体"/>
                <w:sz w:val="24"/>
              </w:rPr>
              <w:t>(2024年度)</w:t>
            </w:r>
          </w:p>
        </w:tc>
      </w:tr>
      <w:tr w14:paraId="62F4CF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E53F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49A0D5">
            <w:pPr>
              <w:jc w:val="center"/>
            </w:pPr>
            <w:r>
              <w:rPr>
                <w:rFonts w:ascii="宋体" w:hAnsi="宋体" w:eastAsia="宋体"/>
                <w:sz w:val="16"/>
              </w:rPr>
              <w:t>尼雅乡村级运转经费项目</w:t>
            </w:r>
          </w:p>
        </w:tc>
      </w:tr>
      <w:tr w14:paraId="1B1DD6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88FC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647479">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AE9A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F5E7E3">
            <w:pPr>
              <w:jc w:val="center"/>
            </w:pPr>
            <w:r>
              <w:rPr>
                <w:rFonts w:ascii="宋体" w:hAnsi="宋体" w:eastAsia="宋体"/>
                <w:sz w:val="16"/>
              </w:rPr>
              <w:t>民丰县尼雅乡人民政府</w:t>
            </w:r>
          </w:p>
        </w:tc>
      </w:tr>
      <w:tr w14:paraId="6C7CA0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3A0D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5C0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AEE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81E6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769D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6E3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49B2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2248">
            <w:pPr>
              <w:jc w:val="center"/>
            </w:pPr>
            <w:r>
              <w:rPr>
                <w:rFonts w:ascii="宋体" w:hAnsi="宋体" w:eastAsia="宋体"/>
                <w:sz w:val="16"/>
              </w:rPr>
              <w:t>得分</w:t>
            </w:r>
          </w:p>
        </w:tc>
      </w:tr>
      <w:tr w14:paraId="3AF48D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468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4B74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2B1EE">
            <w:pPr>
              <w:jc w:val="center"/>
            </w:pPr>
            <w:r>
              <w:rPr>
                <w:rFonts w:ascii="宋体" w:hAnsi="宋体" w:eastAsia="宋体"/>
                <w:sz w:val="16"/>
              </w:rPr>
              <w:t>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7B6D">
            <w:pPr>
              <w:jc w:val="center"/>
            </w:pPr>
            <w:r>
              <w:rPr>
                <w:rFonts w:ascii="宋体" w:hAnsi="宋体" w:eastAsia="宋体"/>
                <w:sz w:val="16"/>
              </w:rPr>
              <w:t>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0E304">
            <w:pPr>
              <w:jc w:val="center"/>
            </w:pPr>
            <w:r>
              <w:rPr>
                <w:rFonts w:ascii="宋体" w:hAnsi="宋体" w:eastAsia="宋体"/>
                <w:sz w:val="16"/>
              </w:rPr>
              <w:t>64.63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DB5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908C3">
            <w:pPr>
              <w:jc w:val="center"/>
            </w:pPr>
            <w:r>
              <w:rPr>
                <w:rFonts w:ascii="宋体" w:hAnsi="宋体" w:eastAsia="宋体"/>
                <w:sz w:val="16"/>
              </w:rPr>
              <w:t xml:space="preserve">97.92%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A5FCF">
            <w:pPr>
              <w:jc w:val="center"/>
            </w:pPr>
            <w:r>
              <w:rPr>
                <w:rFonts w:ascii="宋体" w:hAnsi="宋体" w:eastAsia="宋体"/>
                <w:sz w:val="16"/>
              </w:rPr>
              <w:t>9.48分</w:t>
            </w:r>
          </w:p>
        </w:tc>
      </w:tr>
      <w:tr w14:paraId="110ED3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3A6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CB64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4757A">
            <w:pPr>
              <w:jc w:val="center"/>
            </w:pPr>
            <w:r>
              <w:rPr>
                <w:rFonts w:ascii="宋体" w:hAnsi="宋体" w:eastAsia="宋体"/>
                <w:sz w:val="16"/>
              </w:rPr>
              <w:t>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83D96">
            <w:pPr>
              <w:jc w:val="center"/>
            </w:pPr>
            <w:r>
              <w:rPr>
                <w:rFonts w:ascii="宋体" w:hAnsi="宋体" w:eastAsia="宋体"/>
                <w:sz w:val="16"/>
              </w:rPr>
              <w:t>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7D114">
            <w:pPr>
              <w:jc w:val="center"/>
            </w:pPr>
            <w:r>
              <w:rPr>
                <w:rFonts w:ascii="宋体" w:hAnsi="宋体" w:eastAsia="宋体"/>
                <w:sz w:val="16"/>
              </w:rPr>
              <w:t>64.63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21D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79C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150F1">
            <w:pPr>
              <w:jc w:val="center"/>
            </w:pPr>
            <w:r>
              <w:rPr>
                <w:rFonts w:ascii="宋体" w:hAnsi="宋体" w:eastAsia="宋体"/>
                <w:sz w:val="16"/>
              </w:rPr>
              <w:t>—</w:t>
            </w:r>
          </w:p>
        </w:tc>
      </w:tr>
      <w:tr w14:paraId="612020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12C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132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74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AF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85E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9B7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B1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AC84F">
            <w:pPr>
              <w:jc w:val="center"/>
            </w:pPr>
            <w:r>
              <w:rPr>
                <w:rFonts w:ascii="宋体" w:hAnsi="宋体" w:eastAsia="宋体"/>
                <w:sz w:val="16"/>
              </w:rPr>
              <w:t>—</w:t>
            </w:r>
          </w:p>
        </w:tc>
      </w:tr>
      <w:tr w14:paraId="4B1726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89F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6964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7F0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C72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1C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0A2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1A5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C2DFD">
            <w:pPr>
              <w:jc w:val="center"/>
            </w:pPr>
            <w:r>
              <w:rPr>
                <w:rFonts w:ascii="宋体" w:hAnsi="宋体" w:eastAsia="宋体"/>
                <w:sz w:val="16"/>
              </w:rPr>
              <w:t>—</w:t>
            </w:r>
          </w:p>
        </w:tc>
      </w:tr>
      <w:tr w14:paraId="1FB0F3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0AF0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CCB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F15E53">
            <w:pPr>
              <w:jc w:val="center"/>
            </w:pPr>
            <w:r>
              <w:rPr>
                <w:rFonts w:ascii="宋体" w:hAnsi="宋体" w:eastAsia="宋体"/>
                <w:sz w:val="16"/>
              </w:rPr>
              <w:t>实际完成情况</w:t>
            </w:r>
          </w:p>
        </w:tc>
      </w:tr>
      <w:tr w14:paraId="598A17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C1F5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622592">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解决6个行政村后备干部工资、水电费、公用经费等费用。</w:t>
            </w:r>
            <w:r>
              <w:rPr>
                <w:rFonts w:ascii="宋体" w:hAnsi="宋体" w:eastAsia="宋体"/>
                <w:sz w:val="16"/>
              </w:rPr>
              <w:br w:type="textWrapping"/>
            </w:r>
            <w:r>
              <w:rPr>
                <w:rFonts w:ascii="宋体" w:hAnsi="宋体" w:eastAsia="宋体"/>
                <w:sz w:val="16"/>
              </w:rPr>
              <w:t>目标2：通过项目实施，全面落实好新农村组织建设的要求，满足村级办公需要。不断加强组织建设，加强村级治理，为乡村振兴提供组织保障。加强村干部队伍建设，提高基层党组织服务群众能力。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AFE74">
            <w:pPr>
              <w:jc w:val="both"/>
            </w:pPr>
            <w:r>
              <w:rPr>
                <w:rFonts w:ascii="宋体" w:hAnsi="宋体" w:eastAsia="宋体"/>
                <w:sz w:val="16"/>
              </w:rPr>
              <w:t>截至2024年12月底，本项目预算安排66万元，实际支出64.63万元，预算执行率97.92%。项目已经完成6个行政村后备干部工资、水电费、公用经费等费用。 通过项目实施，达到了全面落实好新农村组织建设的要求，满足村级办公需要。不断加强组织建设，加强村级治理，为乡村振兴提供组织保障。加强村干部队伍建设，提高基层党组织服务群众能力。</w:t>
            </w:r>
          </w:p>
        </w:tc>
      </w:tr>
      <w:tr w14:paraId="475DF9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4E2DD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3BCF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65A1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5D9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469C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82D3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628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6849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7063">
            <w:pPr>
              <w:jc w:val="center"/>
            </w:pPr>
            <w:r>
              <w:rPr>
                <w:rFonts w:ascii="宋体" w:hAnsi="宋体" w:eastAsia="宋体"/>
                <w:sz w:val="16"/>
              </w:rPr>
              <w:t>偏差原因分析及改进措施</w:t>
            </w:r>
          </w:p>
        </w:tc>
      </w:tr>
      <w:tr w14:paraId="44EB1A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0785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C669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B883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5A915">
            <w:pPr>
              <w:jc w:val="center"/>
            </w:pPr>
            <w:r>
              <w:rPr>
                <w:rFonts w:ascii="宋体" w:hAnsi="宋体" w:eastAsia="宋体"/>
                <w:sz w:val="16"/>
              </w:rPr>
              <w:t>保障全乡行政村数量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25743">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9CF4B">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046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F66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EA642">
            <w:pPr>
              <w:jc w:val="center"/>
            </w:pPr>
          </w:p>
        </w:tc>
      </w:tr>
      <w:tr w14:paraId="7C8BA7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744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B0B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4534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D3FDF">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1F9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ACF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00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566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C0AE3">
            <w:pPr>
              <w:jc w:val="center"/>
            </w:pPr>
          </w:p>
        </w:tc>
      </w:tr>
      <w:tr w14:paraId="4390E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60D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BB16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10CC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62F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6A3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0C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F6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B35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D088">
            <w:pPr>
              <w:jc w:val="center"/>
            </w:pPr>
          </w:p>
        </w:tc>
      </w:tr>
      <w:tr w14:paraId="2AFE02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E1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3E7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6DB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B075B">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215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AB6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4C3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9AF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270AD">
            <w:pPr>
              <w:jc w:val="center"/>
            </w:pPr>
          </w:p>
        </w:tc>
      </w:tr>
      <w:tr w14:paraId="7A418E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C0A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4BC7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A2F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04394">
            <w:pPr>
              <w:jc w:val="center"/>
            </w:pPr>
            <w:r>
              <w:rPr>
                <w:rFonts w:ascii="宋体" w:hAnsi="宋体" w:eastAsia="宋体"/>
                <w:sz w:val="16"/>
              </w:rPr>
              <w:t>保障每村日常运行成本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18B4">
            <w:pPr>
              <w:jc w:val="center"/>
            </w:pPr>
            <w:r>
              <w:rPr>
                <w:rFonts w:ascii="宋体" w:hAnsi="宋体" w:eastAsia="宋体"/>
                <w:sz w:val="16"/>
              </w:rPr>
              <w:t>&lt;=11万元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10E0B">
            <w:pPr>
              <w:jc w:val="center"/>
            </w:pPr>
            <w:r>
              <w:rPr>
                <w:rFonts w:ascii="宋体" w:hAnsi="宋体" w:eastAsia="宋体"/>
                <w:sz w:val="16"/>
              </w:rPr>
              <w:t>=10.77万元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D58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35AD2">
            <w:pPr>
              <w:jc w:val="center"/>
            </w:pPr>
            <w:r>
              <w:rPr>
                <w:rFonts w:ascii="宋体" w:hAnsi="宋体" w:eastAsia="宋体"/>
                <w:sz w:val="16"/>
              </w:rPr>
              <w:t>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3F6D">
            <w:pPr>
              <w:jc w:val="center"/>
            </w:pPr>
            <w:r>
              <w:rPr>
                <w:rFonts w:ascii="宋体" w:hAnsi="宋体" w:eastAsia="宋体"/>
                <w:sz w:val="16"/>
              </w:rPr>
              <w:t>偏差原因：部分村电费、网络费支付材料不完善，在规定时间未支付退回财政；改进措施：加强预算管理。</w:t>
            </w:r>
          </w:p>
        </w:tc>
      </w:tr>
      <w:tr w14:paraId="58AAE6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A2C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B1A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6C42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A2E5">
            <w:pPr>
              <w:jc w:val="center"/>
            </w:pPr>
            <w:r>
              <w:rPr>
                <w:rFonts w:ascii="宋体" w:hAnsi="宋体" w:eastAsia="宋体"/>
                <w:sz w:val="16"/>
              </w:rPr>
              <w:t>建设村集体组织，加强基层社会管理和服务能力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6775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271E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472D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A42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88172">
            <w:pPr>
              <w:jc w:val="center"/>
            </w:pPr>
          </w:p>
        </w:tc>
      </w:tr>
      <w:tr w14:paraId="54DAA8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7AD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BDC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F2A6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1246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875A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BE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B51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388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EA32B">
            <w:pPr>
              <w:jc w:val="center"/>
            </w:pPr>
          </w:p>
        </w:tc>
      </w:tr>
      <w:tr w14:paraId="49C022C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619ED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68FF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128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5D81F">
            <w:pPr>
              <w:jc w:val="center"/>
            </w:pPr>
            <w:r>
              <w:rPr>
                <w:rFonts w:ascii="宋体" w:hAnsi="宋体" w:eastAsia="宋体"/>
                <w:sz w:val="16"/>
              </w:rPr>
              <w:t>98.48分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96C5FB"/>
        </w:tc>
      </w:tr>
    </w:tbl>
    <w:p w14:paraId="1450DC9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E2E684">
        <w:tblPrEx>
          <w:tblCellMar>
            <w:top w:w="0" w:type="dxa"/>
            <w:left w:w="108" w:type="dxa"/>
            <w:bottom w:w="0" w:type="dxa"/>
            <w:right w:w="108" w:type="dxa"/>
          </w:tblCellMar>
        </w:tblPrEx>
        <w:tc>
          <w:tcPr>
            <w:tcW w:w="8847" w:type="dxa"/>
            <w:gridSpan w:val="9"/>
            <w:vAlign w:val="center"/>
          </w:tcPr>
          <w:p w14:paraId="28C61357">
            <w:pPr>
              <w:jc w:val="center"/>
            </w:pPr>
            <w:r>
              <w:rPr>
                <w:rFonts w:ascii="宋体" w:hAnsi="宋体" w:eastAsia="宋体"/>
                <w:sz w:val="24"/>
              </w:rPr>
              <w:t>项目支出绩效自评表</w:t>
            </w:r>
          </w:p>
        </w:tc>
      </w:tr>
      <w:tr w14:paraId="7C33082C">
        <w:tblPrEx>
          <w:tblCellMar>
            <w:top w:w="0" w:type="dxa"/>
            <w:left w:w="108" w:type="dxa"/>
            <w:bottom w:w="0" w:type="dxa"/>
            <w:right w:w="108" w:type="dxa"/>
          </w:tblCellMar>
        </w:tblPrEx>
        <w:tc>
          <w:tcPr>
            <w:tcW w:w="8847" w:type="dxa"/>
            <w:gridSpan w:val="9"/>
            <w:vAlign w:val="center"/>
          </w:tcPr>
          <w:p w14:paraId="52B1D3B8">
            <w:pPr>
              <w:jc w:val="center"/>
            </w:pPr>
            <w:r>
              <w:rPr>
                <w:rFonts w:ascii="宋体" w:hAnsi="宋体" w:eastAsia="宋体"/>
                <w:sz w:val="24"/>
              </w:rPr>
              <w:t>(2024年度)</w:t>
            </w:r>
          </w:p>
        </w:tc>
      </w:tr>
      <w:tr w14:paraId="44E76D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BD88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426138D">
            <w:pPr>
              <w:jc w:val="center"/>
            </w:pPr>
            <w:r>
              <w:rPr>
                <w:rFonts w:ascii="宋体" w:hAnsi="宋体" w:eastAsia="宋体"/>
                <w:sz w:val="16"/>
              </w:rPr>
              <w:t>民丰县尼雅乡光明村村容村貌改造项目</w:t>
            </w:r>
          </w:p>
        </w:tc>
      </w:tr>
      <w:tr w14:paraId="5ACDA2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9EFA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F3D2A9">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274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750CA3">
            <w:pPr>
              <w:jc w:val="center"/>
            </w:pPr>
            <w:r>
              <w:rPr>
                <w:rFonts w:ascii="宋体" w:hAnsi="宋体" w:eastAsia="宋体"/>
                <w:sz w:val="16"/>
              </w:rPr>
              <w:t>民丰县尼雅乡人民政府</w:t>
            </w:r>
          </w:p>
        </w:tc>
      </w:tr>
      <w:tr w14:paraId="1B0AB6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2349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8BD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110F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ADBC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B182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DE0E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7A8A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24357">
            <w:pPr>
              <w:jc w:val="center"/>
            </w:pPr>
            <w:r>
              <w:rPr>
                <w:rFonts w:ascii="宋体" w:hAnsi="宋体" w:eastAsia="宋体"/>
                <w:sz w:val="16"/>
              </w:rPr>
              <w:t>得分</w:t>
            </w:r>
          </w:p>
        </w:tc>
      </w:tr>
      <w:tr w14:paraId="4C82C6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17A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FDA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2D768">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E4171">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6749B">
            <w:pPr>
              <w:jc w:val="center"/>
            </w:pPr>
            <w:r>
              <w:rPr>
                <w:rFonts w:ascii="宋体" w:hAnsi="宋体" w:eastAsia="宋体"/>
                <w:sz w:val="16"/>
              </w:rPr>
              <w:t>48.95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D5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A4796">
            <w:pPr>
              <w:jc w:val="center"/>
            </w:pPr>
            <w:r>
              <w:rPr>
                <w:rFonts w:ascii="宋体" w:hAnsi="宋体" w:eastAsia="宋体"/>
                <w:sz w:val="16"/>
              </w:rPr>
              <w:t xml:space="preserve">97.90%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BC19">
            <w:pPr>
              <w:jc w:val="center"/>
            </w:pPr>
            <w:r>
              <w:rPr>
                <w:rFonts w:ascii="宋体" w:hAnsi="宋体" w:eastAsia="宋体"/>
                <w:sz w:val="16"/>
              </w:rPr>
              <w:t>10.00分</w:t>
            </w:r>
          </w:p>
        </w:tc>
      </w:tr>
      <w:tr w14:paraId="455327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DC3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04D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80D44">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7268F">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55452">
            <w:pPr>
              <w:jc w:val="center"/>
            </w:pPr>
            <w:r>
              <w:rPr>
                <w:rFonts w:ascii="宋体" w:hAnsi="宋体" w:eastAsia="宋体"/>
                <w:sz w:val="16"/>
              </w:rPr>
              <w:t>48.95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7B4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38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C4A85">
            <w:pPr>
              <w:jc w:val="center"/>
            </w:pPr>
            <w:r>
              <w:rPr>
                <w:rFonts w:ascii="宋体" w:hAnsi="宋体" w:eastAsia="宋体"/>
                <w:sz w:val="16"/>
              </w:rPr>
              <w:t>—</w:t>
            </w:r>
          </w:p>
        </w:tc>
      </w:tr>
      <w:tr w14:paraId="2EE242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CFC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9E6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4A1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73F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271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2B2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9A7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FE79E">
            <w:pPr>
              <w:jc w:val="center"/>
            </w:pPr>
            <w:r>
              <w:rPr>
                <w:rFonts w:ascii="宋体" w:hAnsi="宋体" w:eastAsia="宋体"/>
                <w:sz w:val="16"/>
              </w:rPr>
              <w:t>—</w:t>
            </w:r>
          </w:p>
        </w:tc>
      </w:tr>
      <w:tr w14:paraId="386B31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068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490B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D4D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8C4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688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8B6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80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C85C2">
            <w:pPr>
              <w:jc w:val="center"/>
            </w:pPr>
            <w:r>
              <w:rPr>
                <w:rFonts w:ascii="宋体" w:hAnsi="宋体" w:eastAsia="宋体"/>
                <w:sz w:val="16"/>
              </w:rPr>
              <w:t>—</w:t>
            </w:r>
          </w:p>
        </w:tc>
      </w:tr>
      <w:tr w14:paraId="0ACA75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192C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E0719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616BB1">
            <w:pPr>
              <w:jc w:val="center"/>
            </w:pPr>
            <w:r>
              <w:rPr>
                <w:rFonts w:ascii="宋体" w:hAnsi="宋体" w:eastAsia="宋体"/>
                <w:sz w:val="16"/>
              </w:rPr>
              <w:t>实际完成情况</w:t>
            </w:r>
          </w:p>
        </w:tc>
      </w:tr>
      <w:tr w14:paraId="1E6C97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02EE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CECAD">
            <w:pPr>
              <w:jc w:val="both"/>
            </w:pPr>
            <w:r>
              <w:rPr>
                <w:rFonts w:ascii="宋体" w:hAnsi="宋体" w:eastAsia="宋体"/>
                <w:sz w:val="16"/>
              </w:rPr>
              <w:t>支持村内公益设施建设1个，有效改善农村生态环境，基本建立农村公益事业滚动项目库。</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A9B24">
            <w:pPr>
              <w:jc w:val="both"/>
            </w:pPr>
            <w:r>
              <w:rPr>
                <w:rFonts w:ascii="宋体" w:hAnsi="宋体" w:eastAsia="宋体"/>
                <w:sz w:val="16"/>
              </w:rPr>
              <w:t>截至2024年12月底，本项目预算安排50万元，实际支出48.95万元，预算执行率97.9%。项目已经完成支持村内公益设施建设1个，通过项目实施，达到了有效改善农村生态环境，基本建立农村公益事业滚动项目的效果</w:t>
            </w:r>
            <w:r>
              <w:rPr>
                <w:rFonts w:hint="eastAsia" w:ascii="宋体" w:hAnsi="宋体"/>
                <w:sz w:val="16"/>
                <w:lang w:eastAsia="zh-CN"/>
              </w:rPr>
              <w:t>。</w:t>
            </w:r>
          </w:p>
        </w:tc>
      </w:tr>
      <w:tr w14:paraId="304226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FCB6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462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1BF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10B5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91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C2CA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6749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1EED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CE7DD">
            <w:pPr>
              <w:jc w:val="center"/>
            </w:pPr>
            <w:r>
              <w:rPr>
                <w:rFonts w:ascii="宋体" w:hAnsi="宋体" w:eastAsia="宋体"/>
                <w:sz w:val="16"/>
              </w:rPr>
              <w:t>偏差原因分析及改进措施</w:t>
            </w:r>
          </w:p>
        </w:tc>
      </w:tr>
      <w:tr w14:paraId="227E0D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2CCF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D492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61D0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7BF7B">
            <w:pPr>
              <w:jc w:val="center"/>
            </w:pPr>
            <w:r>
              <w:rPr>
                <w:rFonts w:ascii="宋体" w:hAnsi="宋体" w:eastAsia="宋体"/>
                <w:sz w:val="16"/>
              </w:rPr>
              <w:t>支持村内公益设施建设数量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7032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1639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DBD9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8131E">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772FB">
            <w:pPr>
              <w:jc w:val="center"/>
            </w:pPr>
          </w:p>
        </w:tc>
      </w:tr>
      <w:tr w14:paraId="3FBA7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D5F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E20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DBA1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BF2FE">
            <w:pPr>
              <w:jc w:val="center"/>
            </w:pPr>
            <w:r>
              <w:rPr>
                <w:rFonts w:ascii="宋体" w:hAnsi="宋体" w:eastAsia="宋体"/>
                <w:sz w:val="16"/>
              </w:rPr>
              <w:t>村内公益设施建设验收合格率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7CE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FE7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3126">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10139">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71231">
            <w:pPr>
              <w:jc w:val="center"/>
            </w:pPr>
          </w:p>
        </w:tc>
      </w:tr>
      <w:tr w14:paraId="3CF58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CA6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062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696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BF65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3C8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6E3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3DD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8372D">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7F11A">
            <w:pPr>
              <w:jc w:val="center"/>
            </w:pPr>
          </w:p>
        </w:tc>
      </w:tr>
      <w:tr w14:paraId="28865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008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67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FC7C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4D844">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C3F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93B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46841">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5583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4A86">
            <w:pPr>
              <w:jc w:val="center"/>
            </w:pPr>
          </w:p>
        </w:tc>
      </w:tr>
      <w:tr w14:paraId="670F0C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27A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656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09B6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5FA78">
            <w:pPr>
              <w:jc w:val="center"/>
            </w:pPr>
            <w:r>
              <w:rPr>
                <w:rFonts w:ascii="宋体" w:hAnsi="宋体" w:eastAsia="宋体"/>
                <w:sz w:val="16"/>
              </w:rPr>
              <w:t>建立农村公益事业滚动项目库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5B566">
            <w:pPr>
              <w:jc w:val="center"/>
            </w:pPr>
            <w:r>
              <w:rPr>
                <w:rFonts w:ascii="宋体" w:hAnsi="宋体" w:eastAsia="宋体"/>
                <w:sz w:val="16"/>
              </w:rPr>
              <w:t>有效建立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ED8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4E17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3233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889DA">
            <w:pPr>
              <w:jc w:val="center"/>
            </w:pPr>
            <w:r>
              <w:rPr>
                <w:rFonts w:ascii="宋体" w:hAnsi="宋体" w:eastAsia="宋体"/>
                <w:sz w:val="16"/>
              </w:rPr>
              <w:t>管理制度不健全，工程项目缺乏完善的管理制度</w:t>
            </w:r>
          </w:p>
        </w:tc>
      </w:tr>
      <w:tr w14:paraId="2E958D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AA1D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13FDA">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246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6DA77">
            <w:pPr>
              <w:jc w:val="center"/>
            </w:pPr>
            <w:r>
              <w:rPr>
                <w:rFonts w:ascii="宋体" w:hAnsi="宋体" w:eastAsia="宋体"/>
                <w:sz w:val="16"/>
              </w:rPr>
              <w:t>项目区农民满意度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1A523">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7A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3A3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7651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10111">
            <w:pPr>
              <w:jc w:val="center"/>
            </w:pPr>
            <w:r>
              <w:rPr>
                <w:rFonts w:ascii="宋体" w:hAnsi="宋体" w:eastAsia="宋体"/>
                <w:sz w:val="16"/>
              </w:rPr>
              <w:t>管理制度不健全，工程项目缺乏完善的管理制度</w:t>
            </w:r>
          </w:p>
        </w:tc>
      </w:tr>
      <w:tr w14:paraId="501383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FCF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88D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F54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F3C99">
            <w:pPr>
              <w:jc w:val="center"/>
            </w:pPr>
            <w:r>
              <w:rPr>
                <w:rFonts w:ascii="宋体" w:hAnsi="宋体" w:eastAsia="宋体"/>
                <w:sz w:val="16"/>
              </w:rPr>
              <w:t>项目区基层干部满意度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2668">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667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1216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B6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3E019">
            <w:pPr>
              <w:jc w:val="center"/>
            </w:pPr>
            <w:r>
              <w:rPr>
                <w:rFonts w:ascii="宋体" w:hAnsi="宋体" w:eastAsia="宋体"/>
                <w:sz w:val="16"/>
              </w:rPr>
              <w:t>管理制度不健全，工程项目缺乏完善的管理制度</w:t>
            </w:r>
          </w:p>
        </w:tc>
      </w:tr>
      <w:tr w14:paraId="2F9C3C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8DAE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8424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9A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6AEF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A7B00D"/>
        </w:tc>
      </w:tr>
    </w:tbl>
    <w:p w14:paraId="0862D4A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FABB0B">
        <w:tblPrEx>
          <w:tblCellMar>
            <w:top w:w="0" w:type="dxa"/>
            <w:left w:w="108" w:type="dxa"/>
            <w:bottom w:w="0" w:type="dxa"/>
            <w:right w:w="108" w:type="dxa"/>
          </w:tblCellMar>
        </w:tblPrEx>
        <w:tc>
          <w:tcPr>
            <w:tcW w:w="8847" w:type="dxa"/>
            <w:gridSpan w:val="9"/>
            <w:vAlign w:val="center"/>
          </w:tcPr>
          <w:p w14:paraId="68510314">
            <w:pPr>
              <w:jc w:val="center"/>
            </w:pPr>
            <w:r>
              <w:rPr>
                <w:rFonts w:ascii="宋体" w:hAnsi="宋体" w:eastAsia="宋体"/>
                <w:sz w:val="24"/>
              </w:rPr>
              <w:t>项目支出绩效自评表</w:t>
            </w:r>
          </w:p>
        </w:tc>
      </w:tr>
      <w:tr w14:paraId="2ED456C6">
        <w:tblPrEx>
          <w:tblCellMar>
            <w:top w:w="0" w:type="dxa"/>
            <w:left w:w="108" w:type="dxa"/>
            <w:bottom w:w="0" w:type="dxa"/>
            <w:right w:w="108" w:type="dxa"/>
          </w:tblCellMar>
        </w:tblPrEx>
        <w:tc>
          <w:tcPr>
            <w:tcW w:w="8847" w:type="dxa"/>
            <w:gridSpan w:val="9"/>
            <w:vAlign w:val="center"/>
          </w:tcPr>
          <w:p w14:paraId="2111C0CF">
            <w:pPr>
              <w:jc w:val="center"/>
            </w:pPr>
            <w:r>
              <w:rPr>
                <w:rFonts w:ascii="宋体" w:hAnsi="宋体" w:eastAsia="宋体"/>
                <w:sz w:val="24"/>
              </w:rPr>
              <w:t>(2024年度)</w:t>
            </w:r>
          </w:p>
        </w:tc>
      </w:tr>
      <w:tr w14:paraId="18D5AA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772A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AC4B63">
            <w:pPr>
              <w:jc w:val="center"/>
            </w:pPr>
            <w:r>
              <w:rPr>
                <w:rFonts w:ascii="宋体" w:hAnsi="宋体" w:eastAsia="宋体"/>
                <w:sz w:val="16"/>
              </w:rPr>
              <w:t>民丰县尼雅乡光明村渔业发展项目</w:t>
            </w:r>
          </w:p>
        </w:tc>
      </w:tr>
      <w:tr w14:paraId="100D85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B9B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45597A">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B11F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227039">
            <w:pPr>
              <w:jc w:val="center"/>
            </w:pPr>
            <w:r>
              <w:rPr>
                <w:rFonts w:ascii="宋体" w:hAnsi="宋体" w:eastAsia="宋体"/>
                <w:sz w:val="16"/>
              </w:rPr>
              <w:t>民丰县尼雅乡人民政府</w:t>
            </w:r>
          </w:p>
        </w:tc>
      </w:tr>
      <w:tr w14:paraId="08857B0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172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9D1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D753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E0B1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E1D4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F217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7DC0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C1A34">
            <w:pPr>
              <w:jc w:val="center"/>
            </w:pPr>
            <w:r>
              <w:rPr>
                <w:rFonts w:ascii="宋体" w:hAnsi="宋体" w:eastAsia="宋体"/>
                <w:sz w:val="16"/>
              </w:rPr>
              <w:t>得分</w:t>
            </w:r>
          </w:p>
        </w:tc>
      </w:tr>
      <w:tr w14:paraId="1A4BA7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E0F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59C6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2791">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945A7">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72B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DB1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940E2">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EBA3">
            <w:pPr>
              <w:jc w:val="center"/>
            </w:pPr>
            <w:r>
              <w:rPr>
                <w:rFonts w:ascii="宋体" w:hAnsi="宋体" w:eastAsia="宋体"/>
                <w:sz w:val="16"/>
              </w:rPr>
              <w:t>0.00分</w:t>
            </w:r>
          </w:p>
        </w:tc>
      </w:tr>
      <w:tr w14:paraId="0B6513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07A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0626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CB24C">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092D9">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1C3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E71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E7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A78C1">
            <w:pPr>
              <w:jc w:val="center"/>
            </w:pPr>
            <w:r>
              <w:rPr>
                <w:rFonts w:ascii="宋体" w:hAnsi="宋体" w:eastAsia="宋体"/>
                <w:sz w:val="16"/>
              </w:rPr>
              <w:t>—</w:t>
            </w:r>
          </w:p>
        </w:tc>
      </w:tr>
      <w:tr w14:paraId="2BC6C0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230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35F9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331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88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41F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3DD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70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87A72">
            <w:pPr>
              <w:jc w:val="center"/>
            </w:pPr>
            <w:r>
              <w:rPr>
                <w:rFonts w:ascii="宋体" w:hAnsi="宋体" w:eastAsia="宋体"/>
                <w:sz w:val="16"/>
              </w:rPr>
              <w:t>—</w:t>
            </w:r>
          </w:p>
        </w:tc>
      </w:tr>
      <w:tr w14:paraId="1617DF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513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2E96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03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617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5D6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277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EB4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F30D8">
            <w:pPr>
              <w:jc w:val="center"/>
            </w:pPr>
            <w:r>
              <w:rPr>
                <w:rFonts w:ascii="宋体" w:hAnsi="宋体" w:eastAsia="宋体"/>
                <w:sz w:val="16"/>
              </w:rPr>
              <w:t>—</w:t>
            </w:r>
          </w:p>
        </w:tc>
      </w:tr>
      <w:tr w14:paraId="01A84C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DB7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2F15C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20522">
            <w:pPr>
              <w:jc w:val="center"/>
            </w:pPr>
            <w:r>
              <w:rPr>
                <w:rFonts w:ascii="宋体" w:hAnsi="宋体" w:eastAsia="宋体"/>
                <w:sz w:val="16"/>
              </w:rPr>
              <w:t>实际完成情况</w:t>
            </w:r>
          </w:p>
        </w:tc>
      </w:tr>
      <w:tr w14:paraId="45449F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0F7D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023DFE">
            <w:pPr>
              <w:jc w:val="both"/>
            </w:pPr>
            <w:r>
              <w:rPr>
                <w:rFonts w:ascii="宋体" w:hAnsi="宋体" w:eastAsia="宋体"/>
                <w:sz w:val="16"/>
              </w:rPr>
              <w:t>配套叶轮式增氧机12台、风送式投料机2套、渔船1艘、鱼苗29000公斤、渔网100米。通过项目建设，在光明村发展壮大水产养殖业，提升农村集体经济、增加村民就业收入、为打造自治区乡村振兴重点示范村样板、扎实推进</w:t>
            </w:r>
            <w:bookmarkStart w:id="0" w:name="_GoBack"/>
            <w:r>
              <w:rPr>
                <w:rFonts w:hint="eastAsia" w:ascii="宋体" w:hAnsi="宋体"/>
                <w:sz w:val="16"/>
                <w:lang w:eastAsia="zh-CN"/>
              </w:rPr>
              <w:t>建设宜居宜业和美乡村</w:t>
            </w:r>
            <w:bookmarkEnd w:id="0"/>
            <w:r>
              <w:rPr>
                <w:rFonts w:ascii="宋体" w:hAnsi="宋体" w:eastAsia="宋体"/>
                <w:sz w:val="16"/>
              </w:rPr>
              <w:t>增添磅礴动力，不断提升农民群众的</w:t>
            </w:r>
            <w:r>
              <w:rPr>
                <w:rFonts w:hint="eastAsia" w:ascii="宋体" w:hAnsi="宋体"/>
                <w:sz w:val="16"/>
                <w:lang w:eastAsia="zh-CN"/>
              </w:rPr>
              <w:t>获得感、幸福感、安全感</w:t>
            </w:r>
            <w:r>
              <w:rPr>
                <w:rFonts w:ascii="宋体" w:hAnsi="宋体" w:eastAsia="宋体"/>
                <w:sz w:val="16"/>
              </w:rPr>
              <w:t>。年销售收入达100万元，年利润总额20万元。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86F038">
            <w:pPr>
              <w:jc w:val="both"/>
            </w:pPr>
            <w:r>
              <w:rPr>
                <w:rFonts w:ascii="宋体" w:hAnsi="宋体" w:eastAsia="宋体"/>
                <w:sz w:val="16"/>
              </w:rPr>
              <w:t>该项目</w:t>
            </w:r>
            <w:r>
              <w:rPr>
                <w:rFonts w:hint="eastAsia" w:ascii="宋体" w:hAnsi="宋体"/>
                <w:sz w:val="16"/>
                <w:lang w:eastAsia="zh-CN"/>
              </w:rPr>
              <w:t>没有</w:t>
            </w:r>
            <w:r>
              <w:rPr>
                <w:rFonts w:ascii="宋体" w:hAnsi="宋体" w:eastAsia="宋体"/>
                <w:sz w:val="16"/>
              </w:rPr>
              <w:t>通过，没有下拨资金。</w:t>
            </w:r>
          </w:p>
        </w:tc>
      </w:tr>
      <w:tr w14:paraId="04CAB5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39EC5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8A8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AFED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08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D090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B88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D536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69AB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603EC">
            <w:pPr>
              <w:jc w:val="center"/>
            </w:pPr>
            <w:r>
              <w:rPr>
                <w:rFonts w:ascii="宋体" w:hAnsi="宋体" w:eastAsia="宋体"/>
                <w:sz w:val="16"/>
              </w:rPr>
              <w:t>偏差原因分析及改进措施</w:t>
            </w:r>
          </w:p>
        </w:tc>
      </w:tr>
      <w:tr w14:paraId="558328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3F5C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4104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8EFD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A6CFA">
            <w:pPr>
              <w:jc w:val="center"/>
            </w:pPr>
            <w:r>
              <w:rPr>
                <w:rFonts w:ascii="宋体" w:hAnsi="宋体" w:eastAsia="宋体"/>
                <w:sz w:val="16"/>
              </w:rPr>
              <w:t>购买配套叶轮式增氧机数量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ED1F">
            <w:pPr>
              <w:jc w:val="center"/>
            </w:pPr>
            <w:r>
              <w:rPr>
                <w:rFonts w:ascii="宋体" w:hAnsi="宋体" w:eastAsia="宋体"/>
                <w:sz w:val="16"/>
              </w:rPr>
              <w:t>=12台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6CFDB">
            <w:pPr>
              <w:jc w:val="center"/>
            </w:pPr>
            <w:r>
              <w:rPr>
                <w:rFonts w:ascii="宋体" w:hAnsi="宋体" w:eastAsia="宋体"/>
                <w:sz w:val="16"/>
              </w:rPr>
              <w:t>=0台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AEA1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664E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45359">
            <w:pPr>
              <w:jc w:val="center"/>
            </w:pPr>
            <w:r>
              <w:rPr>
                <w:rFonts w:ascii="宋体" w:hAnsi="宋体" w:eastAsia="宋体"/>
                <w:sz w:val="16"/>
              </w:rPr>
              <w:t>偏差原因：项目用地占生态红线（湿地），民丰县自然资源局未通过审批；改进措施：加强项目管理。</w:t>
            </w:r>
          </w:p>
        </w:tc>
      </w:tr>
      <w:tr w14:paraId="35261D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E29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A18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BA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27571">
            <w:pPr>
              <w:jc w:val="center"/>
            </w:pPr>
            <w:r>
              <w:rPr>
                <w:rFonts w:ascii="宋体" w:hAnsi="宋体" w:eastAsia="宋体"/>
                <w:sz w:val="16"/>
              </w:rPr>
              <w:t>购买风送式投料机数量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060A9">
            <w:pPr>
              <w:jc w:val="center"/>
            </w:pPr>
            <w:r>
              <w:rPr>
                <w:rFonts w:ascii="宋体" w:hAnsi="宋体" w:eastAsia="宋体"/>
                <w:sz w:val="16"/>
              </w:rPr>
              <w:t>=2套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A627F">
            <w:pPr>
              <w:jc w:val="center"/>
            </w:pPr>
            <w:r>
              <w:rPr>
                <w:rFonts w:ascii="宋体" w:hAnsi="宋体" w:eastAsia="宋体"/>
                <w:sz w:val="16"/>
              </w:rPr>
              <w:t>=0套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96AC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B721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2FF85">
            <w:pPr>
              <w:jc w:val="center"/>
            </w:pPr>
            <w:r>
              <w:rPr>
                <w:rFonts w:ascii="宋体" w:hAnsi="宋体" w:eastAsia="宋体"/>
                <w:sz w:val="16"/>
              </w:rPr>
              <w:t>偏差原因：项目用地占生态红线（湿地），民丰县自然资源局未通过审批；改进措施：加强项目管理。</w:t>
            </w:r>
          </w:p>
        </w:tc>
      </w:tr>
      <w:tr w14:paraId="39C01C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901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E9C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A2C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74783">
            <w:pPr>
              <w:jc w:val="center"/>
            </w:pPr>
            <w:r>
              <w:rPr>
                <w:rFonts w:ascii="宋体" w:hAnsi="宋体" w:eastAsia="宋体"/>
                <w:sz w:val="16"/>
              </w:rPr>
              <w:t>购买渔船数量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8C33">
            <w:pPr>
              <w:jc w:val="center"/>
            </w:pPr>
            <w:r>
              <w:rPr>
                <w:rFonts w:ascii="宋体" w:hAnsi="宋体" w:eastAsia="宋体"/>
                <w:sz w:val="16"/>
              </w:rPr>
              <w:t>=1艘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A36A7">
            <w:pPr>
              <w:jc w:val="center"/>
            </w:pPr>
            <w:r>
              <w:rPr>
                <w:rFonts w:ascii="宋体" w:hAnsi="宋体" w:eastAsia="宋体"/>
                <w:sz w:val="16"/>
              </w:rPr>
              <w:t>=0艘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AE95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FAD8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38274">
            <w:pPr>
              <w:jc w:val="center"/>
            </w:pPr>
            <w:r>
              <w:rPr>
                <w:rFonts w:ascii="宋体" w:hAnsi="宋体" w:eastAsia="宋体"/>
                <w:sz w:val="16"/>
              </w:rPr>
              <w:t>偏差原因：项目用地占生态红线（湿地），民丰县自然资源局未通过审批；改进措施：加强项目管理。</w:t>
            </w:r>
          </w:p>
        </w:tc>
      </w:tr>
      <w:tr w14:paraId="305E59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461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729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94B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AF9FC">
            <w:pPr>
              <w:jc w:val="center"/>
            </w:pPr>
            <w:r>
              <w:rPr>
                <w:rFonts w:ascii="宋体" w:hAnsi="宋体" w:eastAsia="宋体"/>
                <w:sz w:val="16"/>
              </w:rPr>
              <w:t>购买鱼苗重量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4CA4B">
            <w:pPr>
              <w:jc w:val="center"/>
            </w:pPr>
            <w:r>
              <w:rPr>
                <w:rFonts w:ascii="宋体" w:hAnsi="宋体" w:eastAsia="宋体"/>
                <w:sz w:val="16"/>
              </w:rPr>
              <w:t>=29000公斤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3C7B">
            <w:pPr>
              <w:jc w:val="center"/>
            </w:pPr>
            <w:r>
              <w:rPr>
                <w:rFonts w:ascii="宋体" w:hAnsi="宋体" w:eastAsia="宋体"/>
                <w:sz w:val="16"/>
              </w:rPr>
              <w:t>=0公斤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DA5B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F8FC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809AA">
            <w:pPr>
              <w:jc w:val="center"/>
            </w:pPr>
            <w:r>
              <w:rPr>
                <w:rFonts w:ascii="宋体" w:hAnsi="宋体" w:eastAsia="宋体"/>
                <w:sz w:val="16"/>
              </w:rPr>
              <w:t>偏差原因：项目用地占生态红线（湿地），民丰县自然资源局未通过审批；改进措施：加强项目管理。</w:t>
            </w:r>
          </w:p>
        </w:tc>
      </w:tr>
      <w:tr w14:paraId="71BA6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8BF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DD1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245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30A36">
            <w:pPr>
              <w:jc w:val="center"/>
            </w:pPr>
            <w:r>
              <w:rPr>
                <w:rFonts w:ascii="宋体" w:hAnsi="宋体" w:eastAsia="宋体"/>
                <w:sz w:val="16"/>
              </w:rPr>
              <w:t>购买渔网长度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5CB90">
            <w:pPr>
              <w:jc w:val="center"/>
            </w:pPr>
            <w:r>
              <w:rPr>
                <w:rFonts w:ascii="宋体" w:hAnsi="宋体" w:eastAsia="宋体"/>
                <w:sz w:val="16"/>
              </w:rPr>
              <w:t>=100米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558AA">
            <w:pPr>
              <w:jc w:val="center"/>
            </w:pPr>
            <w:r>
              <w:rPr>
                <w:rFonts w:ascii="宋体" w:hAnsi="宋体" w:eastAsia="宋体"/>
                <w:sz w:val="16"/>
              </w:rPr>
              <w:t>=0米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9461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F828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FF94D">
            <w:pPr>
              <w:jc w:val="center"/>
            </w:pPr>
            <w:r>
              <w:rPr>
                <w:rFonts w:ascii="宋体" w:hAnsi="宋体" w:eastAsia="宋体"/>
                <w:sz w:val="16"/>
              </w:rPr>
              <w:t>偏差原因：项目用地占生态红线（湿地），民丰县自然资源局未通过审批；改进措施：加强项目管理。</w:t>
            </w:r>
          </w:p>
        </w:tc>
      </w:tr>
      <w:tr w14:paraId="025CDA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F59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543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0AC6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E2B3B">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B00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D128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647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87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95829">
            <w:pPr>
              <w:jc w:val="center"/>
            </w:pPr>
            <w:r>
              <w:rPr>
                <w:rFonts w:ascii="宋体" w:hAnsi="宋体" w:eastAsia="宋体"/>
                <w:sz w:val="16"/>
              </w:rPr>
              <w:t>偏差原因：项目用地占生态红线（湿地），民丰县自然资源局未通过审批；改进措施：加强项目管理。</w:t>
            </w:r>
          </w:p>
        </w:tc>
      </w:tr>
      <w:tr w14:paraId="042931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2BD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255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DBB8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D4B59">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1CF5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097FC">
            <w:pPr>
              <w:jc w:val="center"/>
            </w:pPr>
            <w:r>
              <w:rPr>
                <w:rFonts w:ascii="宋体" w:hAnsi="宋体" w:eastAsia="宋体"/>
                <w:sz w:val="16"/>
              </w:rPr>
              <w:t>=0年12月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7F52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29A7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ABC61">
            <w:pPr>
              <w:jc w:val="center"/>
            </w:pPr>
            <w:r>
              <w:rPr>
                <w:rFonts w:ascii="宋体" w:hAnsi="宋体" w:eastAsia="宋体"/>
                <w:sz w:val="16"/>
              </w:rPr>
              <w:t>偏差原因：项目用地占生态红线（湿地），民丰县自然资源局未通过审批；改进措施：加强项目管理。</w:t>
            </w:r>
          </w:p>
        </w:tc>
      </w:tr>
      <w:tr w14:paraId="1DB949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AEC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A91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AF6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36E45">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695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A28D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0628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A11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BC5E2">
            <w:pPr>
              <w:jc w:val="center"/>
            </w:pPr>
            <w:r>
              <w:rPr>
                <w:rFonts w:ascii="宋体" w:hAnsi="宋体" w:eastAsia="宋体"/>
                <w:sz w:val="16"/>
              </w:rPr>
              <w:t>偏差原因：项目用地占生态红线（湿地），民丰县自然资源局未通过审批；改进措施：加强项目管理。</w:t>
            </w:r>
          </w:p>
        </w:tc>
      </w:tr>
      <w:tr w14:paraId="436DE0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C580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EADD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1D304">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28375">
            <w:pPr>
              <w:jc w:val="center"/>
            </w:pPr>
            <w:r>
              <w:rPr>
                <w:rFonts w:ascii="宋体" w:hAnsi="宋体" w:eastAsia="宋体"/>
                <w:sz w:val="16"/>
              </w:rPr>
              <w:t>年销售收入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288AA">
            <w:pPr>
              <w:jc w:val="center"/>
            </w:pPr>
            <w:r>
              <w:rPr>
                <w:rFonts w:ascii="宋体" w:hAnsi="宋体" w:eastAsia="宋体"/>
                <w:sz w:val="16"/>
              </w:rPr>
              <w:t>&gt;=100万元/年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E978B">
            <w:pPr>
              <w:jc w:val="center"/>
            </w:pPr>
            <w:r>
              <w:rPr>
                <w:rFonts w:ascii="宋体" w:hAnsi="宋体" w:eastAsia="宋体"/>
                <w:sz w:val="16"/>
              </w:rPr>
              <w:t>=0万元/年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906D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F91A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390A">
            <w:pPr>
              <w:jc w:val="center"/>
            </w:pPr>
            <w:r>
              <w:rPr>
                <w:rFonts w:ascii="宋体" w:hAnsi="宋体" w:eastAsia="宋体"/>
                <w:sz w:val="16"/>
              </w:rPr>
              <w:t>偏差原因：项目用地占生态红线（湿地），民丰县自然资源局未通过审批；改进措施：加强项目管理。</w:t>
            </w:r>
          </w:p>
        </w:tc>
      </w:tr>
      <w:tr w14:paraId="2506E7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5A9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14A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FEC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C8320">
            <w:pPr>
              <w:jc w:val="center"/>
            </w:pPr>
            <w:r>
              <w:rPr>
                <w:rFonts w:ascii="宋体" w:hAnsi="宋体" w:eastAsia="宋体"/>
                <w:sz w:val="16"/>
              </w:rPr>
              <w:t>年利润总额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DC55">
            <w:pPr>
              <w:jc w:val="center"/>
            </w:pPr>
            <w:r>
              <w:rPr>
                <w:rFonts w:ascii="宋体" w:hAnsi="宋体" w:eastAsia="宋体"/>
                <w:sz w:val="16"/>
              </w:rPr>
              <w:t>&gt;=20万元/年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6FAD4">
            <w:pPr>
              <w:jc w:val="center"/>
            </w:pPr>
            <w:r>
              <w:rPr>
                <w:rFonts w:ascii="宋体" w:hAnsi="宋体" w:eastAsia="宋体"/>
                <w:sz w:val="16"/>
              </w:rPr>
              <w:t>=0万元/年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75CF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071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CA81D">
            <w:pPr>
              <w:jc w:val="center"/>
            </w:pPr>
            <w:r>
              <w:rPr>
                <w:rFonts w:ascii="宋体" w:hAnsi="宋体" w:eastAsia="宋体"/>
                <w:sz w:val="16"/>
              </w:rPr>
              <w:t>偏差原因：项目用地占生态红线（湿地），民丰县自然资源局未通过审批；改进措施：加强项目管理。</w:t>
            </w:r>
          </w:p>
        </w:tc>
      </w:tr>
      <w:tr w14:paraId="51A07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5E5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EB50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33E5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F5AE1">
            <w:pPr>
              <w:jc w:val="center"/>
            </w:pPr>
            <w:r>
              <w:rPr>
                <w:rFonts w:ascii="宋体" w:hAnsi="宋体" w:eastAsia="宋体"/>
                <w:sz w:val="16"/>
              </w:rPr>
              <w:t>直接受益人口</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769AB">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835C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CB1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1B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1A379">
            <w:pPr>
              <w:jc w:val="center"/>
            </w:pPr>
            <w:r>
              <w:rPr>
                <w:rFonts w:ascii="宋体" w:hAnsi="宋体" w:eastAsia="宋体"/>
                <w:sz w:val="16"/>
              </w:rPr>
              <w:t>偏差原因：项目用地占生态红线（湿地），民丰县自然资源局未通过审批；改进措施：加强项目管理。</w:t>
            </w:r>
          </w:p>
        </w:tc>
      </w:tr>
      <w:tr w14:paraId="4364DA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447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8C5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43E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6EEFB">
            <w:pPr>
              <w:jc w:val="center"/>
            </w:pPr>
            <w:r>
              <w:rPr>
                <w:rFonts w:ascii="宋体" w:hAnsi="宋体" w:eastAsia="宋体"/>
                <w:sz w:val="16"/>
              </w:rPr>
              <w:t>居民的生活水平和生活质量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94CD1">
            <w:pPr>
              <w:jc w:val="center"/>
            </w:pPr>
            <w:r>
              <w:rPr>
                <w:rFonts w:ascii="宋体" w:hAnsi="宋体" w:eastAsia="宋体"/>
                <w:sz w:val="16"/>
              </w:rPr>
              <w:t>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1BB0F">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0D81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5C88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655BD">
            <w:pPr>
              <w:jc w:val="center"/>
            </w:pPr>
            <w:r>
              <w:rPr>
                <w:rFonts w:ascii="宋体" w:hAnsi="宋体" w:eastAsia="宋体"/>
                <w:sz w:val="16"/>
              </w:rPr>
              <w:t>偏差原因：项目用地占生态红线（湿地），民丰县自然资源局未通过审批；改进措施：加强项目管理。</w:t>
            </w:r>
          </w:p>
        </w:tc>
      </w:tr>
      <w:tr w14:paraId="78B021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79A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10E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4B6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289F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5F30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108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D17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D743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8152D">
            <w:pPr>
              <w:jc w:val="center"/>
            </w:pPr>
            <w:r>
              <w:rPr>
                <w:rFonts w:ascii="宋体" w:hAnsi="宋体" w:eastAsia="宋体"/>
                <w:sz w:val="16"/>
              </w:rPr>
              <w:t>偏差原因：项目用地占生态红线（湿地），民丰县自然资源局未通过审批；改进措施：加强项目管理。</w:t>
            </w:r>
          </w:p>
        </w:tc>
      </w:tr>
      <w:tr w14:paraId="68358BE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C91DF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1A54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99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C1922">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837FAD"/>
        </w:tc>
      </w:tr>
    </w:tbl>
    <w:p w14:paraId="305823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8E391E">
        <w:tblPrEx>
          <w:tblCellMar>
            <w:top w:w="0" w:type="dxa"/>
            <w:left w:w="108" w:type="dxa"/>
            <w:bottom w:w="0" w:type="dxa"/>
            <w:right w:w="108" w:type="dxa"/>
          </w:tblCellMar>
        </w:tblPrEx>
        <w:tc>
          <w:tcPr>
            <w:tcW w:w="8847" w:type="dxa"/>
            <w:gridSpan w:val="9"/>
            <w:vAlign w:val="center"/>
          </w:tcPr>
          <w:p w14:paraId="422A81D1">
            <w:pPr>
              <w:jc w:val="center"/>
            </w:pPr>
            <w:r>
              <w:rPr>
                <w:rFonts w:ascii="宋体" w:hAnsi="宋体" w:eastAsia="宋体"/>
                <w:sz w:val="24"/>
              </w:rPr>
              <w:t>项目支出绩效自评表</w:t>
            </w:r>
          </w:p>
        </w:tc>
      </w:tr>
      <w:tr w14:paraId="227703E6">
        <w:tblPrEx>
          <w:tblCellMar>
            <w:top w:w="0" w:type="dxa"/>
            <w:left w:w="108" w:type="dxa"/>
            <w:bottom w:w="0" w:type="dxa"/>
            <w:right w:w="108" w:type="dxa"/>
          </w:tblCellMar>
        </w:tblPrEx>
        <w:tc>
          <w:tcPr>
            <w:tcW w:w="8847" w:type="dxa"/>
            <w:gridSpan w:val="9"/>
            <w:vAlign w:val="center"/>
          </w:tcPr>
          <w:p w14:paraId="79584A1B">
            <w:pPr>
              <w:jc w:val="center"/>
            </w:pPr>
            <w:r>
              <w:rPr>
                <w:rFonts w:ascii="宋体" w:hAnsi="宋体" w:eastAsia="宋体"/>
                <w:sz w:val="24"/>
              </w:rPr>
              <w:t>(2024年度)</w:t>
            </w:r>
          </w:p>
        </w:tc>
      </w:tr>
      <w:tr w14:paraId="4C3F4E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1D01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BEC627">
            <w:pPr>
              <w:jc w:val="center"/>
            </w:pPr>
            <w:r>
              <w:rPr>
                <w:rFonts w:ascii="宋体" w:hAnsi="宋体" w:eastAsia="宋体"/>
                <w:sz w:val="16"/>
              </w:rPr>
              <w:t>民丰县尼雅乡阿克墩村门面房建设项目（结转）</w:t>
            </w:r>
          </w:p>
        </w:tc>
      </w:tr>
      <w:tr w14:paraId="7E720E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84BC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678FD0">
            <w:pPr>
              <w:jc w:val="center"/>
            </w:pPr>
            <w:r>
              <w:rPr>
                <w:rFonts w:ascii="宋体" w:hAnsi="宋体" w:eastAsia="宋体"/>
                <w:sz w:val="16"/>
              </w:rPr>
              <w:t>民丰县尼雅乡人民政府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2D11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7B705C">
            <w:pPr>
              <w:jc w:val="center"/>
            </w:pPr>
            <w:r>
              <w:rPr>
                <w:rFonts w:ascii="宋体" w:hAnsi="宋体" w:eastAsia="宋体"/>
                <w:sz w:val="16"/>
              </w:rPr>
              <w:t>民丰县尼雅乡人民政府</w:t>
            </w:r>
          </w:p>
        </w:tc>
      </w:tr>
      <w:tr w14:paraId="142BDF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DE3D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20F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7E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A129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704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FED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DB8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8C7FD">
            <w:pPr>
              <w:jc w:val="center"/>
            </w:pPr>
            <w:r>
              <w:rPr>
                <w:rFonts w:ascii="宋体" w:hAnsi="宋体" w:eastAsia="宋体"/>
                <w:sz w:val="16"/>
              </w:rPr>
              <w:t>得分</w:t>
            </w:r>
          </w:p>
        </w:tc>
      </w:tr>
      <w:tr w14:paraId="5BA3F0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7AA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F62C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869A6">
            <w:pPr>
              <w:jc w:val="center"/>
            </w:pPr>
            <w:r>
              <w:rPr>
                <w:rFonts w:ascii="宋体" w:hAnsi="宋体" w:eastAsia="宋体"/>
                <w:sz w:val="16"/>
              </w:rPr>
              <w:t>129.20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7FD17">
            <w:pPr>
              <w:jc w:val="center"/>
            </w:pPr>
            <w:r>
              <w:rPr>
                <w:rFonts w:ascii="宋体" w:hAnsi="宋体" w:eastAsia="宋体"/>
                <w:sz w:val="16"/>
              </w:rPr>
              <w:t>129.20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F61F2">
            <w:pPr>
              <w:jc w:val="center"/>
            </w:pPr>
            <w:r>
              <w:rPr>
                <w:rFonts w:ascii="宋体" w:hAnsi="宋体" w:eastAsia="宋体"/>
                <w:sz w:val="16"/>
              </w:rPr>
              <w:t>70.78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656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113DC">
            <w:pPr>
              <w:jc w:val="center"/>
            </w:pPr>
            <w:r>
              <w:rPr>
                <w:rFonts w:ascii="宋体" w:hAnsi="宋体" w:eastAsia="宋体"/>
                <w:sz w:val="16"/>
              </w:rPr>
              <w:t xml:space="preserve">54.78%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5B346">
            <w:pPr>
              <w:jc w:val="center"/>
            </w:pPr>
            <w:r>
              <w:rPr>
                <w:rFonts w:ascii="宋体" w:hAnsi="宋体" w:eastAsia="宋体"/>
                <w:sz w:val="16"/>
              </w:rPr>
              <w:t>0.00分</w:t>
            </w:r>
          </w:p>
        </w:tc>
      </w:tr>
      <w:tr w14:paraId="627C2B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C28A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4D3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B11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469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AD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118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98F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D65F5">
            <w:pPr>
              <w:jc w:val="center"/>
            </w:pPr>
            <w:r>
              <w:rPr>
                <w:rFonts w:ascii="宋体" w:hAnsi="宋体" w:eastAsia="宋体"/>
                <w:sz w:val="16"/>
              </w:rPr>
              <w:t>—</w:t>
            </w:r>
          </w:p>
        </w:tc>
      </w:tr>
      <w:tr w14:paraId="2D4DA5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FED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9CA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A652D">
            <w:pPr>
              <w:jc w:val="center"/>
            </w:pPr>
            <w:r>
              <w:rPr>
                <w:rFonts w:ascii="宋体" w:hAnsi="宋体" w:eastAsia="宋体"/>
                <w:sz w:val="16"/>
              </w:rPr>
              <w:t>129.20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CE94">
            <w:pPr>
              <w:jc w:val="center"/>
            </w:pPr>
            <w:r>
              <w:rPr>
                <w:rFonts w:ascii="宋体" w:hAnsi="宋体" w:eastAsia="宋体"/>
                <w:sz w:val="16"/>
              </w:rPr>
              <w:t>129.20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90EB5">
            <w:pPr>
              <w:jc w:val="center"/>
            </w:pPr>
            <w:r>
              <w:rPr>
                <w:rFonts w:ascii="宋体" w:hAnsi="宋体" w:eastAsia="宋体"/>
                <w:sz w:val="16"/>
              </w:rPr>
              <w:t>70.78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F27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2CE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30B69">
            <w:pPr>
              <w:jc w:val="center"/>
            </w:pPr>
            <w:r>
              <w:rPr>
                <w:rFonts w:ascii="宋体" w:hAnsi="宋体" w:eastAsia="宋体"/>
                <w:sz w:val="16"/>
              </w:rPr>
              <w:t>—</w:t>
            </w:r>
          </w:p>
        </w:tc>
      </w:tr>
      <w:tr w14:paraId="7B26AB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70E40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5277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D46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C03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786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F76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BA1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96D44">
            <w:pPr>
              <w:jc w:val="center"/>
            </w:pPr>
            <w:r>
              <w:rPr>
                <w:rFonts w:ascii="宋体" w:hAnsi="宋体" w:eastAsia="宋体"/>
                <w:sz w:val="16"/>
              </w:rPr>
              <w:t>—</w:t>
            </w:r>
          </w:p>
        </w:tc>
      </w:tr>
      <w:tr w14:paraId="19192B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D017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6521B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A12671">
            <w:pPr>
              <w:jc w:val="center"/>
            </w:pPr>
            <w:r>
              <w:rPr>
                <w:rFonts w:ascii="宋体" w:hAnsi="宋体" w:eastAsia="宋体"/>
                <w:sz w:val="16"/>
              </w:rPr>
              <w:t>实际完成情况</w:t>
            </w:r>
          </w:p>
        </w:tc>
      </w:tr>
      <w:tr w14:paraId="615A68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0F12F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75DA28">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在民丰县尼雅乡阿克墩村新建门面房1座，面积为400平方米。</w:t>
            </w:r>
            <w:r>
              <w:rPr>
                <w:rFonts w:ascii="宋体" w:hAnsi="宋体" w:eastAsia="宋体"/>
                <w:sz w:val="16"/>
              </w:rPr>
              <w:br w:type="textWrapping"/>
            </w:r>
            <w:r>
              <w:rPr>
                <w:rFonts w:ascii="宋体" w:hAnsi="宋体" w:eastAsia="宋体"/>
                <w:sz w:val="16"/>
              </w:rPr>
              <w:t>目标2</w:t>
            </w:r>
            <w:r>
              <w:rPr>
                <w:rFonts w:hint="eastAsia" w:ascii="宋体" w:hAnsi="宋体"/>
                <w:sz w:val="16"/>
                <w:lang w:eastAsia="zh-CN"/>
              </w:rPr>
              <w:t>：</w:t>
            </w:r>
            <w:r>
              <w:rPr>
                <w:rFonts w:ascii="宋体" w:hAnsi="宋体" w:eastAsia="宋体"/>
                <w:sz w:val="16"/>
              </w:rPr>
              <w:t>本项目的建设，出租门面房取得的经济收入全部作为村集体经济收入，持续投入发展壮大村集体经济。预计每年通过承租方式收租不低于4万元，用于壮大村集体经济，项目使本村脱贫户54户、脱贫人口124人。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72385E">
            <w:pPr>
              <w:jc w:val="both"/>
            </w:pPr>
            <w:r>
              <w:rPr>
                <w:rFonts w:ascii="宋体" w:hAnsi="宋体" w:eastAsia="宋体"/>
                <w:sz w:val="16"/>
              </w:rPr>
              <w:t>截至2024年12月底，本项目预算安排129.2万元，实际支出70.78万元，预算执行率54.78%。项目已经完成新建阿克墩村门面房1座，面积为400平方米。通过项目实施，达到了出租门面房取得的经济收入全部作为村集体经济收入，持续投入发展壮大村集体经济。每年通过承租方式收租4万元，用于壮大村集体经济，项目使本村脱贫户54户、脱贫人口124人的效果</w:t>
            </w:r>
          </w:p>
        </w:tc>
      </w:tr>
      <w:tr w14:paraId="038786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28BC7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CA2F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934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0C26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5262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DE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5FB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FD5D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74A75">
            <w:pPr>
              <w:jc w:val="center"/>
            </w:pPr>
            <w:r>
              <w:rPr>
                <w:rFonts w:ascii="宋体" w:hAnsi="宋体" w:eastAsia="宋体"/>
                <w:sz w:val="16"/>
              </w:rPr>
              <w:t>偏差原因分析及改进措施</w:t>
            </w:r>
          </w:p>
        </w:tc>
      </w:tr>
      <w:tr w14:paraId="05925C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9546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A698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3824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D5713">
            <w:pPr>
              <w:jc w:val="center"/>
            </w:pPr>
            <w:r>
              <w:rPr>
                <w:rFonts w:ascii="宋体" w:hAnsi="宋体" w:eastAsia="宋体"/>
                <w:sz w:val="16"/>
              </w:rPr>
              <w:t>新建门面房数量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2959C">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3606A">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215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A77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E6F98">
            <w:pPr>
              <w:jc w:val="center"/>
            </w:pPr>
          </w:p>
        </w:tc>
      </w:tr>
      <w:tr w14:paraId="3ACDF5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E3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B17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A72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27391">
            <w:pPr>
              <w:jc w:val="center"/>
            </w:pPr>
            <w:r>
              <w:rPr>
                <w:rFonts w:ascii="宋体" w:hAnsi="宋体" w:eastAsia="宋体"/>
                <w:sz w:val="16"/>
              </w:rPr>
              <w:t>新建门面房面积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B353">
            <w:pPr>
              <w:jc w:val="center"/>
            </w:pPr>
            <w:r>
              <w:rPr>
                <w:rFonts w:ascii="宋体" w:hAnsi="宋体" w:eastAsia="宋体"/>
                <w:sz w:val="16"/>
              </w:rPr>
              <w:t>&gt;=400平方米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08908">
            <w:pPr>
              <w:jc w:val="center"/>
            </w:pPr>
            <w:r>
              <w:rPr>
                <w:rFonts w:ascii="宋体" w:hAnsi="宋体" w:eastAsia="宋体"/>
                <w:sz w:val="16"/>
              </w:rPr>
              <w:t>=400平方米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662C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47E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C9CA3">
            <w:pPr>
              <w:jc w:val="center"/>
            </w:pPr>
          </w:p>
        </w:tc>
      </w:tr>
      <w:tr w14:paraId="6B9084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50F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80E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F4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3B4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49B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D2D9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CDE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D917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3BD1C">
            <w:pPr>
              <w:jc w:val="center"/>
            </w:pPr>
            <w:r>
              <w:rPr>
                <w:rFonts w:ascii="宋体" w:hAnsi="宋体" w:eastAsia="宋体"/>
                <w:sz w:val="16"/>
              </w:rPr>
              <w:t>偏差原因：项目还未验收，改进措施：后期加快项目验收情况。</w:t>
            </w:r>
          </w:p>
        </w:tc>
      </w:tr>
      <w:tr w14:paraId="4A8F42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AF8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0DFE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14A7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88EB3">
            <w:pPr>
              <w:jc w:val="center"/>
            </w:pPr>
            <w:r>
              <w:rPr>
                <w:rFonts w:ascii="宋体" w:hAnsi="宋体" w:eastAsia="宋体"/>
                <w:sz w:val="16"/>
              </w:rPr>
              <w:t>项目开工时间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FFC0E">
            <w:pPr>
              <w:jc w:val="center"/>
            </w:pPr>
            <w:r>
              <w:rPr>
                <w:rFonts w:ascii="宋体" w:hAnsi="宋体" w:eastAsia="宋体"/>
                <w:sz w:val="16"/>
              </w:rPr>
              <w:t>2024年3月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2164E">
            <w:pPr>
              <w:jc w:val="center"/>
            </w:pPr>
            <w:r>
              <w:rPr>
                <w:rFonts w:ascii="宋体" w:hAnsi="宋体" w:eastAsia="宋体"/>
                <w:sz w:val="16"/>
              </w:rPr>
              <w:t>=2024年3月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4C0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ADF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9526">
            <w:pPr>
              <w:jc w:val="center"/>
            </w:pPr>
            <w:r>
              <w:rPr>
                <w:rFonts w:ascii="宋体" w:hAnsi="宋体" w:eastAsia="宋体"/>
                <w:sz w:val="16"/>
              </w:rPr>
              <w:t>招商难度较大，村庄地理位置相对偏远，商业氛围不够浓厚</w:t>
            </w:r>
          </w:p>
        </w:tc>
      </w:tr>
      <w:tr w14:paraId="6BEDC5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6BA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67B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532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3C21E">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DBBD1">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9452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843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B131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EC6A1">
            <w:pPr>
              <w:jc w:val="center"/>
            </w:pPr>
            <w:r>
              <w:rPr>
                <w:rFonts w:ascii="宋体" w:hAnsi="宋体" w:eastAsia="宋体"/>
                <w:sz w:val="16"/>
              </w:rPr>
              <w:t>偏差原因：招商难度较大，村庄地理位置相对偏远，商业氛围不够浓厚；改进措施：加强项目管理。</w:t>
            </w:r>
          </w:p>
        </w:tc>
      </w:tr>
      <w:tr w14:paraId="716F52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ADF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676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FED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AED62">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43A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7F4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401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0F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E55DE">
            <w:pPr>
              <w:jc w:val="center"/>
            </w:pPr>
            <w:r>
              <w:rPr>
                <w:rFonts w:ascii="宋体" w:hAnsi="宋体" w:eastAsia="宋体"/>
                <w:sz w:val="16"/>
              </w:rPr>
              <w:t>招商难度较大，村庄地理位置相对偏远，商业氛围不够浓厚</w:t>
            </w:r>
          </w:p>
        </w:tc>
      </w:tr>
      <w:tr w14:paraId="46076E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EF2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645A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F63F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28F0B">
            <w:pPr>
              <w:jc w:val="center"/>
            </w:pPr>
            <w:r>
              <w:rPr>
                <w:rFonts w:ascii="宋体" w:hAnsi="宋体" w:eastAsia="宋体"/>
                <w:sz w:val="16"/>
              </w:rPr>
              <w:t>门面房建设成本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D6FF7">
            <w:pPr>
              <w:jc w:val="center"/>
            </w:pPr>
            <w:r>
              <w:rPr>
                <w:rFonts w:ascii="宋体" w:hAnsi="宋体" w:eastAsia="宋体"/>
                <w:sz w:val="16"/>
              </w:rPr>
              <w:t>&lt;=0.32平方米/万元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33602">
            <w:pPr>
              <w:jc w:val="center"/>
            </w:pPr>
            <w:r>
              <w:rPr>
                <w:rFonts w:ascii="宋体" w:hAnsi="宋体" w:eastAsia="宋体"/>
                <w:sz w:val="16"/>
              </w:rPr>
              <w:t>=0.18平方米/万元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891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8E76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861CE">
            <w:pPr>
              <w:jc w:val="center"/>
            </w:pPr>
            <w:r>
              <w:rPr>
                <w:rFonts w:ascii="宋体" w:hAnsi="宋体" w:eastAsia="宋体"/>
                <w:sz w:val="16"/>
              </w:rPr>
              <w:t>偏差原因：招商难度较大，村庄地理位置相对偏远，商业氛围不够浓厚；改进措施：加强项目管理。</w:t>
            </w:r>
          </w:p>
        </w:tc>
      </w:tr>
      <w:tr w14:paraId="42718B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556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E02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137D4">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CBE72">
            <w:pPr>
              <w:jc w:val="center"/>
            </w:pPr>
            <w:r>
              <w:rPr>
                <w:rFonts w:ascii="宋体" w:hAnsi="宋体" w:eastAsia="宋体"/>
                <w:sz w:val="16"/>
              </w:rPr>
              <w:t>村集体经济年收入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0BCC">
            <w:pPr>
              <w:jc w:val="center"/>
            </w:pPr>
            <w:r>
              <w:rPr>
                <w:rFonts w:ascii="宋体" w:hAnsi="宋体" w:eastAsia="宋体"/>
                <w:sz w:val="16"/>
              </w:rPr>
              <w:t>&gt;=4万元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4A3BC">
            <w:pPr>
              <w:jc w:val="center"/>
            </w:pPr>
            <w:r>
              <w:rPr>
                <w:rFonts w:ascii="宋体" w:hAnsi="宋体" w:eastAsia="宋体"/>
                <w:sz w:val="16"/>
              </w:rPr>
              <w: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5EC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534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3E05A">
            <w:pPr>
              <w:jc w:val="center"/>
            </w:pPr>
          </w:p>
        </w:tc>
      </w:tr>
      <w:tr w14:paraId="4C9359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840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76E5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B354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4150A">
            <w:pPr>
              <w:jc w:val="center"/>
            </w:pPr>
            <w:r>
              <w:rPr>
                <w:rFonts w:ascii="宋体" w:hAnsi="宋体" w:eastAsia="宋体"/>
                <w:sz w:val="16"/>
              </w:rPr>
              <w:t>受益脱贫户户数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163CB">
            <w:pPr>
              <w:jc w:val="center"/>
            </w:pPr>
            <w:r>
              <w:rPr>
                <w:rFonts w:ascii="宋体" w:hAnsi="宋体" w:eastAsia="宋体"/>
                <w:sz w:val="16"/>
              </w:rPr>
              <w:t>&gt;=54户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28FED">
            <w:pPr>
              <w:jc w:val="center"/>
            </w:pPr>
            <w:r>
              <w:rPr>
                <w:rFonts w:ascii="宋体" w:hAnsi="宋体" w:eastAsia="宋体"/>
                <w:sz w:val="16"/>
              </w:rPr>
              <w:t>=45户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62A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61B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2CF2F">
            <w:pPr>
              <w:jc w:val="center"/>
            </w:pPr>
          </w:p>
        </w:tc>
      </w:tr>
      <w:tr w14:paraId="07C99E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7D1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0F8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0E7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1323D">
            <w:pPr>
              <w:jc w:val="center"/>
            </w:pPr>
            <w:r>
              <w:rPr>
                <w:rFonts w:ascii="宋体" w:hAnsi="宋体" w:eastAsia="宋体"/>
                <w:sz w:val="16"/>
              </w:rPr>
              <w:t>受益脱贫人口数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66076">
            <w:pPr>
              <w:jc w:val="center"/>
            </w:pPr>
            <w:r>
              <w:rPr>
                <w:rFonts w:ascii="宋体" w:hAnsi="宋体" w:eastAsia="宋体"/>
                <w:sz w:val="16"/>
              </w:rPr>
              <w:t>&gt;=124人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492CF">
            <w:pPr>
              <w:jc w:val="center"/>
            </w:pPr>
            <w:r>
              <w:rPr>
                <w:rFonts w:ascii="宋体" w:hAnsi="宋体" w:eastAsia="宋体"/>
                <w:sz w:val="16"/>
              </w:rPr>
              <w:t>=124人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C84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ED8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F2EF">
            <w:pPr>
              <w:jc w:val="center"/>
            </w:pPr>
          </w:p>
        </w:tc>
      </w:tr>
      <w:tr w14:paraId="7F02B3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DBB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D8EE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B4E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B5CC">
            <w:pPr>
              <w:jc w:val="center"/>
            </w:pPr>
            <w:r>
              <w:rPr>
                <w:rFonts w:ascii="宋体" w:hAnsi="宋体" w:eastAsia="宋体"/>
                <w:sz w:val="16"/>
              </w:rPr>
              <w:t>受益脱贫人口满意度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0B93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29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429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E03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A79D">
            <w:pPr>
              <w:jc w:val="center"/>
            </w:pPr>
            <w:r>
              <w:rPr>
                <w:rFonts w:ascii="宋体" w:hAnsi="宋体" w:eastAsia="宋体"/>
                <w:sz w:val="16"/>
              </w:rPr>
              <w:t>基础设施配套有待进一步完善</w:t>
            </w:r>
          </w:p>
        </w:tc>
      </w:tr>
      <w:tr w14:paraId="5BE4B12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8B74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09D0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062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F9C69">
            <w:pPr>
              <w:jc w:val="center"/>
            </w:pPr>
            <w:r>
              <w:rPr>
                <w:rFonts w:ascii="宋体" w:hAnsi="宋体" w:eastAsia="宋体"/>
                <w:sz w:val="16"/>
              </w:rPr>
              <w:t>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5487BD"/>
        </w:tc>
      </w:tr>
    </w:tbl>
    <w:p w14:paraId="6E338990">
      <w:r>
        <w:br w:type="page"/>
      </w:r>
    </w:p>
    <w:p w14:paraId="13CAE83E">
      <w:pPr>
        <w:spacing w:line="640" w:lineRule="exact"/>
        <w:ind w:firstLine="640"/>
        <w:jc w:val="both"/>
        <w:outlineLvl w:val="2"/>
      </w:pPr>
      <w:r>
        <w:rPr>
          <w:rFonts w:ascii="黑体" w:hAnsi="黑体" w:eastAsia="黑体"/>
          <w:sz w:val="32"/>
        </w:rPr>
        <w:t>十二、其他需说明的事项</w:t>
      </w:r>
    </w:p>
    <w:p w14:paraId="23CB2E7C">
      <w:pPr>
        <w:spacing w:line="580" w:lineRule="exact"/>
        <w:ind w:firstLine="640"/>
        <w:jc w:val="both"/>
      </w:pPr>
      <w:r>
        <w:rPr>
          <w:rFonts w:ascii="仿宋_GB2312" w:hAnsi="仿宋_GB2312" w:eastAsia="仿宋_GB2312"/>
          <w:b w:val="0"/>
          <w:sz w:val="32"/>
        </w:rPr>
        <w:t>本单位无其他需说明的事项。</w:t>
      </w:r>
    </w:p>
    <w:p w14:paraId="1E010061">
      <w:r>
        <w:br w:type="page"/>
      </w:r>
    </w:p>
    <w:p w14:paraId="4AE493D9">
      <w:pPr>
        <w:spacing w:line="240" w:lineRule="auto"/>
        <w:jc w:val="center"/>
        <w:outlineLvl w:val="1"/>
      </w:pPr>
      <w:r>
        <w:rPr>
          <w:rFonts w:ascii="黑体" w:hAnsi="黑体" w:eastAsia="黑体"/>
          <w:sz w:val="32"/>
        </w:rPr>
        <w:t>第三部分 专业名词解释</w:t>
      </w:r>
    </w:p>
    <w:p w14:paraId="2B057FE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92AD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A8BE6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293B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7096C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EADFC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745E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D63B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F50A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7C6CB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2CA1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76C57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9F23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AA398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49A5E2">
      <w:r>
        <w:br w:type="page"/>
      </w:r>
    </w:p>
    <w:p w14:paraId="20B2394F">
      <w:pPr>
        <w:spacing w:line="240" w:lineRule="auto"/>
        <w:jc w:val="center"/>
        <w:outlineLvl w:val="1"/>
      </w:pPr>
      <w:r>
        <w:rPr>
          <w:rFonts w:ascii="黑体" w:hAnsi="黑体" w:eastAsia="黑体"/>
          <w:sz w:val="32"/>
        </w:rPr>
        <w:t>第四部分 部门决算报表（见附表）</w:t>
      </w:r>
    </w:p>
    <w:p w14:paraId="56294430">
      <w:pPr>
        <w:spacing w:line="240" w:lineRule="auto"/>
        <w:ind w:firstLine="640"/>
        <w:jc w:val="both"/>
      </w:pPr>
      <w:r>
        <w:rPr>
          <w:rFonts w:ascii="仿宋_GB2312" w:hAnsi="仿宋_GB2312" w:eastAsia="仿宋_GB2312"/>
          <w:b w:val="0"/>
          <w:sz w:val="32"/>
        </w:rPr>
        <w:t>一、《收入支出决算总表》</w:t>
      </w:r>
    </w:p>
    <w:p w14:paraId="1190ABAD">
      <w:pPr>
        <w:spacing w:line="240" w:lineRule="auto"/>
        <w:ind w:firstLine="640"/>
        <w:jc w:val="both"/>
      </w:pPr>
      <w:r>
        <w:rPr>
          <w:rFonts w:ascii="仿宋_GB2312" w:hAnsi="仿宋_GB2312" w:eastAsia="仿宋_GB2312"/>
          <w:b w:val="0"/>
          <w:sz w:val="32"/>
        </w:rPr>
        <w:t>二、《收入决算表》</w:t>
      </w:r>
    </w:p>
    <w:p w14:paraId="6B189593">
      <w:pPr>
        <w:spacing w:line="240" w:lineRule="auto"/>
        <w:ind w:firstLine="640"/>
        <w:jc w:val="both"/>
      </w:pPr>
      <w:r>
        <w:rPr>
          <w:rFonts w:ascii="仿宋_GB2312" w:hAnsi="仿宋_GB2312" w:eastAsia="仿宋_GB2312"/>
          <w:b w:val="0"/>
          <w:sz w:val="32"/>
        </w:rPr>
        <w:t>三、《支出决算表》</w:t>
      </w:r>
    </w:p>
    <w:p w14:paraId="39120ACF">
      <w:pPr>
        <w:spacing w:line="240" w:lineRule="auto"/>
        <w:ind w:firstLine="640"/>
        <w:jc w:val="both"/>
      </w:pPr>
      <w:r>
        <w:rPr>
          <w:rFonts w:ascii="仿宋_GB2312" w:hAnsi="仿宋_GB2312" w:eastAsia="仿宋_GB2312"/>
          <w:b w:val="0"/>
          <w:sz w:val="32"/>
        </w:rPr>
        <w:t>四、《财政拨款收入支出决算总表》</w:t>
      </w:r>
    </w:p>
    <w:p w14:paraId="0FF79B96">
      <w:pPr>
        <w:spacing w:line="240" w:lineRule="auto"/>
        <w:ind w:firstLine="640"/>
        <w:jc w:val="both"/>
      </w:pPr>
      <w:r>
        <w:rPr>
          <w:rFonts w:ascii="仿宋_GB2312" w:hAnsi="仿宋_GB2312" w:eastAsia="仿宋_GB2312"/>
          <w:b w:val="0"/>
          <w:sz w:val="32"/>
        </w:rPr>
        <w:t>五、《一般公共预算财政拨款支出决算表》</w:t>
      </w:r>
    </w:p>
    <w:p w14:paraId="05A7CDA9">
      <w:pPr>
        <w:spacing w:line="240" w:lineRule="auto"/>
        <w:ind w:firstLine="640"/>
        <w:jc w:val="both"/>
      </w:pPr>
      <w:r>
        <w:rPr>
          <w:rFonts w:ascii="仿宋_GB2312" w:hAnsi="仿宋_GB2312" w:eastAsia="仿宋_GB2312"/>
          <w:b w:val="0"/>
          <w:sz w:val="32"/>
        </w:rPr>
        <w:t>六、《一般公共预算财政拨款基本支出决算表》</w:t>
      </w:r>
    </w:p>
    <w:p w14:paraId="758C3C4E">
      <w:pPr>
        <w:spacing w:line="240" w:lineRule="auto"/>
        <w:ind w:firstLine="640"/>
        <w:jc w:val="both"/>
      </w:pPr>
      <w:r>
        <w:rPr>
          <w:rFonts w:ascii="仿宋_GB2312" w:hAnsi="仿宋_GB2312" w:eastAsia="仿宋_GB2312"/>
          <w:b w:val="0"/>
          <w:sz w:val="32"/>
        </w:rPr>
        <w:t>七、《政府性基金预算财政拨款收入支出决算表》</w:t>
      </w:r>
    </w:p>
    <w:p w14:paraId="1C246F4D">
      <w:pPr>
        <w:spacing w:line="240" w:lineRule="auto"/>
        <w:ind w:firstLine="640"/>
        <w:jc w:val="both"/>
      </w:pPr>
      <w:r>
        <w:rPr>
          <w:rFonts w:ascii="仿宋_GB2312" w:hAnsi="仿宋_GB2312" w:eastAsia="仿宋_GB2312"/>
          <w:b w:val="0"/>
          <w:sz w:val="32"/>
        </w:rPr>
        <w:t>八、《国有资本经营预算财政拨款收入支出决算表》</w:t>
      </w:r>
    </w:p>
    <w:p w14:paraId="493C7205">
      <w:pPr>
        <w:spacing w:line="240" w:lineRule="auto"/>
        <w:ind w:firstLine="640"/>
        <w:jc w:val="both"/>
      </w:pPr>
      <w:r>
        <w:rPr>
          <w:rFonts w:ascii="仿宋_GB2312" w:hAnsi="仿宋_GB2312" w:eastAsia="仿宋_GB2312"/>
          <w:b w:val="0"/>
          <w:sz w:val="32"/>
        </w:rPr>
        <w:t>九、《财政拨款“三公”经费支出决算表》</w:t>
      </w:r>
    </w:p>
    <w:p w14:paraId="2EC5DC61">
      <w:pPr>
        <w:spacing w:line="240" w:lineRule="auto"/>
        <w:ind w:firstLine="640"/>
        <w:jc w:val="both"/>
      </w:pPr>
    </w:p>
    <w:p w14:paraId="0A614FD2">
      <w:pPr>
        <w:spacing w:line="240" w:lineRule="auto"/>
        <w:ind w:firstLine="640"/>
        <w:jc w:val="both"/>
      </w:pPr>
    </w:p>
    <w:p w14:paraId="420A0889">
      <w:pPr>
        <w:spacing w:line="240" w:lineRule="auto"/>
        <w:ind w:firstLine="640"/>
        <w:jc w:val="both"/>
      </w:pPr>
    </w:p>
    <w:p w14:paraId="0E3079FA">
      <w:pPr>
        <w:spacing w:line="240" w:lineRule="auto"/>
        <w:ind w:firstLine="640"/>
        <w:jc w:val="both"/>
      </w:pPr>
    </w:p>
    <w:p w14:paraId="4AED672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B5FF10-EDE9-466F-85BE-EFA1B59480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BA93F11-CB30-46D0-9256-B855E8847EF8}"/>
  </w:font>
  <w:font w:name="仿宋_GB2312">
    <w:panose1 w:val="02010609030101010101"/>
    <w:charset w:val="86"/>
    <w:family w:val="modern"/>
    <w:pitch w:val="default"/>
    <w:sig w:usb0="00000001" w:usb1="080E0000" w:usb2="00000000" w:usb3="00000000" w:csb0="00040000" w:csb1="00000000"/>
    <w:embedRegular r:id="rId3" w:fontKey="{384B5194-AF6B-4CD6-A218-6099643EDA3A}"/>
  </w:font>
  <w:font w:name="楷体_GB2312">
    <w:panose1 w:val="02010609030101010101"/>
    <w:charset w:val="86"/>
    <w:family w:val="auto"/>
    <w:pitch w:val="default"/>
    <w:sig w:usb0="00000001" w:usb1="080E0000" w:usb2="00000000" w:usb3="00000000" w:csb0="00040000" w:csb1="00000000"/>
    <w:embedRegular r:id="rId4" w:fontKey="{8BFD50FF-A5A1-45BE-9B93-3D60D9104F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6B1A2F"/>
    <w:rsid w:val="62DD7D21"/>
    <w:rsid w:val="65D97752"/>
    <w:rsid w:val="664C500C"/>
    <w:rsid w:val="67D111AB"/>
    <w:rsid w:val="68DB0208"/>
    <w:rsid w:val="68DF36D5"/>
    <w:rsid w:val="69846A0E"/>
    <w:rsid w:val="69AD798C"/>
    <w:rsid w:val="6A347696"/>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6486</Words>
  <Characters>7456</Characters>
  <Lines>0</Lines>
  <Paragraphs>0</Paragraphs>
  <TotalTime>16</TotalTime>
  <ScaleCrop>false</ScaleCrop>
  <LinksUpToDate>false</LinksUpToDate>
  <CharactersWithSpaces>7464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2025-09-25T04:23:29Z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