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民丰县尼雅乡中心幼儿园2024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B1AA585">
      <w:r>
        <w:br w:type="page"/>
      </w:r>
    </w:p>
    <w:p w14:paraId="4B7CEE9C">
      <w:pPr>
        <w:spacing w:line="640" w:lineRule="exact"/>
        <w:jc w:val="center"/>
        <w:outlineLvl w:val="1"/>
      </w:pPr>
      <w:r>
        <w:rPr>
          <w:rFonts w:ascii="黑体" w:hAnsi="黑体" w:eastAsia="黑体"/>
          <w:sz w:val="32"/>
        </w:rPr>
        <w:t>第一部分 单位概况</w:t>
      </w:r>
    </w:p>
    <w:p w14:paraId="246759A5">
      <w:pPr>
        <w:spacing w:line="640" w:lineRule="exact"/>
        <w:ind w:firstLine="640"/>
        <w:jc w:val="both"/>
        <w:outlineLvl w:val="2"/>
      </w:pPr>
      <w:r>
        <w:rPr>
          <w:rFonts w:ascii="黑体" w:hAnsi="黑体" w:eastAsia="黑体"/>
          <w:sz w:val="32"/>
        </w:rPr>
        <w:t>一、主要职能</w:t>
      </w:r>
    </w:p>
    <w:p w14:paraId="45D917FB">
      <w:pPr>
        <w:spacing w:line="580" w:lineRule="exact"/>
        <w:ind w:firstLine="640"/>
        <w:jc w:val="both"/>
      </w:pPr>
      <w:r>
        <w:rPr>
          <w:rFonts w:ascii="仿宋_GB2312" w:hAnsi="仿宋_GB2312" w:eastAsia="仿宋_GB2312"/>
          <w:sz w:val="32"/>
        </w:rPr>
        <w:t>促进幼儿身心和谐全面发展、认真贯彻执行《幼儿园工作规程》，结合幼儿的特点和个体差异及时制定好各类教育工作计划，并认真实施，有计划有步骤地开展保教工作。落实上级教育部门的工作任务，指导、检查、全体教职工业务学习、思想政治工作、做好</w:t>
      </w:r>
      <w:r>
        <w:rPr>
          <w:rFonts w:hint="eastAsia" w:ascii="仿宋_GB2312" w:hAnsi="仿宋_GB2312" w:eastAsia="仿宋_GB2312"/>
          <w:sz w:val="32"/>
          <w:lang w:eastAsia="zh-CN"/>
        </w:rPr>
        <w:t>WW</w:t>
      </w:r>
      <w:r>
        <w:rPr>
          <w:rFonts w:ascii="仿宋_GB2312" w:hAnsi="仿宋_GB2312" w:eastAsia="仿宋_GB2312"/>
          <w:sz w:val="32"/>
        </w:rPr>
        <w:t>工作、党建工作、工青妇等日常工作。</w:t>
      </w:r>
    </w:p>
    <w:p w14:paraId="058F3830">
      <w:pPr>
        <w:spacing w:line="640" w:lineRule="exact"/>
        <w:ind w:firstLine="640"/>
        <w:jc w:val="both"/>
        <w:outlineLvl w:val="2"/>
      </w:pPr>
      <w:r>
        <w:rPr>
          <w:rFonts w:ascii="黑体" w:hAnsi="黑体" w:eastAsia="黑体"/>
          <w:sz w:val="32"/>
        </w:rPr>
        <w:t>二、机构设置及人员情况</w:t>
      </w:r>
    </w:p>
    <w:p w14:paraId="5F1F2C12">
      <w:pPr>
        <w:spacing w:line="580" w:lineRule="exact"/>
        <w:ind w:firstLine="640"/>
        <w:jc w:val="both"/>
      </w:pPr>
      <w:r>
        <w:rPr>
          <w:rFonts w:ascii="仿宋_GB2312" w:hAnsi="仿宋_GB2312" w:eastAsia="仿宋_GB2312"/>
          <w:sz w:val="32"/>
        </w:rPr>
        <w:t>民丰县尼雅乡中心幼儿园2024年度，实有人数21人，其中：在职人员21人，增加2人；离休人员0人，增加0人；退休人员0人,增加0人。</w:t>
      </w:r>
    </w:p>
    <w:p w14:paraId="181A21D6">
      <w:pPr>
        <w:spacing w:line="580" w:lineRule="exact"/>
        <w:ind w:firstLine="640"/>
        <w:jc w:val="both"/>
      </w:pPr>
      <w:r>
        <w:rPr>
          <w:rFonts w:ascii="仿宋_GB2312" w:hAnsi="仿宋_GB2312" w:eastAsia="仿宋_GB2312"/>
          <w:sz w:val="32"/>
        </w:rPr>
        <w:t>民丰县尼雅乡中心幼儿园无下属预算单位，下设7个科室，分别是：园办、德育办、安全办、教务处、财务室、保健室、后勤保障室。</w:t>
      </w:r>
    </w:p>
    <w:p w14:paraId="50DC2713">
      <w:r>
        <w:br w:type="page"/>
      </w:r>
    </w:p>
    <w:p w14:paraId="0802AA4E">
      <w:pPr>
        <w:spacing w:line="240" w:lineRule="auto"/>
        <w:jc w:val="center"/>
        <w:outlineLvl w:val="1"/>
      </w:pPr>
      <w:r>
        <w:rPr>
          <w:rFonts w:ascii="黑体" w:hAnsi="黑体" w:eastAsia="黑体"/>
          <w:sz w:val="32"/>
        </w:rPr>
        <w:t>第二部分 部门决算情况说明</w:t>
      </w:r>
    </w:p>
    <w:p w14:paraId="2401BDE5">
      <w:pPr>
        <w:spacing w:line="640" w:lineRule="exact"/>
        <w:ind w:firstLine="640"/>
        <w:jc w:val="both"/>
        <w:outlineLvl w:val="2"/>
      </w:pPr>
      <w:r>
        <w:rPr>
          <w:rFonts w:ascii="黑体" w:hAnsi="黑体" w:eastAsia="黑体"/>
          <w:sz w:val="32"/>
        </w:rPr>
        <w:t>一、收入支出决算总体情况说明</w:t>
      </w:r>
    </w:p>
    <w:p w14:paraId="7177A72A">
      <w:pPr>
        <w:spacing w:line="580" w:lineRule="exact"/>
        <w:ind w:firstLine="640"/>
        <w:jc w:val="both"/>
      </w:pPr>
      <w:r>
        <w:rPr>
          <w:rFonts w:ascii="仿宋_GB2312" w:hAnsi="仿宋_GB2312" w:eastAsia="仿宋_GB2312"/>
          <w:b/>
          <w:sz w:val="32"/>
        </w:rPr>
        <w:t>2024年度收入总计417.90万元，</w:t>
      </w:r>
      <w:r>
        <w:rPr>
          <w:rFonts w:ascii="仿宋_GB2312" w:hAnsi="仿宋_GB2312" w:eastAsia="仿宋_GB2312"/>
          <w:b w:val="0"/>
          <w:sz w:val="32"/>
        </w:rPr>
        <w:t>其中：本年收入合计417.90万元，使用非财政拨款结余（含专用结余）0.00万元，年初结转和结余0.00万元。</w:t>
      </w:r>
    </w:p>
    <w:p w14:paraId="662DE1EC">
      <w:pPr>
        <w:spacing w:line="580" w:lineRule="exact"/>
        <w:ind w:firstLine="640"/>
        <w:jc w:val="both"/>
      </w:pPr>
      <w:r>
        <w:rPr>
          <w:rFonts w:ascii="仿宋_GB2312" w:hAnsi="仿宋_GB2312" w:eastAsia="仿宋_GB2312"/>
          <w:b/>
          <w:sz w:val="32"/>
        </w:rPr>
        <w:t>2024年度支出总计417.90万元，</w:t>
      </w:r>
      <w:r>
        <w:rPr>
          <w:rFonts w:ascii="仿宋_GB2312" w:hAnsi="仿宋_GB2312" w:eastAsia="仿宋_GB2312"/>
          <w:b w:val="0"/>
          <w:sz w:val="32"/>
        </w:rPr>
        <w:t>其中：本年支出合计417.87万元，结余分配0.00万元，年末结转和结余0.03万元。</w:t>
      </w:r>
    </w:p>
    <w:p w14:paraId="5F4AD0B0">
      <w:pPr>
        <w:spacing w:line="580" w:lineRule="exact"/>
        <w:ind w:firstLine="640"/>
        <w:jc w:val="both"/>
      </w:pPr>
      <w:r>
        <w:rPr>
          <w:rFonts w:ascii="仿宋_GB2312" w:hAnsi="仿宋_GB2312" w:eastAsia="仿宋_GB2312"/>
          <w:b w:val="0"/>
          <w:sz w:val="32"/>
        </w:rPr>
        <w:t>收入支出总体与上年相比，增加24.99万元，增长6.36%，主要原因是：本年在职人员增加，在职人员工资调增、社保、公积金基数调增，人员经费增加。</w:t>
      </w:r>
    </w:p>
    <w:p w14:paraId="015E8DAB">
      <w:pPr>
        <w:spacing w:line="640" w:lineRule="exact"/>
        <w:ind w:firstLine="640"/>
        <w:jc w:val="both"/>
        <w:outlineLvl w:val="2"/>
      </w:pPr>
      <w:r>
        <w:rPr>
          <w:rFonts w:ascii="黑体" w:hAnsi="黑体" w:eastAsia="黑体"/>
          <w:sz w:val="32"/>
        </w:rPr>
        <w:t>二、收入决算情况说明</w:t>
      </w:r>
    </w:p>
    <w:p w14:paraId="407684B0">
      <w:pPr>
        <w:spacing w:line="580" w:lineRule="exact"/>
        <w:ind w:firstLine="640"/>
        <w:jc w:val="both"/>
      </w:pPr>
      <w:r>
        <w:rPr>
          <w:rFonts w:ascii="仿宋_GB2312" w:hAnsi="仿宋_GB2312" w:eastAsia="仿宋_GB2312"/>
          <w:b/>
          <w:sz w:val="32"/>
        </w:rPr>
        <w:t>本年收入417.90万元，</w:t>
      </w:r>
      <w:r>
        <w:rPr>
          <w:rFonts w:ascii="仿宋_GB2312" w:hAnsi="仿宋_GB2312" w:eastAsia="仿宋_GB2312"/>
          <w:b w:val="0"/>
          <w:sz w:val="32"/>
        </w:rPr>
        <w:t>其中：财政拨款收入417.87万元，占99.99%；上级补助收入0.00万元，占0.00%；事业收入0.00万元，占0.00%；经营收入0.00万元，占0.00%；附属单位上缴收入0.00万元，占0.00%；其他收入0.03万元，占0.007%。</w:t>
      </w:r>
    </w:p>
    <w:p w14:paraId="37234F61">
      <w:pPr>
        <w:spacing w:line="640" w:lineRule="exact"/>
        <w:ind w:firstLine="640"/>
        <w:jc w:val="both"/>
        <w:outlineLvl w:val="2"/>
      </w:pPr>
      <w:r>
        <w:rPr>
          <w:rFonts w:ascii="黑体" w:hAnsi="黑体" w:eastAsia="黑体"/>
          <w:sz w:val="32"/>
        </w:rPr>
        <w:t>三、支出决算情况说明</w:t>
      </w:r>
    </w:p>
    <w:p w14:paraId="083A5F6A">
      <w:pPr>
        <w:spacing w:line="580" w:lineRule="exact"/>
        <w:ind w:firstLine="640"/>
        <w:jc w:val="both"/>
      </w:pPr>
      <w:r>
        <w:rPr>
          <w:rFonts w:ascii="仿宋_GB2312" w:hAnsi="仿宋_GB2312" w:eastAsia="仿宋_GB2312"/>
          <w:b/>
          <w:sz w:val="32"/>
        </w:rPr>
        <w:t>本年支出417.87万元，</w:t>
      </w:r>
      <w:r>
        <w:rPr>
          <w:rFonts w:ascii="仿宋_GB2312" w:hAnsi="仿宋_GB2312" w:eastAsia="仿宋_GB2312"/>
          <w:b w:val="0"/>
          <w:sz w:val="32"/>
        </w:rPr>
        <w:t>其中：基本支出374.92万元，占89.72%；项目支出42.95万元，占10.28%；上缴上级支出0.00万元，占0.00%；经营支出0.00万元，占0.00%；对附属单位补助支出0.00万元，占0.00%。</w:t>
      </w:r>
    </w:p>
    <w:p w14:paraId="6CD03F53">
      <w:pPr>
        <w:spacing w:line="640" w:lineRule="exact"/>
        <w:ind w:firstLine="640"/>
        <w:jc w:val="both"/>
        <w:outlineLvl w:val="2"/>
      </w:pPr>
      <w:r>
        <w:rPr>
          <w:rFonts w:ascii="黑体" w:hAnsi="黑体" w:eastAsia="黑体"/>
          <w:sz w:val="32"/>
        </w:rPr>
        <w:t>四、财政拨款收入支出决算总体情况说明</w:t>
      </w:r>
    </w:p>
    <w:p w14:paraId="74BCE0D4">
      <w:pPr>
        <w:spacing w:line="580" w:lineRule="exact"/>
        <w:ind w:firstLine="640"/>
        <w:jc w:val="both"/>
      </w:pPr>
      <w:r>
        <w:rPr>
          <w:rFonts w:ascii="仿宋_GB2312" w:hAnsi="仿宋_GB2312" w:eastAsia="仿宋_GB2312"/>
          <w:b/>
          <w:sz w:val="32"/>
        </w:rPr>
        <w:t>2024年度财政拨款收入总计417.87万元，</w:t>
      </w:r>
      <w:r>
        <w:rPr>
          <w:rFonts w:ascii="仿宋_GB2312" w:hAnsi="仿宋_GB2312" w:eastAsia="仿宋_GB2312"/>
          <w:b w:val="0"/>
          <w:sz w:val="32"/>
        </w:rPr>
        <w:t>其中：年初财政拨款结转和结余0.00万元，本年财政拨款收入417.87万元。</w:t>
      </w:r>
      <w:r>
        <w:rPr>
          <w:rFonts w:ascii="仿宋_GB2312" w:hAnsi="仿宋_GB2312" w:eastAsia="仿宋_GB2312"/>
          <w:b/>
          <w:sz w:val="32"/>
        </w:rPr>
        <w:t>财政拨款支出总计417.87万元，</w:t>
      </w:r>
      <w:r>
        <w:rPr>
          <w:rFonts w:ascii="仿宋_GB2312" w:hAnsi="仿宋_GB2312" w:eastAsia="仿宋_GB2312"/>
          <w:b w:val="0"/>
          <w:sz w:val="32"/>
        </w:rPr>
        <w:t>其中：年末财政拨款结转和结余0.00万元，本年财政拨款支出417.87万元。</w:t>
      </w:r>
    </w:p>
    <w:p w14:paraId="74E2648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增加24.97万元，增长6.36%，主要原因是：本年在职人员增加，在职人员工资调增、社保、公积金基数调增，人员经费增加。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年初预算数396.62万元，决算数417.87万元，预决算差异率5.36%，主要原因是：本年在职人员增加，年中追加人员经费及人员工资、社保、公积金基数调增部分资金，导致预决算存在差异。</w:t>
      </w:r>
    </w:p>
    <w:p w14:paraId="3476305B">
      <w:pPr>
        <w:spacing w:line="640" w:lineRule="exact"/>
        <w:ind w:firstLine="640"/>
        <w:jc w:val="both"/>
        <w:outlineLvl w:val="2"/>
      </w:pPr>
      <w:r>
        <w:rPr>
          <w:rFonts w:ascii="黑体" w:hAnsi="黑体" w:eastAsia="黑体"/>
          <w:sz w:val="32"/>
        </w:rPr>
        <w:t>五、一般公共预算财政拨款支出决算情况说明</w:t>
      </w:r>
    </w:p>
    <w:p w14:paraId="35A62E75">
      <w:pPr>
        <w:spacing w:line="640" w:lineRule="exact"/>
        <w:ind w:firstLine="640"/>
        <w:jc w:val="both"/>
        <w:outlineLvl w:val="3"/>
      </w:pPr>
      <w:r>
        <w:rPr>
          <w:rFonts w:ascii="楷体_GB2312" w:hAnsi="楷体_GB2312" w:eastAsia="楷体_GB2312"/>
          <w:b/>
          <w:sz w:val="32"/>
        </w:rPr>
        <w:t>（一）一般公共预算财政拨款支出决算总体情况</w:t>
      </w:r>
    </w:p>
    <w:p w14:paraId="3AA8382D">
      <w:pPr>
        <w:spacing w:line="580" w:lineRule="exact"/>
        <w:ind w:firstLine="640"/>
        <w:jc w:val="both"/>
      </w:pPr>
      <w:r>
        <w:rPr>
          <w:rFonts w:ascii="仿宋_GB2312" w:hAnsi="仿宋_GB2312" w:eastAsia="仿宋_GB2312"/>
          <w:b/>
          <w:sz w:val="32"/>
        </w:rPr>
        <w:t>2024年度一般公共预算财政拨款支出417.87万元，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增加24.97万元，增长6.36%，主要原因是：本年在职人员增加，在职人员工资调增、社保、公积金基数调增，人员经费增加。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年初预算数396.62万元，决算数417.87万元，预决算差异率5.36%，主要原因是：本年在职人员增加，年中追加人员经费及人员工资、社保、公积金基数调增部分资金，导致预决算存在差异。</w:t>
      </w:r>
    </w:p>
    <w:p w14:paraId="29E95C1B">
      <w:pPr>
        <w:spacing w:line="640" w:lineRule="exact"/>
        <w:ind w:firstLine="640"/>
        <w:jc w:val="both"/>
        <w:outlineLvl w:val="3"/>
      </w:pPr>
      <w:r>
        <w:rPr>
          <w:rFonts w:ascii="楷体_GB2312" w:hAnsi="楷体_GB2312" w:eastAsia="楷体_GB2312"/>
          <w:b/>
          <w:sz w:val="32"/>
        </w:rPr>
        <w:t>（二）一般公共预算财政拨款支出决算结构情况</w:t>
      </w:r>
    </w:p>
    <w:p w14:paraId="479A4905">
      <w:pPr>
        <w:spacing w:line="580" w:lineRule="exact"/>
        <w:ind w:firstLine="640"/>
        <w:jc w:val="both"/>
      </w:pPr>
      <w:r>
        <w:rPr>
          <w:rFonts w:ascii="仿宋_GB2312" w:hAnsi="仿宋_GB2312" w:eastAsia="仿宋_GB2312"/>
          <w:b w:val="0"/>
          <w:sz w:val="32"/>
        </w:rPr>
        <w:t>1.教育支出(类)417.87万元,占100.00%。</w:t>
      </w:r>
    </w:p>
    <w:p w14:paraId="43D3B608">
      <w:pPr>
        <w:spacing w:line="640" w:lineRule="exact"/>
        <w:ind w:firstLine="640"/>
        <w:jc w:val="both"/>
        <w:outlineLvl w:val="3"/>
      </w:pPr>
      <w:r>
        <w:rPr>
          <w:rFonts w:ascii="楷体_GB2312" w:hAnsi="楷体_GB2312" w:eastAsia="楷体_GB2312"/>
          <w:b/>
          <w:sz w:val="32"/>
        </w:rPr>
        <w:t>（三）一般公共预算财政拨款支出决算具体情况</w:t>
      </w:r>
    </w:p>
    <w:p w14:paraId="0B5DC756">
      <w:pPr>
        <w:spacing w:line="580" w:lineRule="exact"/>
        <w:ind w:firstLine="640"/>
        <w:jc w:val="both"/>
      </w:pPr>
      <w:r>
        <w:rPr>
          <w:rFonts w:ascii="仿宋_GB2312" w:hAnsi="仿宋_GB2312" w:eastAsia="仿宋_GB2312"/>
          <w:b w:val="0"/>
          <w:sz w:val="32"/>
        </w:rPr>
        <w:t>1.教育支出(类)普通教育(款)学前教育(项):支出决算数为417.87万元，比上年决算增加29.47万元，增长7.59%,主要原因是：本年在职人员增加，在职人员工资调增、社保、公积金基数调增，人员经费增加。</w:t>
      </w:r>
    </w:p>
    <w:p w14:paraId="5C1C0B4E">
      <w:pPr>
        <w:spacing w:line="580" w:lineRule="exact"/>
        <w:ind w:firstLine="640"/>
        <w:jc w:val="both"/>
      </w:pPr>
      <w:r>
        <w:rPr>
          <w:rFonts w:ascii="仿宋_GB2312" w:hAnsi="仿宋_GB2312" w:eastAsia="仿宋_GB2312"/>
          <w:b w:val="0"/>
          <w:sz w:val="32"/>
        </w:rPr>
        <w:t>2.教育支出(类)其他教育支出(款)其他教育支出(项):支出决算数为0.00万元，比上年决算减少4.50万元，下降100.00%,主要原因是：本年减少安保人员工资支出。</w:t>
      </w:r>
    </w:p>
    <w:p w14:paraId="090DCC95">
      <w:pPr>
        <w:spacing w:line="640" w:lineRule="exact"/>
        <w:ind w:firstLine="640"/>
        <w:jc w:val="both"/>
        <w:outlineLvl w:val="2"/>
      </w:pPr>
      <w:r>
        <w:rPr>
          <w:rFonts w:ascii="黑体" w:hAnsi="黑体" w:eastAsia="黑体"/>
          <w:sz w:val="32"/>
        </w:rPr>
        <w:t>六、一般公共预算财政拨款基本支出决算情况说明</w:t>
      </w:r>
    </w:p>
    <w:p w14:paraId="453A7729">
      <w:pPr>
        <w:spacing w:line="580" w:lineRule="exact"/>
        <w:ind w:firstLine="640"/>
        <w:jc w:val="both"/>
      </w:pPr>
      <w:r>
        <w:rPr>
          <w:rFonts w:ascii="仿宋_GB2312" w:hAnsi="仿宋_GB2312" w:eastAsia="仿宋_GB2312"/>
          <w:b w:val="0"/>
          <w:sz w:val="32"/>
        </w:rPr>
        <w:t>2024年度一般公共预算财政拨款基本支出374.92万元，其中：</w:t>
      </w:r>
      <w:r>
        <w:rPr>
          <w:rFonts w:ascii="仿宋_GB2312" w:hAnsi="仿宋_GB2312" w:eastAsia="仿宋_GB2312"/>
          <w:b/>
          <w:sz w:val="32"/>
        </w:rPr>
        <w:t>人员经费374.92万元，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w:t>
      </w:r>
    </w:p>
    <w:p w14:paraId="5FC5A55A">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4A75FD85">
      <w:pPr>
        <w:spacing w:line="640" w:lineRule="exact"/>
        <w:ind w:firstLine="640"/>
        <w:jc w:val="both"/>
        <w:outlineLvl w:val="2"/>
      </w:pPr>
      <w:r>
        <w:rPr>
          <w:rFonts w:ascii="黑体" w:hAnsi="黑体" w:eastAsia="黑体"/>
          <w:sz w:val="32"/>
        </w:rPr>
        <w:t>七、政府性基金预算财政拨款收入支出决算情况说明</w:t>
      </w:r>
    </w:p>
    <w:p w14:paraId="439FF57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4BD510A">
      <w:pPr>
        <w:spacing w:line="640" w:lineRule="exact"/>
        <w:ind w:firstLine="640"/>
        <w:jc w:val="both"/>
        <w:outlineLvl w:val="2"/>
      </w:pPr>
      <w:r>
        <w:rPr>
          <w:rFonts w:ascii="黑体" w:hAnsi="黑体" w:eastAsia="黑体"/>
          <w:sz w:val="32"/>
        </w:rPr>
        <w:t>八、国有资本经营预算财政拨款收入支出决算情况说明</w:t>
      </w:r>
    </w:p>
    <w:p w14:paraId="075DBD9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FF1460C">
      <w:pPr>
        <w:spacing w:line="640" w:lineRule="exact"/>
        <w:ind w:firstLine="640"/>
        <w:jc w:val="both"/>
        <w:outlineLvl w:val="2"/>
      </w:pPr>
      <w:r>
        <w:rPr>
          <w:rFonts w:ascii="黑体" w:hAnsi="黑体" w:eastAsia="黑体"/>
          <w:sz w:val="32"/>
        </w:rPr>
        <w:t>九、财政拨款“三公”经费支出决算情况说明</w:t>
      </w:r>
    </w:p>
    <w:p w14:paraId="24F8F3F3">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55BF4D8">
      <w:pPr>
        <w:spacing w:line="580" w:lineRule="exact"/>
        <w:ind w:firstLine="640"/>
        <w:jc w:val="both"/>
      </w:pPr>
      <w:r>
        <w:rPr>
          <w:rFonts w:ascii="仿宋_GB2312" w:hAnsi="仿宋_GB2312" w:eastAsia="仿宋_GB2312"/>
          <w:b/>
          <w:sz w:val="32"/>
        </w:rPr>
        <w:t>具体情况如下：</w:t>
      </w:r>
    </w:p>
    <w:p w14:paraId="035FA12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C9540D6">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2EA083C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8AEB2A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E374BA8">
      <w:pPr>
        <w:spacing w:line="640" w:lineRule="exact"/>
        <w:ind w:firstLine="640"/>
        <w:jc w:val="both"/>
        <w:outlineLvl w:val="2"/>
      </w:pPr>
      <w:r>
        <w:rPr>
          <w:rFonts w:ascii="黑体" w:hAnsi="黑体" w:eastAsia="黑体"/>
          <w:sz w:val="32"/>
        </w:rPr>
        <w:t>十、其他重要事项的情况说明</w:t>
      </w:r>
    </w:p>
    <w:p w14:paraId="53C5663A">
      <w:pPr>
        <w:spacing w:line="640" w:lineRule="exact"/>
        <w:ind w:firstLine="640"/>
        <w:jc w:val="both"/>
        <w:outlineLvl w:val="3"/>
      </w:pPr>
      <w:r>
        <w:rPr>
          <w:rFonts w:ascii="楷体_GB2312" w:hAnsi="楷体_GB2312" w:eastAsia="楷体_GB2312"/>
          <w:b/>
          <w:sz w:val="32"/>
        </w:rPr>
        <w:t>（一）机关运行经费及公用经费支出情况</w:t>
      </w:r>
    </w:p>
    <w:p w14:paraId="7AE2A273">
      <w:pPr>
        <w:spacing w:line="580" w:lineRule="exact"/>
        <w:ind w:firstLine="640"/>
        <w:jc w:val="both"/>
      </w:pPr>
      <w:r>
        <w:rPr>
          <w:rFonts w:ascii="仿宋_GB2312" w:hAnsi="仿宋_GB2312" w:eastAsia="仿宋_GB2312"/>
          <w:b w:val="0"/>
          <w:sz w:val="32"/>
        </w:rPr>
        <w:t>2024年度民丰县尼雅乡中心幼儿园（事业单位）公用经费支出0.00万元，比上年增加0.00万元，增长0.00%，主要原因是：2023年与2024年均未安排公用经费支出。</w:t>
      </w:r>
    </w:p>
    <w:p w14:paraId="39D72E5F">
      <w:pPr>
        <w:spacing w:line="640" w:lineRule="exact"/>
        <w:ind w:firstLine="640"/>
        <w:jc w:val="both"/>
        <w:outlineLvl w:val="3"/>
      </w:pPr>
      <w:r>
        <w:rPr>
          <w:rFonts w:ascii="楷体_GB2312" w:hAnsi="楷体_GB2312" w:eastAsia="楷体_GB2312"/>
          <w:b/>
          <w:sz w:val="32"/>
        </w:rPr>
        <w:t>（二）政府采购情况</w:t>
      </w:r>
    </w:p>
    <w:p w14:paraId="61BE3F76">
      <w:pPr>
        <w:spacing w:line="580" w:lineRule="exact"/>
        <w:ind w:firstLine="640"/>
        <w:jc w:val="both"/>
      </w:pPr>
      <w:r>
        <w:rPr>
          <w:rFonts w:ascii="仿宋_GB2312" w:hAnsi="仿宋_GB2312" w:eastAsia="仿宋_GB2312"/>
          <w:b w:val="0"/>
          <w:sz w:val="32"/>
        </w:rPr>
        <w:t>2024年度政府采购支出总额2.96万元，其中：政府采购货物支出1.84万元、政府采购工程支出0.00万元、政府采购服务支出1.12万元。</w:t>
      </w:r>
    </w:p>
    <w:p w14:paraId="22B37856">
      <w:pPr>
        <w:spacing w:line="580" w:lineRule="exact"/>
        <w:ind w:firstLine="640"/>
        <w:jc w:val="both"/>
      </w:pPr>
      <w:r>
        <w:rPr>
          <w:rFonts w:ascii="仿宋_GB2312" w:hAnsi="仿宋_GB2312" w:eastAsia="仿宋_GB2312"/>
          <w:b w:val="0"/>
          <w:sz w:val="32"/>
        </w:rPr>
        <w:t>授予中小企业合同金额2.96万元，占政府采购支出总额的100.00%，其中：授予小微企业合同金额2.96万元，占政府采购支出总额的100.00%。</w:t>
      </w:r>
    </w:p>
    <w:p w14:paraId="600C672C">
      <w:pPr>
        <w:spacing w:line="640" w:lineRule="exact"/>
        <w:ind w:firstLine="640"/>
        <w:jc w:val="both"/>
        <w:outlineLvl w:val="3"/>
      </w:pPr>
      <w:r>
        <w:rPr>
          <w:rFonts w:ascii="楷体_GB2312" w:hAnsi="楷体_GB2312" w:eastAsia="楷体_GB2312"/>
          <w:b/>
          <w:sz w:val="32"/>
        </w:rPr>
        <w:t>（三）国有资产占用情况说明</w:t>
      </w:r>
    </w:p>
    <w:p w14:paraId="066AB97F">
      <w:pPr>
        <w:spacing w:line="580" w:lineRule="exact"/>
        <w:ind w:firstLine="640"/>
        <w:jc w:val="both"/>
      </w:pPr>
      <w:r>
        <w:rPr>
          <w:rFonts w:ascii="仿宋_GB2312" w:hAnsi="仿宋_GB2312" w:eastAsia="仿宋_GB2312"/>
          <w:b w:val="0"/>
          <w:sz w:val="32"/>
        </w:rPr>
        <w:t>截至2024年12月31日，房屋824.65平方米，价值73.58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5998F5E3">
      <w:pPr>
        <w:spacing w:line="640" w:lineRule="exact"/>
        <w:ind w:firstLine="640"/>
        <w:jc w:val="both"/>
        <w:outlineLvl w:val="2"/>
      </w:pPr>
      <w:r>
        <w:rPr>
          <w:rFonts w:ascii="黑体" w:hAnsi="黑体" w:eastAsia="黑体"/>
          <w:sz w:val="32"/>
        </w:rPr>
        <w:t>十一、预算绩效的情况说明</w:t>
      </w:r>
    </w:p>
    <w:p w14:paraId="6DB9589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417.90万元，实际执行总额417.87万元；预算绩效评价项目2个，全年预算数7.55万元，全年执行数7.55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发现的问题及原因：目标设定科学性及评价存在难，对于目标设定需要分科室部门分解，汇总后制定整体目标，如何科学整合全单位绩效目标比较困难；目标设定后如何科学设定考核评价标准，特别是对于不能量化的目标如何评价。下一步改进措施：加强学习，进一步明确如何参照考核体系，科学合理设定绩效目标，充分发挥预算绩效管理工作效用。具体附整体支出绩效自评表，项目支出绩效自评表和评价报告。</w:t>
      </w:r>
    </w:p>
    <w:p w14:paraId="5DF204F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7585722">
        <w:tblPrEx>
          <w:tblCellMar>
            <w:top w:w="0" w:type="dxa"/>
            <w:left w:w="108" w:type="dxa"/>
            <w:bottom w:w="0" w:type="dxa"/>
            <w:right w:w="108" w:type="dxa"/>
          </w:tblCellMar>
        </w:tblPrEx>
        <w:tc>
          <w:tcPr>
            <w:tcW w:w="8847" w:type="dxa"/>
            <w:gridSpan w:val="9"/>
            <w:vAlign w:val="center"/>
          </w:tcPr>
          <w:p w14:paraId="6E6F9DF0">
            <w:pPr>
              <w:jc w:val="center"/>
            </w:pPr>
            <w:r>
              <w:rPr>
                <w:rFonts w:ascii="宋体" w:hAnsi="宋体" w:eastAsia="宋体"/>
                <w:sz w:val="24"/>
              </w:rPr>
              <w:t>单位整体支出绩效自评表</w:t>
            </w:r>
          </w:p>
        </w:tc>
      </w:tr>
      <w:tr w14:paraId="65D4CDE3">
        <w:tblPrEx>
          <w:tblCellMar>
            <w:top w:w="0" w:type="dxa"/>
            <w:left w:w="108" w:type="dxa"/>
            <w:bottom w:w="0" w:type="dxa"/>
            <w:right w:w="108" w:type="dxa"/>
          </w:tblCellMar>
        </w:tblPrEx>
        <w:tc>
          <w:tcPr>
            <w:tcW w:w="8847" w:type="dxa"/>
            <w:gridSpan w:val="9"/>
            <w:vAlign w:val="center"/>
          </w:tcPr>
          <w:p w14:paraId="5D7D58C2">
            <w:pPr>
              <w:jc w:val="center"/>
            </w:pPr>
            <w:r>
              <w:rPr>
                <w:rFonts w:ascii="宋体" w:hAnsi="宋体" w:eastAsia="宋体"/>
                <w:sz w:val="24"/>
              </w:rPr>
              <w:t>（2024年度）</w:t>
            </w:r>
          </w:p>
        </w:tc>
      </w:tr>
      <w:tr w14:paraId="08AB705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EFCE78">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7A61A0B">
            <w:pPr>
              <w:jc w:val="center"/>
            </w:pPr>
            <w:r>
              <w:rPr>
                <w:rFonts w:ascii="宋体" w:hAnsi="宋体" w:eastAsia="宋体"/>
                <w:sz w:val="16"/>
              </w:rPr>
              <w:t>民丰县尼雅乡中心幼儿园</w:t>
            </w:r>
          </w:p>
        </w:tc>
      </w:tr>
      <w:tr w14:paraId="25DB73D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3D3664">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22ED7">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18AA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C32663">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7EF87">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61BC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E0FCB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8A3EED">
            <w:pPr>
              <w:jc w:val="center"/>
            </w:pPr>
            <w:r>
              <w:rPr>
                <w:rFonts w:ascii="宋体" w:hAnsi="宋体" w:eastAsia="宋体"/>
                <w:sz w:val="16"/>
              </w:rPr>
              <w:t>得分</w:t>
            </w:r>
          </w:p>
        </w:tc>
      </w:tr>
      <w:tr w14:paraId="1EBFF9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A36B8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285F24">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021FA">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95A93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845FFE">
            <w:pPr>
              <w:jc w:val="center"/>
            </w:pPr>
            <w:r>
              <w:rPr>
                <w:rFonts w:ascii="宋体" w:hAnsi="宋体" w:eastAsia="宋体"/>
                <w:sz w:val="16"/>
              </w:rPr>
              <w:t>42.95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8EE42">
            <w:pPr>
              <w:jc w:val="center"/>
            </w:pPr>
            <w:r>
              <w:rPr>
                <w:rFonts w:ascii="宋体" w:hAnsi="宋体" w:eastAsia="宋体"/>
                <w:sz w:val="16"/>
              </w:rPr>
              <w:t>42.95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B5830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F87A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82FA0C">
            <w:pPr>
              <w:jc w:val="center"/>
            </w:pPr>
            <w:r>
              <w:rPr>
                <w:rFonts w:ascii="宋体" w:hAnsi="宋体" w:eastAsia="宋体"/>
                <w:sz w:val="16"/>
              </w:rPr>
              <w:t>-</w:t>
            </w:r>
          </w:p>
        </w:tc>
      </w:tr>
      <w:tr w14:paraId="711AFD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D000D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38F3D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C8E93">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B5A14">
            <w:pPr>
              <w:jc w:val="center"/>
            </w:pPr>
            <w:r>
              <w:rPr>
                <w:rFonts w:ascii="宋体" w:hAnsi="宋体" w:eastAsia="宋体"/>
                <w:sz w:val="16"/>
              </w:rPr>
              <w:t>396.62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E6A1C">
            <w:pPr>
              <w:jc w:val="center"/>
            </w:pPr>
            <w:r>
              <w:rPr>
                <w:rFonts w:ascii="宋体" w:hAnsi="宋体" w:eastAsia="宋体"/>
                <w:sz w:val="16"/>
              </w:rPr>
              <w:t>374.95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9007D">
            <w:pPr>
              <w:jc w:val="center"/>
            </w:pPr>
            <w:r>
              <w:rPr>
                <w:rFonts w:ascii="宋体" w:hAnsi="宋体" w:eastAsia="宋体"/>
                <w:sz w:val="16"/>
              </w:rPr>
              <w:t>374.92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B0EA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8DA36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B0AB88">
            <w:pPr>
              <w:jc w:val="center"/>
            </w:pPr>
            <w:r>
              <w:rPr>
                <w:rFonts w:ascii="宋体" w:hAnsi="宋体" w:eastAsia="宋体"/>
                <w:sz w:val="16"/>
              </w:rPr>
              <w:t>-</w:t>
            </w:r>
          </w:p>
        </w:tc>
      </w:tr>
      <w:tr w14:paraId="3A884F7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85B9B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376E9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E85B29">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9BD6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CC46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60FA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4CC2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24A81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8650F">
            <w:pPr>
              <w:jc w:val="center"/>
            </w:pPr>
            <w:r>
              <w:rPr>
                <w:rFonts w:ascii="宋体" w:hAnsi="宋体" w:eastAsia="宋体"/>
                <w:sz w:val="16"/>
              </w:rPr>
              <w:t>-</w:t>
            </w:r>
          </w:p>
        </w:tc>
      </w:tr>
      <w:tr w14:paraId="069E57B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CD12C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974B7">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EDE3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B54EB">
            <w:pPr>
              <w:jc w:val="center"/>
            </w:pPr>
            <w:r>
              <w:rPr>
                <w:rFonts w:ascii="宋体" w:hAnsi="宋体" w:eastAsia="宋体"/>
                <w:sz w:val="16"/>
              </w:rPr>
              <w:t>396.62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9E2E69">
            <w:pPr>
              <w:jc w:val="center"/>
            </w:pPr>
            <w:r>
              <w:rPr>
                <w:rFonts w:ascii="宋体" w:hAnsi="宋体" w:eastAsia="宋体"/>
                <w:sz w:val="16"/>
              </w:rPr>
              <w:t>417.90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1B1F8">
            <w:pPr>
              <w:jc w:val="center"/>
            </w:pPr>
            <w:r>
              <w:rPr>
                <w:rFonts w:ascii="宋体" w:hAnsi="宋体" w:eastAsia="宋体"/>
                <w:sz w:val="16"/>
              </w:rPr>
              <w:t>417.87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0971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EB439">
            <w:pPr>
              <w:jc w:val="center"/>
            </w:pPr>
            <w:r>
              <w:rPr>
                <w:rFonts w:ascii="宋体" w:hAnsi="宋体" w:eastAsia="宋体"/>
                <w:sz w:val="16"/>
              </w:rPr>
              <w:t>99.99%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33D1D">
            <w:pPr>
              <w:jc w:val="center"/>
            </w:pPr>
            <w:r>
              <w:rPr>
                <w:rFonts w:ascii="宋体" w:hAnsi="宋体" w:eastAsia="宋体"/>
                <w:sz w:val="16"/>
              </w:rPr>
              <w:t>10</w:t>
            </w:r>
          </w:p>
        </w:tc>
      </w:tr>
      <w:tr w14:paraId="3AB2212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17EEE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16CAB5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EC9B1F">
            <w:pPr>
              <w:jc w:val="center"/>
            </w:pPr>
            <w:r>
              <w:rPr>
                <w:rFonts w:ascii="宋体" w:hAnsi="宋体" w:eastAsia="宋体"/>
                <w:sz w:val="16"/>
              </w:rPr>
              <w:t>实际完成情况</w:t>
            </w:r>
          </w:p>
        </w:tc>
      </w:tr>
      <w:tr w14:paraId="5CE881D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E88ED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B0F6F77">
            <w:pPr>
              <w:jc w:val="both"/>
            </w:pPr>
            <w:r>
              <w:rPr>
                <w:rFonts w:ascii="宋体" w:hAnsi="宋体" w:eastAsia="宋体"/>
                <w:sz w:val="16"/>
              </w:rPr>
              <w:t>目标1：正确贯彻执行党和国家的教育方针，政策，法规；</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目标2：维护学校的教学秩序，为学生创造良好的学习环境；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目标3：积极稳妥地推进教育改革，按教育规律办事，不断提高教育质量；                                 目标4：根据学校规模，设置学校管理机构，建立健全各项规章制度和岗位责任制；                    目标5：坚持教书育人，服务育人，环境育人方针，加强对学生的思想品德教育，使学生的德智体全面发展；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目标6：抓好教师队伍建设，使每个教师都热心于教育事业；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目标7：做好安全防范，保证学生的人身安全。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661AD9">
            <w:pPr>
              <w:jc w:val="both"/>
            </w:pPr>
            <w:r>
              <w:rPr>
                <w:rFonts w:ascii="宋体" w:hAnsi="宋体" w:eastAsia="宋体"/>
                <w:sz w:val="16"/>
              </w:rPr>
              <w:t>截至2024年12月31日，我单位共计支出417.87万元，预算执行率100%</w:t>
            </w:r>
            <w:r>
              <w:rPr>
                <w:rFonts w:hint="eastAsia" w:ascii="宋体" w:hAnsi="宋体"/>
                <w:sz w:val="16"/>
                <w:lang w:eastAsia="zh-CN"/>
              </w:rPr>
              <w:t>。</w:t>
            </w:r>
            <w:r>
              <w:rPr>
                <w:rFonts w:ascii="宋体" w:hAnsi="宋体" w:eastAsia="宋体"/>
                <w:sz w:val="16"/>
              </w:rPr>
              <w:t>已完成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做好安全防范，保证学生的人身安全。</w:t>
            </w:r>
          </w:p>
        </w:tc>
      </w:tr>
      <w:tr w14:paraId="728D7E5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C9625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53A86">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50CF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75AF82">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10F92">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DD5CD6">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CFBCC">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104C0">
            <w:pPr>
              <w:jc w:val="center"/>
            </w:pPr>
            <w:r>
              <w:rPr>
                <w:rFonts w:ascii="宋体" w:hAnsi="宋体" w:eastAsia="宋体"/>
                <w:sz w:val="16"/>
              </w:rPr>
              <w:t>得分</w:t>
            </w:r>
          </w:p>
        </w:tc>
      </w:tr>
      <w:tr w14:paraId="0711424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9F1BDA">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9A1B0">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10587">
            <w:pPr>
              <w:jc w:val="center"/>
            </w:pPr>
            <w:r>
              <w:rPr>
                <w:rFonts w:ascii="宋体" w:hAnsi="宋体" w:eastAsia="宋体"/>
                <w:sz w:val="16"/>
              </w:rPr>
              <w:t>享受资助补助政策学生数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E7975">
            <w:pPr>
              <w:jc w:val="center"/>
            </w:pPr>
            <w:r>
              <w:rPr>
                <w:rFonts w:ascii="宋体" w:hAnsi="宋体" w:eastAsia="宋体"/>
                <w:sz w:val="16"/>
              </w:rPr>
              <w:t>&gt;=100人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EC4DC8">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9FE7C">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3182A">
            <w:pPr>
              <w:jc w:val="center"/>
            </w:pPr>
            <w:r>
              <w:rPr>
                <w:rFonts w:ascii="宋体" w:hAnsi="宋体" w:eastAsia="宋体"/>
                <w:sz w:val="16"/>
              </w:rPr>
              <w:t>=44人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3CA86">
            <w:pPr>
              <w:jc w:val="center"/>
            </w:pPr>
            <w:r>
              <w:rPr>
                <w:rFonts w:ascii="宋体" w:hAnsi="宋体" w:eastAsia="宋体"/>
                <w:sz w:val="16"/>
              </w:rPr>
              <w:t>13.2</w:t>
            </w:r>
          </w:p>
        </w:tc>
      </w:tr>
      <w:tr w14:paraId="38E8E52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44A6E0">
            <w:pPr>
              <w:jc w:val="center"/>
            </w:pPr>
            <w:r>
              <w:rPr>
                <w:rFonts w:ascii="宋体" w:hAnsi="宋体" w:eastAsia="宋体"/>
                <w:sz w:val="16"/>
              </w:rPr>
              <w:t>社会效益</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EEB13A">
            <w:pPr>
              <w:jc w:val="center"/>
            </w:pPr>
            <w:r>
              <w:rPr>
                <w:rFonts w:ascii="宋体" w:hAnsi="宋体" w:eastAsia="宋体"/>
                <w:sz w:val="16"/>
              </w:rPr>
              <w:t>质量指标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195C4">
            <w:pPr>
              <w:jc w:val="center"/>
            </w:pPr>
            <w:r>
              <w:rPr>
                <w:rFonts w:ascii="宋体" w:hAnsi="宋体" w:eastAsia="宋体"/>
                <w:sz w:val="16"/>
              </w:rPr>
              <w:t>补助发放覆盖率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463FC">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7AC9A">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E4D3BB">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C9977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E20302">
            <w:pPr>
              <w:jc w:val="center"/>
            </w:pPr>
            <w:r>
              <w:rPr>
                <w:rFonts w:ascii="宋体" w:hAnsi="宋体" w:eastAsia="宋体"/>
                <w:sz w:val="16"/>
              </w:rPr>
              <w:t>30</w:t>
            </w:r>
          </w:p>
        </w:tc>
      </w:tr>
      <w:tr w14:paraId="114BB0B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67208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48487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F5773">
            <w:pPr>
              <w:jc w:val="center"/>
            </w:pPr>
            <w:r>
              <w:rPr>
                <w:rFonts w:ascii="宋体" w:hAnsi="宋体" w:eastAsia="宋体"/>
                <w:sz w:val="16"/>
              </w:rPr>
              <w:t>入学率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83996">
            <w:pPr>
              <w:jc w:val="center"/>
            </w:pPr>
            <w:r>
              <w:rPr>
                <w:rFonts w:ascii="宋体" w:hAnsi="宋体" w:eastAsia="宋体"/>
                <w:sz w:val="16"/>
              </w:rPr>
              <w:t>&gt;=97%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3B400">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CE037">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5A10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228D83">
            <w:pPr>
              <w:jc w:val="center"/>
            </w:pPr>
            <w:r>
              <w:rPr>
                <w:rFonts w:ascii="宋体" w:hAnsi="宋体" w:eastAsia="宋体"/>
                <w:sz w:val="16"/>
              </w:rPr>
              <w:t>30</w:t>
            </w:r>
          </w:p>
        </w:tc>
      </w:tr>
    </w:tbl>
    <w:p w14:paraId="72CA033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FF2B349">
        <w:tc>
          <w:tcPr>
            <w:tcW w:w="8847" w:type="dxa"/>
            <w:gridSpan w:val="9"/>
            <w:vAlign w:val="center"/>
          </w:tcPr>
          <w:p w14:paraId="120ECA48">
            <w:pPr>
              <w:jc w:val="center"/>
            </w:pPr>
            <w:r>
              <w:rPr>
                <w:rFonts w:ascii="宋体" w:hAnsi="宋体" w:eastAsia="宋体"/>
                <w:sz w:val="24"/>
              </w:rPr>
              <w:t>项目支出绩效自评表</w:t>
            </w:r>
          </w:p>
        </w:tc>
      </w:tr>
      <w:tr w14:paraId="79536AB7">
        <w:tblPrEx>
          <w:tblCellMar>
            <w:top w:w="0" w:type="dxa"/>
            <w:left w:w="108" w:type="dxa"/>
            <w:bottom w:w="0" w:type="dxa"/>
            <w:right w:w="108" w:type="dxa"/>
          </w:tblCellMar>
        </w:tblPrEx>
        <w:tc>
          <w:tcPr>
            <w:tcW w:w="8847" w:type="dxa"/>
            <w:gridSpan w:val="9"/>
            <w:vAlign w:val="center"/>
          </w:tcPr>
          <w:p w14:paraId="4DA2E802">
            <w:pPr>
              <w:jc w:val="center"/>
            </w:pPr>
            <w:r>
              <w:rPr>
                <w:rFonts w:ascii="宋体" w:hAnsi="宋体" w:eastAsia="宋体"/>
                <w:sz w:val="24"/>
              </w:rPr>
              <w:t>(2024年度)</w:t>
            </w:r>
          </w:p>
        </w:tc>
      </w:tr>
      <w:tr w14:paraId="56AA0AF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C2A736">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457C7E2">
            <w:pPr>
              <w:jc w:val="center"/>
            </w:pPr>
            <w:r>
              <w:rPr>
                <w:rFonts w:ascii="宋体" w:hAnsi="宋体" w:eastAsia="宋体"/>
                <w:sz w:val="16"/>
              </w:rPr>
              <w:t>2023年自治区农村学前三年免费教育保障经费（伙食费）(结转)</w:t>
            </w:r>
          </w:p>
        </w:tc>
      </w:tr>
      <w:tr w14:paraId="08C2D24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2E3B1">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1E45183">
            <w:pPr>
              <w:jc w:val="center"/>
            </w:pPr>
            <w:r>
              <w:rPr>
                <w:rFonts w:ascii="宋体" w:hAnsi="宋体" w:eastAsia="宋体"/>
                <w:sz w:val="16"/>
              </w:rPr>
              <w:t>民丰县尼雅乡中心幼儿园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4EF0B">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5267DD3">
            <w:pPr>
              <w:jc w:val="center"/>
            </w:pPr>
            <w:r>
              <w:rPr>
                <w:rFonts w:ascii="宋体" w:hAnsi="宋体" w:eastAsia="宋体"/>
                <w:sz w:val="16"/>
              </w:rPr>
              <w:t>民丰县尼雅乡中心幼儿园</w:t>
            </w:r>
          </w:p>
        </w:tc>
      </w:tr>
      <w:tr w14:paraId="553AAED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072523">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A79CF">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E30B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0B707">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581BA">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284A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A83A4">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397E5">
            <w:pPr>
              <w:jc w:val="center"/>
            </w:pPr>
            <w:r>
              <w:rPr>
                <w:rFonts w:ascii="宋体" w:hAnsi="宋体" w:eastAsia="宋体"/>
                <w:sz w:val="16"/>
              </w:rPr>
              <w:t>得分</w:t>
            </w:r>
          </w:p>
        </w:tc>
      </w:tr>
      <w:tr w14:paraId="7B5C57D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94FDB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1BF3E">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42D900">
            <w:pPr>
              <w:jc w:val="center"/>
            </w:pPr>
            <w:r>
              <w:rPr>
                <w:rFonts w:ascii="宋体" w:hAnsi="宋体" w:eastAsia="宋体"/>
                <w:sz w:val="16"/>
              </w:rPr>
              <w:t>2.39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CC83EF">
            <w:pPr>
              <w:jc w:val="center"/>
            </w:pPr>
            <w:r>
              <w:rPr>
                <w:rFonts w:ascii="宋体" w:hAnsi="宋体" w:eastAsia="宋体"/>
                <w:sz w:val="16"/>
              </w:rPr>
              <w:t>2.39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B13261">
            <w:pPr>
              <w:jc w:val="center"/>
            </w:pPr>
            <w:r>
              <w:rPr>
                <w:rFonts w:ascii="宋体" w:hAnsi="宋体" w:eastAsia="宋体"/>
                <w:sz w:val="16"/>
              </w:rPr>
              <w:t>2.39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A880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E976DD">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F88B1">
            <w:pPr>
              <w:jc w:val="center"/>
            </w:pPr>
            <w:r>
              <w:rPr>
                <w:rFonts w:ascii="宋体" w:hAnsi="宋体" w:eastAsia="宋体"/>
                <w:sz w:val="16"/>
              </w:rPr>
              <w:t>10.00分</w:t>
            </w:r>
          </w:p>
        </w:tc>
      </w:tr>
      <w:tr w14:paraId="4CCA0B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51307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14B2C">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015BD">
            <w:pPr>
              <w:jc w:val="center"/>
            </w:pPr>
            <w:r>
              <w:rPr>
                <w:rFonts w:ascii="宋体" w:hAnsi="宋体" w:eastAsia="宋体"/>
                <w:sz w:val="16"/>
              </w:rPr>
              <w:t>2.39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E09EA">
            <w:pPr>
              <w:jc w:val="center"/>
            </w:pPr>
            <w:r>
              <w:rPr>
                <w:rFonts w:ascii="宋体" w:hAnsi="宋体" w:eastAsia="宋体"/>
                <w:sz w:val="16"/>
              </w:rPr>
              <w:t>2.39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4AE98">
            <w:pPr>
              <w:jc w:val="center"/>
            </w:pPr>
            <w:r>
              <w:rPr>
                <w:rFonts w:ascii="宋体" w:hAnsi="宋体" w:eastAsia="宋体"/>
                <w:sz w:val="16"/>
              </w:rPr>
              <w:t>2.39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4C24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62AB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FBB2FF">
            <w:pPr>
              <w:jc w:val="center"/>
            </w:pPr>
            <w:r>
              <w:rPr>
                <w:rFonts w:ascii="宋体" w:hAnsi="宋体" w:eastAsia="宋体"/>
                <w:sz w:val="16"/>
              </w:rPr>
              <w:t>—</w:t>
            </w:r>
          </w:p>
        </w:tc>
      </w:tr>
      <w:tr w14:paraId="3A37F3E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B948B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41C75">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D8179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04E1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8B49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E0AC1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4F42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ED65F">
            <w:pPr>
              <w:jc w:val="center"/>
            </w:pPr>
            <w:r>
              <w:rPr>
                <w:rFonts w:ascii="宋体" w:hAnsi="宋体" w:eastAsia="宋体"/>
                <w:sz w:val="16"/>
              </w:rPr>
              <w:t>—</w:t>
            </w:r>
          </w:p>
        </w:tc>
      </w:tr>
      <w:tr w14:paraId="5DC4EA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6AE35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C698C">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866A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681A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5D09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3A46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CBC1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7B7EEF">
            <w:pPr>
              <w:jc w:val="center"/>
            </w:pPr>
            <w:r>
              <w:rPr>
                <w:rFonts w:ascii="宋体" w:hAnsi="宋体" w:eastAsia="宋体"/>
                <w:sz w:val="16"/>
              </w:rPr>
              <w:t>—</w:t>
            </w:r>
          </w:p>
        </w:tc>
      </w:tr>
      <w:tr w14:paraId="0E0B415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AF699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E5B37D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E22817">
            <w:pPr>
              <w:jc w:val="center"/>
            </w:pPr>
            <w:r>
              <w:rPr>
                <w:rFonts w:ascii="宋体" w:hAnsi="宋体" w:eastAsia="宋体"/>
                <w:sz w:val="16"/>
              </w:rPr>
              <w:t>实际完成情况</w:t>
            </w:r>
          </w:p>
        </w:tc>
      </w:tr>
      <w:tr w14:paraId="659964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04A4E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1B134BE">
            <w:pPr>
              <w:jc w:val="both"/>
            </w:pPr>
            <w:r>
              <w:rPr>
                <w:rFonts w:ascii="宋体" w:hAnsi="宋体" w:eastAsia="宋体"/>
                <w:sz w:val="16"/>
              </w:rPr>
              <w:t>根据项目实施方案实施本项目。项目实施内容：保障我县2所幼儿园100名学生220天的伙食补助，按照每人每年1450元标准进行补助。本项目为上奶结转项目，结转金额2.39万元，人均伙食费用239元。通过项目实施，减轻学前教育困难家庭幼儿生活费负担，促进教育资源公平均衡配置，有效提高幼儿身体素质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C0AB44">
            <w:pPr>
              <w:jc w:val="both"/>
            </w:pPr>
            <w:r>
              <w:rPr>
                <w:rFonts w:ascii="宋体" w:hAnsi="宋体" w:eastAsia="宋体"/>
                <w:sz w:val="16"/>
              </w:rPr>
              <w:t>截至2024年12月底，本项目预算安排2.39万元，实际支出2.39万元，预算执行率100%。本项目已完成人均伙食费用239元。通过项目实施，减轻学前教育困难家庭幼儿生活费负担，促进教育资源公平均衡配置，有效提高幼儿身体素质水平。</w:t>
            </w:r>
          </w:p>
        </w:tc>
      </w:tr>
      <w:tr w14:paraId="391A22C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C9A1DF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259E6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A22AB">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CB4B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A5226">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00D6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D39E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59313B">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62BDC8">
            <w:pPr>
              <w:jc w:val="center"/>
            </w:pPr>
            <w:r>
              <w:rPr>
                <w:rFonts w:ascii="宋体" w:hAnsi="宋体" w:eastAsia="宋体"/>
                <w:sz w:val="16"/>
              </w:rPr>
              <w:t>偏差原因分析及改进措施</w:t>
            </w:r>
          </w:p>
        </w:tc>
      </w:tr>
      <w:tr w14:paraId="440DE5B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0EBA7D">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3FC240">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297D1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21B61E">
            <w:pPr>
              <w:jc w:val="center"/>
            </w:pPr>
            <w:r>
              <w:rPr>
                <w:rFonts w:ascii="宋体" w:hAnsi="宋体" w:eastAsia="宋体"/>
                <w:sz w:val="16"/>
              </w:rPr>
              <w:t>保障幼儿园数量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867B3">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CA330E">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623AF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BFA4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4535E">
            <w:pPr>
              <w:jc w:val="center"/>
            </w:pPr>
          </w:p>
        </w:tc>
      </w:tr>
      <w:tr w14:paraId="1FA2A7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EA552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DDBEA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A9A0A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25BFB">
            <w:pPr>
              <w:jc w:val="center"/>
            </w:pPr>
            <w:r>
              <w:rPr>
                <w:rFonts w:ascii="宋体" w:hAnsi="宋体" w:eastAsia="宋体"/>
                <w:sz w:val="16"/>
              </w:rPr>
              <w:t>保障在园幼儿人数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92479C">
            <w:pPr>
              <w:jc w:val="center"/>
            </w:pPr>
            <w:r>
              <w:rPr>
                <w:rFonts w:ascii="宋体" w:hAnsi="宋体" w:eastAsia="宋体"/>
                <w:sz w:val="16"/>
              </w:rPr>
              <w:t>&gt;=100人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81BE2">
            <w:pPr>
              <w:jc w:val="center"/>
            </w:pPr>
            <w:r>
              <w:rPr>
                <w:rFonts w:ascii="宋体" w:hAnsi="宋体" w:eastAsia="宋体"/>
                <w:sz w:val="16"/>
              </w:rPr>
              <w:t>=44人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A305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D02B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0A65B9">
            <w:pPr>
              <w:jc w:val="center"/>
            </w:pPr>
            <w:r>
              <w:rPr>
                <w:rFonts w:ascii="宋体" w:hAnsi="宋体" w:eastAsia="宋体"/>
                <w:sz w:val="16"/>
              </w:rPr>
              <w:t>偏差原因：上级部门要求幼儿园合并所以学生数减少。改进措施：按照合并后的学生数量做到应补尽补。</w:t>
            </w:r>
          </w:p>
        </w:tc>
      </w:tr>
      <w:tr w14:paraId="5C2FE4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B29A8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052EC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C012C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712B0">
            <w:pPr>
              <w:jc w:val="center"/>
            </w:pPr>
            <w:r>
              <w:rPr>
                <w:rFonts w:ascii="宋体" w:hAnsi="宋体" w:eastAsia="宋体"/>
                <w:sz w:val="16"/>
              </w:rPr>
              <w:t>补助发放覆盖率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7220A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3A0E8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23694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F18C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DD863">
            <w:pPr>
              <w:jc w:val="center"/>
            </w:pPr>
          </w:p>
        </w:tc>
      </w:tr>
      <w:tr w14:paraId="36318ED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52372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7FE2E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9D06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FF836">
            <w:pPr>
              <w:jc w:val="center"/>
            </w:pPr>
            <w:r>
              <w:rPr>
                <w:rFonts w:ascii="宋体" w:hAnsi="宋体" w:eastAsia="宋体"/>
                <w:sz w:val="16"/>
              </w:rPr>
              <w:t>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9E3F4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C228F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10207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89F97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81FB3C">
            <w:pPr>
              <w:jc w:val="center"/>
            </w:pPr>
          </w:p>
        </w:tc>
      </w:tr>
      <w:tr w14:paraId="43B66E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15521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85677">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B8454">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6B533">
            <w:pPr>
              <w:jc w:val="center"/>
            </w:pPr>
            <w:r>
              <w:rPr>
                <w:rFonts w:ascii="宋体" w:hAnsi="宋体" w:eastAsia="宋体"/>
                <w:sz w:val="16"/>
              </w:rPr>
              <w:t>人均伙食费用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A73C26">
            <w:pPr>
              <w:jc w:val="center"/>
            </w:pPr>
            <w:r>
              <w:rPr>
                <w:rFonts w:ascii="宋体" w:hAnsi="宋体" w:eastAsia="宋体"/>
                <w:sz w:val="16"/>
              </w:rPr>
              <w:t>&lt;=239元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C8915E">
            <w:pPr>
              <w:jc w:val="center"/>
            </w:pPr>
            <w:r>
              <w:rPr>
                <w:rFonts w:ascii="宋体" w:hAnsi="宋体" w:eastAsia="宋体"/>
                <w:sz w:val="16"/>
              </w:rPr>
              <w:t>=543.18元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EB93C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37611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9DE95A">
            <w:pPr>
              <w:jc w:val="center"/>
            </w:pPr>
            <w:r>
              <w:rPr>
                <w:rFonts w:ascii="宋体" w:hAnsi="宋体" w:eastAsia="宋体"/>
                <w:sz w:val="16"/>
              </w:rPr>
              <w:t>偏差原因：由于幼儿园合并学生数减少，导致人均成本上升。改进措施：按照合并后的学生数量做到应补尽补。</w:t>
            </w:r>
          </w:p>
        </w:tc>
      </w:tr>
      <w:tr w14:paraId="6C06C8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7BABA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0E832">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2A0704">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ED3FA">
            <w:pPr>
              <w:jc w:val="center"/>
            </w:pPr>
            <w:r>
              <w:rPr>
                <w:rFonts w:ascii="宋体" w:hAnsi="宋体" w:eastAsia="宋体"/>
                <w:sz w:val="16"/>
              </w:rPr>
              <w:t>有效提高幼儿身体素质水平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B4FEA6">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4E5AF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E9FF3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3F1EE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0CAA6">
            <w:pPr>
              <w:jc w:val="center"/>
            </w:pPr>
          </w:p>
        </w:tc>
      </w:tr>
      <w:tr w14:paraId="3E76AE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D04BD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26AFB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5EC7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B5D50">
            <w:pPr>
              <w:jc w:val="center"/>
            </w:pPr>
            <w:r>
              <w:rPr>
                <w:rFonts w:ascii="宋体" w:hAnsi="宋体" w:eastAsia="宋体"/>
                <w:sz w:val="16"/>
              </w:rPr>
              <w:t>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2DDB1">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FD53F">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6EF50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A9D1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0F4D31">
            <w:pPr>
              <w:jc w:val="center"/>
            </w:pPr>
          </w:p>
        </w:tc>
      </w:tr>
      <w:tr w14:paraId="6DA9827E">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36ECD1">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DC59BA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8298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A4853">
            <w:pPr>
              <w:jc w:val="center"/>
            </w:pPr>
            <w:r>
              <w:rPr>
                <w:rFonts w:ascii="宋体" w:hAnsi="宋体" w:eastAsia="宋体"/>
                <w:sz w:val="16"/>
              </w:rPr>
              <w:t>70分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9063862"/>
        </w:tc>
      </w:tr>
    </w:tbl>
    <w:p w14:paraId="2800DD2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E517896">
        <w:tblPrEx>
          <w:tblCellMar>
            <w:top w:w="0" w:type="dxa"/>
            <w:left w:w="108" w:type="dxa"/>
            <w:bottom w:w="0" w:type="dxa"/>
            <w:right w:w="108" w:type="dxa"/>
          </w:tblCellMar>
        </w:tblPrEx>
        <w:tc>
          <w:tcPr>
            <w:tcW w:w="8847" w:type="dxa"/>
            <w:gridSpan w:val="9"/>
            <w:vAlign w:val="center"/>
          </w:tcPr>
          <w:p w14:paraId="33468C89">
            <w:pPr>
              <w:jc w:val="center"/>
            </w:pPr>
            <w:r>
              <w:rPr>
                <w:rFonts w:ascii="宋体" w:hAnsi="宋体" w:eastAsia="宋体"/>
                <w:sz w:val="24"/>
              </w:rPr>
              <w:t>项目支出绩效自评表</w:t>
            </w:r>
          </w:p>
        </w:tc>
      </w:tr>
      <w:tr w14:paraId="47B34301">
        <w:tblPrEx>
          <w:tblCellMar>
            <w:top w:w="0" w:type="dxa"/>
            <w:left w:w="108" w:type="dxa"/>
            <w:bottom w:w="0" w:type="dxa"/>
            <w:right w:w="108" w:type="dxa"/>
          </w:tblCellMar>
        </w:tblPrEx>
        <w:tc>
          <w:tcPr>
            <w:tcW w:w="8847" w:type="dxa"/>
            <w:gridSpan w:val="9"/>
            <w:vAlign w:val="center"/>
          </w:tcPr>
          <w:p w14:paraId="050A30ED">
            <w:pPr>
              <w:jc w:val="center"/>
            </w:pPr>
            <w:r>
              <w:rPr>
                <w:rFonts w:ascii="宋体" w:hAnsi="宋体" w:eastAsia="宋体"/>
                <w:sz w:val="24"/>
              </w:rPr>
              <w:t>(2024年度)</w:t>
            </w:r>
          </w:p>
        </w:tc>
      </w:tr>
      <w:tr w14:paraId="012F955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16954A">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CCEC980">
            <w:pPr>
              <w:jc w:val="center"/>
            </w:pPr>
            <w:r>
              <w:rPr>
                <w:rFonts w:ascii="宋体" w:hAnsi="宋体" w:eastAsia="宋体"/>
                <w:sz w:val="16"/>
              </w:rPr>
              <w:t>县配套学前教育经费</w:t>
            </w:r>
          </w:p>
        </w:tc>
      </w:tr>
      <w:tr w14:paraId="0F426D1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0B9D9">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44F69A3">
            <w:pPr>
              <w:jc w:val="center"/>
            </w:pPr>
            <w:r>
              <w:rPr>
                <w:rFonts w:ascii="宋体" w:hAnsi="宋体" w:eastAsia="宋体"/>
                <w:sz w:val="16"/>
              </w:rPr>
              <w:t>民丰县尼雅乡中心幼儿园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546CF5">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9694E6E">
            <w:pPr>
              <w:jc w:val="center"/>
            </w:pPr>
            <w:r>
              <w:rPr>
                <w:rFonts w:ascii="宋体" w:hAnsi="宋体" w:eastAsia="宋体"/>
                <w:sz w:val="16"/>
              </w:rPr>
              <w:t>民丰县尼雅乡中心幼儿园</w:t>
            </w:r>
          </w:p>
        </w:tc>
      </w:tr>
      <w:tr w14:paraId="7C0EAAA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FE9997">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41A4F">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2100C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B6A5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868DA">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4C2F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2EA9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ECBEC9">
            <w:pPr>
              <w:jc w:val="center"/>
            </w:pPr>
            <w:r>
              <w:rPr>
                <w:rFonts w:ascii="宋体" w:hAnsi="宋体" w:eastAsia="宋体"/>
                <w:sz w:val="16"/>
              </w:rPr>
              <w:t>得分</w:t>
            </w:r>
          </w:p>
        </w:tc>
      </w:tr>
      <w:tr w14:paraId="03E974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4084A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12A97">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441BC">
            <w:pPr>
              <w:jc w:val="center"/>
            </w:pPr>
            <w:r>
              <w:rPr>
                <w:rFonts w:ascii="宋体" w:hAnsi="宋体" w:eastAsia="宋体"/>
                <w:sz w:val="16"/>
              </w:rPr>
              <w:t>5.16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F349D">
            <w:pPr>
              <w:jc w:val="center"/>
            </w:pPr>
            <w:r>
              <w:rPr>
                <w:rFonts w:ascii="宋体" w:hAnsi="宋体" w:eastAsia="宋体"/>
                <w:sz w:val="16"/>
              </w:rPr>
              <w:t>5.16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618D7">
            <w:pPr>
              <w:jc w:val="center"/>
            </w:pPr>
            <w:r>
              <w:rPr>
                <w:rFonts w:ascii="宋体" w:hAnsi="宋体" w:eastAsia="宋体"/>
                <w:sz w:val="16"/>
              </w:rPr>
              <w:t>5.16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C3DF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9DA2B1">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920EB">
            <w:pPr>
              <w:jc w:val="center"/>
            </w:pPr>
            <w:r>
              <w:rPr>
                <w:rFonts w:ascii="宋体" w:hAnsi="宋体" w:eastAsia="宋体"/>
                <w:sz w:val="16"/>
              </w:rPr>
              <w:t>10.00分</w:t>
            </w:r>
          </w:p>
        </w:tc>
      </w:tr>
      <w:tr w14:paraId="54BFF90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195D7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11BDA">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DC4207">
            <w:pPr>
              <w:jc w:val="center"/>
            </w:pPr>
            <w:r>
              <w:rPr>
                <w:rFonts w:ascii="宋体" w:hAnsi="宋体" w:eastAsia="宋体"/>
                <w:sz w:val="16"/>
              </w:rPr>
              <w:t>5.16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F2DC67">
            <w:pPr>
              <w:jc w:val="center"/>
            </w:pPr>
            <w:r>
              <w:rPr>
                <w:rFonts w:ascii="宋体" w:hAnsi="宋体" w:eastAsia="宋体"/>
                <w:sz w:val="16"/>
              </w:rPr>
              <w:t>5.16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EEC4E1">
            <w:pPr>
              <w:jc w:val="center"/>
            </w:pPr>
            <w:r>
              <w:rPr>
                <w:rFonts w:ascii="宋体" w:hAnsi="宋体" w:eastAsia="宋体"/>
                <w:sz w:val="16"/>
              </w:rPr>
              <w:t>5.16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DE3AE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7429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6E719">
            <w:pPr>
              <w:jc w:val="center"/>
            </w:pPr>
            <w:r>
              <w:rPr>
                <w:rFonts w:ascii="宋体" w:hAnsi="宋体" w:eastAsia="宋体"/>
                <w:sz w:val="16"/>
              </w:rPr>
              <w:t>—</w:t>
            </w:r>
          </w:p>
        </w:tc>
      </w:tr>
      <w:tr w14:paraId="215458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EF760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9EB01">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A59F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96C4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3905A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F34E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D391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C1C06">
            <w:pPr>
              <w:jc w:val="center"/>
            </w:pPr>
            <w:r>
              <w:rPr>
                <w:rFonts w:ascii="宋体" w:hAnsi="宋体" w:eastAsia="宋体"/>
                <w:sz w:val="16"/>
              </w:rPr>
              <w:t>—</w:t>
            </w:r>
          </w:p>
        </w:tc>
      </w:tr>
      <w:tr w14:paraId="0B889B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1C565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E7433">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182C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15F4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C5CE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2489F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389B5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A50F2">
            <w:pPr>
              <w:jc w:val="center"/>
            </w:pPr>
            <w:r>
              <w:rPr>
                <w:rFonts w:ascii="宋体" w:hAnsi="宋体" w:eastAsia="宋体"/>
                <w:sz w:val="16"/>
              </w:rPr>
              <w:t>—</w:t>
            </w:r>
          </w:p>
        </w:tc>
      </w:tr>
      <w:tr w14:paraId="1E83D57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40991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954FAD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87A0AB">
            <w:pPr>
              <w:jc w:val="center"/>
            </w:pPr>
            <w:r>
              <w:rPr>
                <w:rFonts w:ascii="宋体" w:hAnsi="宋体" w:eastAsia="宋体"/>
                <w:sz w:val="16"/>
              </w:rPr>
              <w:t>实际完成情况</w:t>
            </w:r>
          </w:p>
        </w:tc>
      </w:tr>
      <w:tr w14:paraId="3D0AA3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25C49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4F0FE37">
            <w:pPr>
              <w:jc w:val="both"/>
            </w:pPr>
            <w:r>
              <w:rPr>
                <w:rFonts w:ascii="宋体" w:hAnsi="宋体" w:eastAsia="宋体"/>
                <w:sz w:val="16"/>
              </w:rPr>
              <w:t>根据项目实施方案实施本项目。项目实施内容：保障我县2所幼儿园100名学生220天的伙食补助，按照每人每年516元标准进行补助。通过项目实施，提高教师工作的积极性，促进教学，全面提升教育教学质量，增强教师教书育人的责任感，促进全县各学段教育教学质量的全面提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0F36BA">
            <w:pPr>
              <w:jc w:val="both"/>
            </w:pPr>
            <w:r>
              <w:rPr>
                <w:rFonts w:ascii="宋体" w:hAnsi="宋体" w:eastAsia="宋体"/>
                <w:sz w:val="16"/>
              </w:rPr>
              <w:t>截至2024年12月底，本项目预算安排5.16万元，实际支出5.16万元，预算执行率100%。该项目已</w:t>
            </w:r>
            <w:bookmarkStart w:id="0" w:name="_GoBack"/>
            <w:r>
              <w:rPr>
                <w:rFonts w:hint="eastAsia" w:ascii="宋体" w:hAnsi="宋体"/>
                <w:sz w:val="16"/>
                <w:lang w:eastAsia="zh-CN"/>
              </w:rPr>
              <w:t>完成</w:t>
            </w:r>
            <w:bookmarkEnd w:id="0"/>
            <w:r>
              <w:rPr>
                <w:rFonts w:ascii="宋体" w:hAnsi="宋体" w:eastAsia="宋体"/>
                <w:sz w:val="16"/>
              </w:rPr>
              <w:t>用于保障我乡1所学前教育44名学生的正常运转，按照每人每年516元进行补助。通过项目的实施，有效保障学校正常运转，同时提供给师生安全舒适的教学和学习环境。</w:t>
            </w:r>
          </w:p>
        </w:tc>
      </w:tr>
      <w:tr w14:paraId="070BBD7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7473F3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10E88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D24E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D85FC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142851">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5A7A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AF2C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AC5E5F">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8754B9">
            <w:pPr>
              <w:jc w:val="center"/>
            </w:pPr>
            <w:r>
              <w:rPr>
                <w:rFonts w:ascii="宋体" w:hAnsi="宋体" w:eastAsia="宋体"/>
                <w:sz w:val="16"/>
              </w:rPr>
              <w:t>偏差原因分析及改进措施</w:t>
            </w:r>
          </w:p>
        </w:tc>
      </w:tr>
      <w:tr w14:paraId="1C6B689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721A6D">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C3AB60">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8361B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F7066">
            <w:pPr>
              <w:jc w:val="center"/>
            </w:pPr>
            <w:r>
              <w:rPr>
                <w:rFonts w:ascii="宋体" w:hAnsi="宋体" w:eastAsia="宋体"/>
                <w:sz w:val="16"/>
              </w:rPr>
              <w:t>保障幼儿园数量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C1B86">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F718C">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95D4C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B7AB2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854D1F">
            <w:pPr>
              <w:jc w:val="center"/>
            </w:pPr>
            <w:r>
              <w:rPr>
                <w:rFonts w:ascii="宋体" w:hAnsi="宋体" w:eastAsia="宋体"/>
                <w:sz w:val="16"/>
              </w:rPr>
              <w:t>偏差原因：目标设置不精确，改进措施：今后合理设置指标</w:t>
            </w:r>
          </w:p>
        </w:tc>
      </w:tr>
      <w:tr w14:paraId="7D4A24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954AB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40D5B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E5530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B1E777">
            <w:pPr>
              <w:jc w:val="center"/>
            </w:pPr>
            <w:r>
              <w:rPr>
                <w:rFonts w:ascii="宋体" w:hAnsi="宋体" w:eastAsia="宋体"/>
                <w:sz w:val="16"/>
              </w:rPr>
              <w:t>保障在园幼儿人数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B67DF6">
            <w:pPr>
              <w:jc w:val="center"/>
            </w:pPr>
            <w:r>
              <w:rPr>
                <w:rFonts w:ascii="宋体" w:hAnsi="宋体" w:eastAsia="宋体"/>
                <w:sz w:val="16"/>
              </w:rPr>
              <w:t>&gt;=100人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2B9BC">
            <w:pPr>
              <w:jc w:val="center"/>
            </w:pPr>
            <w:r>
              <w:rPr>
                <w:rFonts w:ascii="宋体" w:hAnsi="宋体" w:eastAsia="宋体"/>
                <w:sz w:val="16"/>
              </w:rPr>
              <w:t>=44人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76063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0847A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BE321">
            <w:pPr>
              <w:jc w:val="center"/>
            </w:pPr>
          </w:p>
        </w:tc>
      </w:tr>
      <w:tr w14:paraId="419887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4081F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6BCE2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15BE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ADF55">
            <w:pPr>
              <w:jc w:val="center"/>
            </w:pPr>
            <w:r>
              <w:rPr>
                <w:rFonts w:ascii="宋体" w:hAnsi="宋体" w:eastAsia="宋体"/>
                <w:sz w:val="16"/>
              </w:rPr>
              <w:t>补助发放覆盖率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B24A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83052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B7694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FC115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1BCF0">
            <w:pPr>
              <w:jc w:val="center"/>
            </w:pPr>
          </w:p>
        </w:tc>
      </w:tr>
      <w:tr w14:paraId="150521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DCE6E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E7A52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7A80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E50A9">
            <w:pPr>
              <w:jc w:val="center"/>
            </w:pPr>
            <w:r>
              <w:rPr>
                <w:rFonts w:ascii="宋体" w:hAnsi="宋体" w:eastAsia="宋体"/>
                <w:sz w:val="16"/>
              </w:rPr>
              <w:t>项目按期完成率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38E0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1EED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8502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DBC9A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73483">
            <w:pPr>
              <w:jc w:val="center"/>
            </w:pPr>
          </w:p>
        </w:tc>
      </w:tr>
      <w:tr w14:paraId="51B8676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60A99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5DE2C">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DCB29">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86D829">
            <w:pPr>
              <w:jc w:val="center"/>
            </w:pPr>
            <w:r>
              <w:rPr>
                <w:rFonts w:ascii="宋体" w:hAnsi="宋体" w:eastAsia="宋体"/>
                <w:sz w:val="16"/>
              </w:rPr>
              <w:t>人均补助成本数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E42890">
            <w:pPr>
              <w:jc w:val="center"/>
            </w:pPr>
            <w:r>
              <w:rPr>
                <w:rFonts w:ascii="宋体" w:hAnsi="宋体" w:eastAsia="宋体"/>
                <w:sz w:val="16"/>
              </w:rPr>
              <w:t>&lt;=516元/年/人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B7DCB1">
            <w:pPr>
              <w:jc w:val="center"/>
            </w:pPr>
            <w:r>
              <w:rPr>
                <w:rFonts w:ascii="宋体" w:hAnsi="宋体" w:eastAsia="宋体"/>
                <w:sz w:val="16"/>
              </w:rPr>
              <w:t>=516元/年/人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BCA59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51909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DB8EE5">
            <w:pPr>
              <w:jc w:val="center"/>
            </w:pPr>
          </w:p>
        </w:tc>
      </w:tr>
      <w:tr w14:paraId="141801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AA073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663C0">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4763DC">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F961E">
            <w:pPr>
              <w:jc w:val="center"/>
            </w:pPr>
            <w:r>
              <w:rPr>
                <w:rFonts w:ascii="宋体" w:hAnsi="宋体" w:eastAsia="宋体"/>
                <w:sz w:val="16"/>
              </w:rPr>
              <w:t>全面提升教育教学质量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C4A0A">
            <w:pPr>
              <w:jc w:val="center"/>
            </w:pPr>
            <w:r>
              <w:rPr>
                <w:rFonts w:ascii="宋体" w:hAnsi="宋体" w:eastAsia="宋体"/>
                <w:sz w:val="16"/>
              </w:rPr>
              <w:t>有效提升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A060FD">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1DF57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260E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79CDAA">
            <w:pPr>
              <w:jc w:val="center"/>
            </w:pPr>
          </w:p>
        </w:tc>
      </w:tr>
      <w:tr w14:paraId="23F6A31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02900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A15A2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720C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91078">
            <w:pPr>
              <w:jc w:val="center"/>
            </w:pPr>
            <w:r>
              <w:rPr>
                <w:rFonts w:ascii="宋体" w:hAnsi="宋体" w:eastAsia="宋体"/>
                <w:sz w:val="16"/>
              </w:rPr>
              <w:t>受益学生满意度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5A36D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D2F9E9">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2E34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7DA0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CB56E">
            <w:pPr>
              <w:jc w:val="center"/>
            </w:pPr>
          </w:p>
        </w:tc>
      </w:tr>
      <w:tr w14:paraId="5A620A9B">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599B83">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C29C82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63A4B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D0DB5">
            <w:pPr>
              <w:jc w:val="center"/>
            </w:pPr>
            <w:r>
              <w:rPr>
                <w:rFonts w:ascii="宋体" w:hAnsi="宋体" w:eastAsia="宋体"/>
                <w:sz w:val="16"/>
              </w:rPr>
              <w:t>90分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314A324"/>
        </w:tc>
      </w:tr>
    </w:tbl>
    <w:p w14:paraId="2EFE2411">
      <w:r>
        <w:br w:type="page"/>
      </w:r>
    </w:p>
    <w:p w14:paraId="0F48FCD3">
      <w:pPr>
        <w:spacing w:line="640" w:lineRule="exact"/>
        <w:ind w:firstLine="640"/>
        <w:jc w:val="both"/>
        <w:outlineLvl w:val="2"/>
      </w:pPr>
      <w:r>
        <w:rPr>
          <w:rFonts w:ascii="黑体" w:hAnsi="黑体" w:eastAsia="黑体"/>
          <w:sz w:val="32"/>
        </w:rPr>
        <w:t>十二、其他需说明的事项</w:t>
      </w:r>
    </w:p>
    <w:p w14:paraId="2CA3132E">
      <w:pPr>
        <w:spacing w:line="580" w:lineRule="exact"/>
        <w:ind w:firstLine="640"/>
        <w:jc w:val="both"/>
      </w:pPr>
      <w:r>
        <w:rPr>
          <w:rFonts w:ascii="仿宋_GB2312" w:hAnsi="仿宋_GB2312" w:eastAsia="仿宋_GB2312"/>
          <w:b w:val="0"/>
          <w:sz w:val="32"/>
        </w:rPr>
        <w:t>本单位无其他需说明的事项。</w:t>
      </w:r>
    </w:p>
    <w:p w14:paraId="5DB3258F">
      <w:r>
        <w:br w:type="page"/>
      </w:r>
    </w:p>
    <w:p w14:paraId="400F7DBC">
      <w:pPr>
        <w:spacing w:line="240" w:lineRule="auto"/>
        <w:jc w:val="center"/>
        <w:outlineLvl w:val="1"/>
      </w:pPr>
      <w:r>
        <w:rPr>
          <w:rFonts w:ascii="黑体" w:hAnsi="黑体" w:eastAsia="黑体"/>
          <w:sz w:val="32"/>
        </w:rPr>
        <w:t>第三部分 专业名词解释</w:t>
      </w:r>
    </w:p>
    <w:p w14:paraId="614520C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ED6901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F7634F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F59610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339EA1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556EBC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D46F8C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D4A338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EAC6E3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634475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6FA469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ED2C55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B839D1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A7EA11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C3E1C18">
      <w:r>
        <w:br w:type="page"/>
      </w:r>
    </w:p>
    <w:p w14:paraId="62A0EE32">
      <w:pPr>
        <w:spacing w:line="240" w:lineRule="auto"/>
        <w:jc w:val="center"/>
        <w:outlineLvl w:val="1"/>
      </w:pPr>
      <w:r>
        <w:rPr>
          <w:rFonts w:ascii="黑体" w:hAnsi="黑体" w:eastAsia="黑体"/>
          <w:sz w:val="32"/>
        </w:rPr>
        <w:t>第四部分 部门决算报表（见附表）</w:t>
      </w:r>
    </w:p>
    <w:p w14:paraId="3A7F893A">
      <w:pPr>
        <w:spacing w:line="240" w:lineRule="auto"/>
        <w:ind w:firstLine="640"/>
        <w:jc w:val="both"/>
      </w:pPr>
      <w:r>
        <w:rPr>
          <w:rFonts w:ascii="仿宋_GB2312" w:hAnsi="仿宋_GB2312" w:eastAsia="仿宋_GB2312"/>
          <w:b w:val="0"/>
          <w:sz w:val="32"/>
        </w:rPr>
        <w:t>一、《收入支出决算总表》</w:t>
      </w:r>
    </w:p>
    <w:p w14:paraId="06D85792">
      <w:pPr>
        <w:spacing w:line="240" w:lineRule="auto"/>
        <w:ind w:firstLine="640"/>
        <w:jc w:val="both"/>
      </w:pPr>
      <w:r>
        <w:rPr>
          <w:rFonts w:ascii="仿宋_GB2312" w:hAnsi="仿宋_GB2312" w:eastAsia="仿宋_GB2312"/>
          <w:b w:val="0"/>
          <w:sz w:val="32"/>
        </w:rPr>
        <w:t>二、《收入决算表》</w:t>
      </w:r>
    </w:p>
    <w:p w14:paraId="08BA10F5">
      <w:pPr>
        <w:spacing w:line="240" w:lineRule="auto"/>
        <w:ind w:firstLine="640"/>
        <w:jc w:val="both"/>
      </w:pPr>
      <w:r>
        <w:rPr>
          <w:rFonts w:ascii="仿宋_GB2312" w:hAnsi="仿宋_GB2312" w:eastAsia="仿宋_GB2312"/>
          <w:b w:val="0"/>
          <w:sz w:val="32"/>
        </w:rPr>
        <w:t>三、《支出决算表》</w:t>
      </w:r>
    </w:p>
    <w:p w14:paraId="2CA1DCFC">
      <w:pPr>
        <w:spacing w:line="240" w:lineRule="auto"/>
        <w:ind w:firstLine="640"/>
        <w:jc w:val="both"/>
      </w:pPr>
      <w:r>
        <w:rPr>
          <w:rFonts w:ascii="仿宋_GB2312" w:hAnsi="仿宋_GB2312" w:eastAsia="仿宋_GB2312"/>
          <w:b w:val="0"/>
          <w:sz w:val="32"/>
        </w:rPr>
        <w:t>四、《财政拨款收入支出决算总表》</w:t>
      </w:r>
    </w:p>
    <w:p w14:paraId="14169104">
      <w:pPr>
        <w:spacing w:line="240" w:lineRule="auto"/>
        <w:ind w:firstLine="640"/>
        <w:jc w:val="both"/>
      </w:pPr>
      <w:r>
        <w:rPr>
          <w:rFonts w:ascii="仿宋_GB2312" w:hAnsi="仿宋_GB2312" w:eastAsia="仿宋_GB2312"/>
          <w:b w:val="0"/>
          <w:sz w:val="32"/>
        </w:rPr>
        <w:t>五、《一般公共预算财政拨款支出决算表》</w:t>
      </w:r>
    </w:p>
    <w:p w14:paraId="4E5888EC">
      <w:pPr>
        <w:spacing w:line="240" w:lineRule="auto"/>
        <w:ind w:firstLine="640"/>
        <w:jc w:val="both"/>
      </w:pPr>
      <w:r>
        <w:rPr>
          <w:rFonts w:ascii="仿宋_GB2312" w:hAnsi="仿宋_GB2312" w:eastAsia="仿宋_GB2312"/>
          <w:b w:val="0"/>
          <w:sz w:val="32"/>
        </w:rPr>
        <w:t>六、《一般公共预算财政拨款基本支出决算表》</w:t>
      </w:r>
    </w:p>
    <w:p w14:paraId="7939878F">
      <w:pPr>
        <w:spacing w:line="240" w:lineRule="auto"/>
        <w:ind w:firstLine="640"/>
        <w:jc w:val="both"/>
      </w:pPr>
      <w:r>
        <w:rPr>
          <w:rFonts w:ascii="仿宋_GB2312" w:hAnsi="仿宋_GB2312" w:eastAsia="仿宋_GB2312"/>
          <w:b w:val="0"/>
          <w:sz w:val="32"/>
        </w:rPr>
        <w:t>七、《政府性基金预算财政拨款收入支出决算表》</w:t>
      </w:r>
    </w:p>
    <w:p w14:paraId="7B371395">
      <w:pPr>
        <w:spacing w:line="240" w:lineRule="auto"/>
        <w:ind w:firstLine="640"/>
        <w:jc w:val="both"/>
      </w:pPr>
      <w:r>
        <w:rPr>
          <w:rFonts w:ascii="仿宋_GB2312" w:hAnsi="仿宋_GB2312" w:eastAsia="仿宋_GB2312"/>
          <w:b w:val="0"/>
          <w:sz w:val="32"/>
        </w:rPr>
        <w:t>八、《国有资本经营预算财政拨款收入支出决算表》</w:t>
      </w:r>
    </w:p>
    <w:p w14:paraId="1A5802F8">
      <w:pPr>
        <w:spacing w:line="240" w:lineRule="auto"/>
        <w:ind w:firstLine="640"/>
        <w:jc w:val="both"/>
      </w:pPr>
      <w:r>
        <w:rPr>
          <w:rFonts w:ascii="仿宋_GB2312" w:hAnsi="仿宋_GB2312" w:eastAsia="仿宋_GB2312"/>
          <w:b w:val="0"/>
          <w:sz w:val="32"/>
        </w:rPr>
        <w:t>九、《财政拨款“三公”经费支出决算表》</w:t>
      </w:r>
    </w:p>
    <w:p w14:paraId="7F780DB8">
      <w:pPr>
        <w:spacing w:line="240" w:lineRule="auto"/>
        <w:ind w:firstLine="640"/>
        <w:jc w:val="both"/>
      </w:pPr>
    </w:p>
    <w:p w14:paraId="318BEDF4">
      <w:pPr>
        <w:spacing w:line="240" w:lineRule="auto"/>
        <w:ind w:firstLine="640"/>
        <w:jc w:val="both"/>
      </w:pPr>
    </w:p>
    <w:p w14:paraId="24CAC2A7">
      <w:pPr>
        <w:spacing w:line="240" w:lineRule="auto"/>
        <w:ind w:firstLine="640"/>
        <w:jc w:val="both"/>
      </w:pPr>
    </w:p>
    <w:p w14:paraId="5A42A199">
      <w:pPr>
        <w:spacing w:line="240" w:lineRule="auto"/>
        <w:ind w:firstLine="640"/>
        <w:jc w:val="both"/>
      </w:pPr>
    </w:p>
    <w:p w14:paraId="7E05769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F122CB0-5CCB-47CE-9D8A-96D8A1845C4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F6793AA5-36F0-48CB-96A3-5D89418828F4}"/>
  </w:font>
  <w:font w:name="仿宋_GB2312">
    <w:panose1 w:val="02010609030101010101"/>
    <w:charset w:val="86"/>
    <w:family w:val="modern"/>
    <w:pitch w:val="default"/>
    <w:sig w:usb0="00000001" w:usb1="080E0000" w:usb2="00000000" w:usb3="00000000" w:csb0="00040000" w:csb1="00000000"/>
    <w:embedRegular r:id="rId3" w:fontKey="{8B338FB4-BBCF-42A3-9E6B-07AD329D5AC1}"/>
  </w:font>
  <w:font w:name="楷体_GB2312">
    <w:panose1 w:val="02010609030101010101"/>
    <w:charset w:val="86"/>
    <w:family w:val="auto"/>
    <w:pitch w:val="default"/>
    <w:sig w:usb0="00000001" w:usb1="080E0000" w:usb2="00000000" w:usb3="00000000" w:csb0="00040000" w:csb1="00000000"/>
    <w:embedRegular r:id="rId4" w:fontKey="{AEEB919A-0BD3-4C0C-9947-06E68BD3DE4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0EF452A"/>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4340</Words>
  <Characters>4978</Characters>
  <Lines>0</Lines>
  <Paragraphs>0</Paragraphs>
  <TotalTime>2</TotalTime>
  <ScaleCrop>false</ScaleCrop>
  <LinksUpToDate>false</LinksUpToDate>
  <CharactersWithSpaces>5261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2025-09-25T03:42:02Z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eyJoZGlkIjoiYjM4NWYyMWE2NWU1OGNiMmIxMmZkYzA5MWEwNzJlZmIiLCJ1c2VySWQiOiI0MzE2NzY3NzkifQ==</vt:lpwstr>
  </property>
</Properties>
</file>