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7617C6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民丰县安迪尔乡人民政府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3AD2537">
      <w:r>
        <w:br w:type="page"/>
      </w:r>
    </w:p>
    <w:p w14:paraId="3CB56D0E">
      <w:pPr>
        <w:spacing w:line="640" w:lineRule="exact"/>
        <w:jc w:val="center"/>
        <w:outlineLvl w:val="1"/>
      </w:pPr>
      <w:r>
        <w:rPr>
          <w:rFonts w:ascii="黑体" w:hAnsi="黑体" w:eastAsia="黑体"/>
          <w:sz w:val="32"/>
        </w:rPr>
        <w:t>第一部分 单位概况</w:t>
      </w:r>
    </w:p>
    <w:p w14:paraId="2DD8457A">
      <w:pPr>
        <w:spacing w:line="640" w:lineRule="exact"/>
        <w:ind w:firstLine="640"/>
        <w:jc w:val="both"/>
        <w:outlineLvl w:val="2"/>
      </w:pPr>
      <w:r>
        <w:rPr>
          <w:rFonts w:ascii="黑体" w:hAnsi="黑体" w:eastAsia="黑体"/>
          <w:sz w:val="32"/>
        </w:rPr>
        <w:t>一、主要职能</w:t>
      </w:r>
    </w:p>
    <w:p w14:paraId="0E7AB9D9">
      <w:pPr>
        <w:spacing w:line="580" w:lineRule="exact"/>
        <w:ind w:firstLine="640"/>
        <w:jc w:val="both"/>
      </w:pPr>
      <w:r>
        <w:rPr>
          <w:rFonts w:ascii="仿宋_GB2312" w:hAnsi="仿宋_GB2312" w:eastAsia="仿宋_GB2312"/>
          <w:sz w:val="32"/>
        </w:rPr>
        <w:t>安迪尔乡党委主要职责。</w:t>
      </w:r>
    </w:p>
    <w:p w14:paraId="1DC5D4F0">
      <w:pPr>
        <w:spacing w:line="580" w:lineRule="exact"/>
        <w:ind w:firstLine="640"/>
        <w:jc w:val="both"/>
      </w:pPr>
      <w:r>
        <w:rPr>
          <w:rFonts w:ascii="仿宋_GB2312" w:hAnsi="仿宋_GB2312" w:eastAsia="仿宋_GB2312"/>
          <w:sz w:val="32"/>
        </w:rPr>
        <w:t>1.贯彻执行和宣传党的路线、方针、政策和国家法律法规,上级党组织及本乡党委（或党员大会）的决议。</w:t>
      </w:r>
    </w:p>
    <w:p w14:paraId="491914C0">
      <w:pPr>
        <w:spacing w:line="580" w:lineRule="exact"/>
        <w:ind w:firstLine="640"/>
        <w:jc w:val="both"/>
      </w:pPr>
      <w:r>
        <w:rPr>
          <w:rFonts w:ascii="仿宋_GB2312" w:hAnsi="仿宋_GB2312" w:eastAsia="仿宋_GB2312"/>
          <w:sz w:val="32"/>
        </w:rPr>
        <w:t>2.领导乡政权机关、纪委、武装部和群众组织,支持和保证这些机关和组织依照国家法律法规及各自章程充分行使职权。</w:t>
      </w:r>
    </w:p>
    <w:p w14:paraId="3544FB42">
      <w:pPr>
        <w:spacing w:line="580" w:lineRule="exact"/>
        <w:ind w:firstLine="640"/>
        <w:jc w:val="both"/>
      </w:pPr>
      <w:r>
        <w:rPr>
          <w:rFonts w:ascii="仿宋_GB2312" w:hAnsi="仿宋_GB2312" w:eastAsia="仿宋_GB2312"/>
          <w:sz w:val="32"/>
        </w:rPr>
        <w:t>3.讨论决定经济建设和社会发展中的重大问题,需由乡政权机关或集体经济组织决定问题,由乡政权机关或集体经济组织</w:t>
      </w:r>
      <w:r>
        <w:rPr>
          <w:rFonts w:hint="eastAsia" w:ascii="仿宋_GB2312" w:hAnsi="仿宋_GB2312" w:eastAsia="仿宋_GB2312"/>
          <w:sz w:val="32"/>
          <w:lang w:eastAsia="zh-CN"/>
        </w:rPr>
        <w:t>依照</w:t>
      </w:r>
      <w:r>
        <w:rPr>
          <w:rFonts w:ascii="仿宋_GB2312" w:hAnsi="仿宋_GB2312" w:eastAsia="仿宋_GB2312"/>
          <w:sz w:val="32"/>
        </w:rPr>
        <w:t>法律和有关法规作出决定。</w:t>
      </w:r>
    </w:p>
    <w:p w14:paraId="3F3970CE">
      <w:pPr>
        <w:spacing w:line="580" w:lineRule="exact"/>
        <w:ind w:firstLine="640"/>
        <w:jc w:val="both"/>
      </w:pPr>
      <w:r>
        <w:rPr>
          <w:rFonts w:ascii="仿宋_GB2312" w:hAnsi="仿宋_GB2312" w:eastAsia="仿宋_GB2312"/>
          <w:sz w:val="32"/>
        </w:rPr>
        <w:t>4.</w:t>
      </w:r>
      <w:r>
        <w:rPr>
          <w:rFonts w:hint="eastAsia" w:ascii="仿宋_GB2312" w:hAnsi="仿宋_GB2312" w:eastAsia="仿宋_GB2312"/>
          <w:sz w:val="32"/>
          <w:lang w:eastAsia="zh-CN"/>
        </w:rPr>
        <w:t>加强党的自身建设</w:t>
      </w:r>
      <w:r>
        <w:rPr>
          <w:rFonts w:ascii="仿宋_GB2312" w:hAnsi="仿宋_GB2312" w:eastAsia="仿宋_GB2312"/>
          <w:sz w:val="32"/>
        </w:rPr>
        <w:t>和以党支部为核心的村级组织建设。按照干部管理权限,负责对乡村干部的教育、培养、管理、选拔、任用、考核和监督工作。</w:t>
      </w:r>
    </w:p>
    <w:p w14:paraId="3EEF73C7">
      <w:pPr>
        <w:spacing w:line="580" w:lineRule="exact"/>
        <w:ind w:firstLine="640"/>
        <w:jc w:val="both"/>
      </w:pPr>
      <w:r>
        <w:rPr>
          <w:rFonts w:ascii="仿宋_GB2312" w:hAnsi="仿宋_GB2312" w:eastAsia="仿宋_GB2312"/>
          <w:sz w:val="32"/>
        </w:rPr>
        <w:t>5.领导单位思想政治和精神文明建设。</w:t>
      </w:r>
    </w:p>
    <w:p w14:paraId="5D467FCC">
      <w:pPr>
        <w:spacing w:line="580" w:lineRule="exact"/>
        <w:ind w:firstLine="640"/>
        <w:jc w:val="both"/>
      </w:pPr>
      <w:r>
        <w:rPr>
          <w:rFonts w:ascii="仿宋_GB2312" w:hAnsi="仿宋_GB2312" w:eastAsia="仿宋_GB2312"/>
          <w:sz w:val="32"/>
        </w:rPr>
        <w:t>6.领导单位的社会主义民主法制建设和三个文明建设。</w:t>
      </w:r>
    </w:p>
    <w:p w14:paraId="3E1DE621">
      <w:pPr>
        <w:spacing w:line="580" w:lineRule="exact"/>
        <w:ind w:firstLine="640"/>
        <w:jc w:val="both"/>
      </w:pPr>
      <w:r>
        <w:rPr>
          <w:rFonts w:ascii="仿宋_GB2312" w:hAnsi="仿宋_GB2312" w:eastAsia="仿宋_GB2312"/>
          <w:sz w:val="32"/>
        </w:rPr>
        <w:t>7.完成上级党委交办的其他工作。</w:t>
      </w:r>
    </w:p>
    <w:p w14:paraId="009E46E5">
      <w:pPr>
        <w:spacing w:line="580" w:lineRule="exact"/>
        <w:ind w:firstLine="640"/>
        <w:jc w:val="both"/>
      </w:pPr>
      <w:r>
        <w:rPr>
          <w:rFonts w:ascii="仿宋_GB2312" w:hAnsi="仿宋_GB2312" w:eastAsia="仿宋_GB2312"/>
          <w:sz w:val="32"/>
        </w:rPr>
        <w:t>安迪尔乡人民政府主要职责。</w:t>
      </w:r>
    </w:p>
    <w:p w14:paraId="643A52B6">
      <w:pPr>
        <w:spacing w:line="580" w:lineRule="exact"/>
        <w:ind w:firstLine="640"/>
        <w:jc w:val="both"/>
      </w:pPr>
      <w:r>
        <w:rPr>
          <w:rFonts w:ascii="仿宋_GB2312" w:hAnsi="仿宋_GB2312" w:eastAsia="仿宋_GB2312"/>
          <w:sz w:val="32"/>
        </w:rPr>
        <w:t>1.贯彻执行党和国家的各项方针政策、法律、法规、执行地区行政公署、县人民政府的决定、命令、指示、完成县人民政府部署的各项任务。</w:t>
      </w:r>
    </w:p>
    <w:p w14:paraId="310156AD">
      <w:pPr>
        <w:spacing w:line="580" w:lineRule="exact"/>
        <w:ind w:firstLine="640"/>
        <w:jc w:val="both"/>
      </w:pPr>
      <w:r>
        <w:rPr>
          <w:rFonts w:ascii="仿宋_GB2312" w:hAnsi="仿宋_GB2312" w:eastAsia="仿宋_GB2312"/>
          <w:sz w:val="32"/>
        </w:rPr>
        <w:t>2.对乡政府公共事务行使组织领导、综合协调、统筹监督、监督检查的职能,对县政府职能部门的派出机构实行双重领导。</w:t>
      </w:r>
    </w:p>
    <w:p w14:paraId="59CB29AA">
      <w:pPr>
        <w:spacing w:line="580" w:lineRule="exact"/>
        <w:ind w:firstLine="640"/>
        <w:jc w:val="both"/>
      </w:pPr>
      <w:r>
        <w:rPr>
          <w:rFonts w:ascii="仿宋_GB2312" w:hAnsi="仿宋_GB2312" w:eastAsia="仿宋_GB2312"/>
          <w:sz w:val="32"/>
        </w:rPr>
        <w:t>3.负责乡经济发展规划和组织实施,营造良好投资环境,服务好辖区内经济组织,协助做好招</w:t>
      </w:r>
      <w:r>
        <w:rPr>
          <w:rFonts w:hint="eastAsia" w:ascii="仿宋_GB2312" w:hAnsi="仿宋_GB2312" w:eastAsia="仿宋_GB2312"/>
          <w:sz w:val="32"/>
          <w:lang w:eastAsia="zh-CN"/>
        </w:rPr>
        <w:t>商引资</w:t>
      </w:r>
      <w:r>
        <w:rPr>
          <w:rFonts w:ascii="仿宋_GB2312" w:hAnsi="仿宋_GB2312" w:eastAsia="仿宋_GB2312"/>
          <w:sz w:val="32"/>
        </w:rPr>
        <w:t>工作。</w:t>
      </w:r>
    </w:p>
    <w:p w14:paraId="5BF2A888">
      <w:pPr>
        <w:spacing w:line="580" w:lineRule="exact"/>
        <w:ind w:firstLine="640"/>
        <w:jc w:val="both"/>
      </w:pPr>
      <w:r>
        <w:rPr>
          <w:rFonts w:ascii="仿宋_GB2312" w:hAnsi="仿宋_GB2312" w:eastAsia="仿宋_GB2312"/>
          <w:sz w:val="32"/>
        </w:rPr>
        <w:t>4.拟定村集体建设工作规划,指导和帮助村民委员会做好组织建设和制度建设,推动</w:t>
      </w:r>
      <w:r>
        <w:rPr>
          <w:rFonts w:hint="eastAsia" w:ascii="仿宋_GB2312" w:hAnsi="仿宋_GB2312" w:eastAsia="仿宋_GB2312"/>
          <w:sz w:val="32"/>
          <w:lang w:eastAsia="zh-CN"/>
        </w:rPr>
        <w:t>乡村</w:t>
      </w:r>
      <w:r>
        <w:rPr>
          <w:rFonts w:ascii="仿宋_GB2312" w:hAnsi="仿宋_GB2312" w:eastAsia="仿宋_GB2312"/>
          <w:sz w:val="32"/>
        </w:rPr>
        <w:t>民主和法制建设,发挥村委会在全乡建设中的积极作用。</w:t>
      </w:r>
    </w:p>
    <w:p w14:paraId="5B83D386">
      <w:pPr>
        <w:spacing w:line="580" w:lineRule="exact"/>
        <w:ind w:firstLine="640"/>
        <w:jc w:val="both"/>
      </w:pPr>
      <w:r>
        <w:rPr>
          <w:rFonts w:ascii="仿宋_GB2312" w:hAnsi="仿宋_GB2312" w:eastAsia="仿宋_GB2312"/>
          <w:sz w:val="32"/>
        </w:rPr>
        <w:t>5.做好拥军优属,社会救助,住房保障,老龄人、残疾人、民族</w:t>
      </w:r>
      <w:r>
        <w:rPr>
          <w:rFonts w:hint="eastAsia" w:ascii="仿宋_GB2312" w:hAnsi="仿宋_GB2312" w:eastAsia="仿宋_GB2312"/>
          <w:sz w:val="32"/>
          <w:lang w:eastAsia="zh-CN"/>
        </w:rPr>
        <w:t>ZJ</w:t>
      </w:r>
      <w:r>
        <w:rPr>
          <w:rFonts w:ascii="仿宋_GB2312" w:hAnsi="仿宋_GB2312" w:eastAsia="仿宋_GB2312"/>
          <w:sz w:val="32"/>
        </w:rPr>
        <w:t>、殡葬管理等民政工作。</w:t>
      </w:r>
    </w:p>
    <w:p w14:paraId="72C72D25">
      <w:pPr>
        <w:spacing w:line="580" w:lineRule="exact"/>
        <w:ind w:firstLine="640"/>
        <w:jc w:val="both"/>
      </w:pPr>
      <w:r>
        <w:rPr>
          <w:rFonts w:ascii="仿宋_GB2312" w:hAnsi="仿宋_GB2312" w:eastAsia="仿宋_GB2312"/>
          <w:sz w:val="32"/>
        </w:rPr>
        <w:t>6.负责乡的村镇规划建设,环境卫生、绿化、环境保护等工作。</w:t>
      </w:r>
    </w:p>
    <w:p w14:paraId="1B7CF84F">
      <w:pPr>
        <w:spacing w:line="580" w:lineRule="exact"/>
        <w:ind w:firstLine="640"/>
        <w:jc w:val="both"/>
      </w:pPr>
      <w:r>
        <w:rPr>
          <w:rFonts w:ascii="仿宋_GB2312" w:hAnsi="仿宋_GB2312" w:eastAsia="仿宋_GB2312"/>
          <w:sz w:val="32"/>
        </w:rPr>
        <w:t>7.拟定社会治安综合治理规划并组织实施,</w:t>
      </w:r>
      <w:r>
        <w:rPr>
          <w:rFonts w:hint="eastAsia" w:ascii="仿宋_GB2312" w:hAnsi="仿宋_GB2312" w:eastAsia="仿宋_GB2312"/>
          <w:sz w:val="32"/>
          <w:lang w:eastAsia="zh-CN"/>
        </w:rPr>
        <w:t>维护</w:t>
      </w:r>
      <w:r>
        <w:rPr>
          <w:rFonts w:ascii="仿宋_GB2312" w:hAnsi="仿宋_GB2312" w:eastAsia="仿宋_GB2312"/>
          <w:sz w:val="32"/>
        </w:rPr>
        <w:t>社会稳定,协调处理各类突发事件,及时办理人民群众来信,来访等事项。</w:t>
      </w:r>
    </w:p>
    <w:p w14:paraId="1F78C406">
      <w:pPr>
        <w:spacing w:line="580" w:lineRule="exact"/>
        <w:ind w:firstLine="640"/>
        <w:jc w:val="both"/>
      </w:pPr>
      <w:r>
        <w:rPr>
          <w:rFonts w:ascii="仿宋_GB2312" w:hAnsi="仿宋_GB2312" w:eastAsia="仿宋_GB2312"/>
          <w:sz w:val="32"/>
        </w:rPr>
        <w:t>8.负责协调各部门,做好辖区内交通,安全生产,食品药品安全,消防等工作。</w:t>
      </w:r>
    </w:p>
    <w:p w14:paraId="37FC7EC8">
      <w:pPr>
        <w:spacing w:line="580" w:lineRule="exact"/>
        <w:ind w:firstLine="640"/>
        <w:jc w:val="both"/>
      </w:pPr>
      <w:r>
        <w:rPr>
          <w:rFonts w:ascii="仿宋_GB2312" w:hAnsi="仿宋_GB2312" w:eastAsia="仿宋_GB2312"/>
          <w:sz w:val="32"/>
        </w:rPr>
        <w:t>9.做好流动人口管理</w:t>
      </w:r>
      <w:bookmarkStart w:id="0" w:name="_GoBack"/>
      <w:bookmarkEnd w:id="0"/>
      <w:r>
        <w:rPr>
          <w:rFonts w:ascii="仿宋_GB2312" w:hAnsi="仿宋_GB2312" w:eastAsia="仿宋_GB2312"/>
          <w:sz w:val="32"/>
        </w:rPr>
        <w:t>工作,完成本乡文化,体育,广播电视、卫生、教育科普等工作。</w:t>
      </w:r>
    </w:p>
    <w:p w14:paraId="6E340795">
      <w:pPr>
        <w:spacing w:line="580" w:lineRule="exact"/>
        <w:ind w:firstLine="640"/>
        <w:jc w:val="both"/>
      </w:pPr>
      <w:r>
        <w:rPr>
          <w:rFonts w:ascii="仿宋_GB2312" w:hAnsi="仿宋_GB2312" w:eastAsia="仿宋_GB2312"/>
          <w:sz w:val="32"/>
        </w:rPr>
        <w:t>10.承办县人民政府交办的其他事项。</w:t>
      </w:r>
    </w:p>
    <w:p w14:paraId="66DAFA7B">
      <w:pPr>
        <w:spacing w:line="640" w:lineRule="exact"/>
        <w:ind w:firstLine="640"/>
        <w:jc w:val="both"/>
        <w:outlineLvl w:val="2"/>
      </w:pPr>
      <w:r>
        <w:rPr>
          <w:rFonts w:ascii="黑体" w:hAnsi="黑体" w:eastAsia="黑体"/>
          <w:sz w:val="32"/>
        </w:rPr>
        <w:t>二、机构设置及人员情况</w:t>
      </w:r>
    </w:p>
    <w:p w14:paraId="28B712FF">
      <w:pPr>
        <w:spacing w:line="580" w:lineRule="exact"/>
        <w:ind w:firstLine="640"/>
        <w:jc w:val="both"/>
      </w:pPr>
      <w:r>
        <w:rPr>
          <w:rFonts w:ascii="仿宋_GB2312" w:hAnsi="仿宋_GB2312" w:eastAsia="仿宋_GB2312"/>
          <w:sz w:val="32"/>
        </w:rPr>
        <w:t>民丰县安迪尔乡人民政府2024年度，实有人数79人，其中：在职人员67人，减少2人；离休人员0人，增加0人；退休人员12人,增加1人。</w:t>
      </w:r>
    </w:p>
    <w:p w14:paraId="519F477B">
      <w:pPr>
        <w:spacing w:line="580" w:lineRule="exact"/>
        <w:ind w:firstLine="640"/>
        <w:jc w:val="both"/>
      </w:pPr>
      <w:r>
        <w:rPr>
          <w:rFonts w:ascii="仿宋_GB2312" w:hAnsi="仿宋_GB2312" w:eastAsia="仿宋_GB2312"/>
          <w:sz w:val="32"/>
        </w:rPr>
        <w:t>民丰县安迪尔乡人民政府无下属预算单位，下设10个科室，分别是：党政综合办公室、党建工作办公室、经济发展和财政办公室、社会事务办公室、综合执法办公室、综治和网格化服务中心、便民服务中心、农业发展服务中心、村镇建设发展中心、公共文化服务中心。</w:t>
      </w:r>
    </w:p>
    <w:p w14:paraId="7B64C963">
      <w:r>
        <w:br w:type="page"/>
      </w:r>
    </w:p>
    <w:p w14:paraId="7B6AB2C6">
      <w:pPr>
        <w:spacing w:line="240" w:lineRule="auto"/>
        <w:jc w:val="center"/>
        <w:outlineLvl w:val="1"/>
      </w:pPr>
      <w:r>
        <w:rPr>
          <w:rFonts w:ascii="黑体" w:hAnsi="黑体" w:eastAsia="黑体"/>
          <w:sz w:val="32"/>
        </w:rPr>
        <w:t>第二部分 部门决算情况说明</w:t>
      </w:r>
    </w:p>
    <w:p w14:paraId="0D43A6EA">
      <w:pPr>
        <w:spacing w:line="640" w:lineRule="exact"/>
        <w:ind w:firstLine="640"/>
        <w:jc w:val="both"/>
        <w:outlineLvl w:val="2"/>
      </w:pPr>
      <w:r>
        <w:rPr>
          <w:rFonts w:ascii="黑体" w:hAnsi="黑体" w:eastAsia="黑体"/>
          <w:sz w:val="32"/>
        </w:rPr>
        <w:t>一、收入支出决算总体情况说明</w:t>
      </w:r>
    </w:p>
    <w:p w14:paraId="5A7BC778">
      <w:pPr>
        <w:spacing w:line="580" w:lineRule="exact"/>
        <w:ind w:firstLine="640"/>
        <w:jc w:val="both"/>
      </w:pPr>
      <w:r>
        <w:rPr>
          <w:rFonts w:ascii="仿宋_GB2312" w:hAnsi="仿宋_GB2312" w:eastAsia="仿宋_GB2312"/>
          <w:b/>
          <w:sz w:val="32"/>
        </w:rPr>
        <w:t>2024年度收入总计2,014.15万元，</w:t>
      </w:r>
      <w:r>
        <w:rPr>
          <w:rFonts w:ascii="仿宋_GB2312" w:hAnsi="仿宋_GB2312" w:eastAsia="仿宋_GB2312"/>
          <w:b w:val="0"/>
          <w:sz w:val="32"/>
        </w:rPr>
        <w:t>其中：本年收入合计1,841.34万元，使用非财政拨款结余（含专用结余）0.00万元，年初结转和结余172.81万元。</w:t>
      </w:r>
    </w:p>
    <w:p w14:paraId="1D09F990">
      <w:pPr>
        <w:spacing w:line="580" w:lineRule="exact"/>
        <w:ind w:firstLine="640"/>
        <w:jc w:val="both"/>
      </w:pPr>
      <w:r>
        <w:rPr>
          <w:rFonts w:ascii="仿宋_GB2312" w:hAnsi="仿宋_GB2312" w:eastAsia="仿宋_GB2312"/>
          <w:b/>
          <w:sz w:val="32"/>
        </w:rPr>
        <w:t>2024年度支出总计2,014.15万元，</w:t>
      </w:r>
      <w:r>
        <w:rPr>
          <w:rFonts w:ascii="仿宋_GB2312" w:hAnsi="仿宋_GB2312" w:eastAsia="仿宋_GB2312"/>
          <w:b w:val="0"/>
          <w:sz w:val="32"/>
        </w:rPr>
        <w:t>其中：本年支出合计1,928.98万元，结余分配0.00万元，年末结转和结余85.17万元。</w:t>
      </w:r>
    </w:p>
    <w:p w14:paraId="1AE444AC">
      <w:pPr>
        <w:spacing w:line="580" w:lineRule="exact"/>
        <w:ind w:firstLine="640"/>
        <w:jc w:val="both"/>
      </w:pPr>
      <w:r>
        <w:rPr>
          <w:rFonts w:ascii="仿宋_GB2312" w:hAnsi="仿宋_GB2312" w:eastAsia="仿宋_GB2312"/>
          <w:b w:val="0"/>
          <w:sz w:val="32"/>
        </w:rPr>
        <w:t>收入支出总体与上年相比，增加474.49万元，增长30.82%，主要原因是：本年增加安迪尔乡林果业以奖代补产业帮扶精准到户项目、安迪尔乡</w:t>
      </w:r>
      <w:r>
        <w:rPr>
          <w:rFonts w:hint="eastAsia" w:ascii="仿宋_GB2312" w:hAnsi="仿宋_GB2312" w:eastAsia="仿宋_GB2312"/>
          <w:b w:val="0"/>
          <w:sz w:val="32"/>
          <w:lang w:eastAsia="zh-CN"/>
        </w:rPr>
        <w:t>畜牧业</w:t>
      </w:r>
      <w:r>
        <w:rPr>
          <w:rFonts w:ascii="仿宋_GB2312" w:hAnsi="仿宋_GB2312" w:eastAsia="仿宋_GB2312"/>
          <w:b w:val="0"/>
          <w:sz w:val="32"/>
        </w:rPr>
        <w:t>以奖代补产业帮扶精准到户项目、安迪尔乡</w:t>
      </w:r>
      <w:r>
        <w:rPr>
          <w:rFonts w:hint="eastAsia" w:ascii="仿宋_GB2312" w:hAnsi="仿宋_GB2312" w:eastAsia="仿宋_GB2312"/>
          <w:b w:val="0"/>
          <w:sz w:val="32"/>
          <w:lang w:eastAsia="zh-CN"/>
        </w:rPr>
        <w:t>种植业</w:t>
      </w:r>
      <w:r>
        <w:rPr>
          <w:rFonts w:ascii="仿宋_GB2312" w:hAnsi="仿宋_GB2312" w:eastAsia="仿宋_GB2312"/>
          <w:b w:val="0"/>
          <w:sz w:val="32"/>
        </w:rPr>
        <w:t>以奖代补产业帮扶精准到户项目、民丰县夏央村壮大村集体经济建设项目、民丰县夏央村板蓝根种植项目，导致相关经费增加。</w:t>
      </w:r>
    </w:p>
    <w:p w14:paraId="1F4EF099">
      <w:pPr>
        <w:spacing w:line="640" w:lineRule="exact"/>
        <w:ind w:firstLine="640"/>
        <w:jc w:val="both"/>
        <w:outlineLvl w:val="2"/>
      </w:pPr>
      <w:r>
        <w:rPr>
          <w:rFonts w:ascii="黑体" w:hAnsi="黑体" w:eastAsia="黑体"/>
          <w:sz w:val="32"/>
        </w:rPr>
        <w:t>二、收入决算情况说明</w:t>
      </w:r>
    </w:p>
    <w:p w14:paraId="279D19E1">
      <w:pPr>
        <w:spacing w:line="580" w:lineRule="exact"/>
        <w:ind w:firstLine="640"/>
        <w:jc w:val="both"/>
      </w:pPr>
      <w:r>
        <w:rPr>
          <w:rFonts w:ascii="仿宋_GB2312" w:hAnsi="仿宋_GB2312" w:eastAsia="仿宋_GB2312"/>
          <w:b/>
          <w:sz w:val="32"/>
        </w:rPr>
        <w:t>本年收入1,841.34万元，</w:t>
      </w:r>
      <w:r>
        <w:rPr>
          <w:rFonts w:ascii="仿宋_GB2312" w:hAnsi="仿宋_GB2312" w:eastAsia="仿宋_GB2312"/>
          <w:b w:val="0"/>
          <w:sz w:val="32"/>
        </w:rPr>
        <w:t>其中：财政拨款收入1,808.34万元，占98.21%；上级补助收入0.00万元，占0.00%；事业收入0.00万元，占0.00%；经营收入0.00万元，占0.00%；附属单位上缴收入0.00万元，占0.00%；其他收入33.00万元，占1.79%。</w:t>
      </w:r>
    </w:p>
    <w:p w14:paraId="0A931633">
      <w:pPr>
        <w:spacing w:line="640" w:lineRule="exact"/>
        <w:ind w:firstLine="640"/>
        <w:jc w:val="both"/>
        <w:outlineLvl w:val="2"/>
      </w:pPr>
      <w:r>
        <w:rPr>
          <w:rFonts w:ascii="黑体" w:hAnsi="黑体" w:eastAsia="黑体"/>
          <w:sz w:val="32"/>
        </w:rPr>
        <w:t>三、支出决算情况说明</w:t>
      </w:r>
    </w:p>
    <w:p w14:paraId="7F3908D9">
      <w:pPr>
        <w:spacing w:line="580" w:lineRule="exact"/>
        <w:ind w:firstLine="640"/>
        <w:jc w:val="both"/>
      </w:pPr>
      <w:r>
        <w:rPr>
          <w:rFonts w:ascii="仿宋_GB2312" w:hAnsi="仿宋_GB2312" w:eastAsia="仿宋_GB2312"/>
          <w:b/>
          <w:sz w:val="32"/>
        </w:rPr>
        <w:t>本年支出1,928.98万元，</w:t>
      </w:r>
      <w:r>
        <w:rPr>
          <w:rFonts w:ascii="仿宋_GB2312" w:hAnsi="仿宋_GB2312" w:eastAsia="仿宋_GB2312"/>
          <w:b w:val="0"/>
          <w:sz w:val="32"/>
        </w:rPr>
        <w:t>其中：基本支出1,541.99万元，占79.94%；项目支出386.99万元，占20.06%；上缴上级支出0.00万元，占0.00%；经营支出0.00万元，占0.00%；对附属单位补助支出0.00万元，占0.00%。</w:t>
      </w:r>
    </w:p>
    <w:p w14:paraId="0FA05AA7">
      <w:pPr>
        <w:spacing w:line="640" w:lineRule="exact"/>
        <w:ind w:firstLine="640"/>
        <w:jc w:val="both"/>
        <w:outlineLvl w:val="2"/>
      </w:pPr>
      <w:r>
        <w:rPr>
          <w:rFonts w:ascii="黑体" w:hAnsi="黑体" w:eastAsia="黑体"/>
          <w:sz w:val="32"/>
        </w:rPr>
        <w:t>四、财政拨款收入支出决算总体情况说明</w:t>
      </w:r>
    </w:p>
    <w:p w14:paraId="0C395062">
      <w:pPr>
        <w:spacing w:line="580" w:lineRule="exact"/>
        <w:ind w:firstLine="640"/>
        <w:jc w:val="both"/>
      </w:pPr>
      <w:r>
        <w:rPr>
          <w:rFonts w:ascii="仿宋_GB2312" w:hAnsi="仿宋_GB2312" w:eastAsia="仿宋_GB2312"/>
          <w:b/>
          <w:sz w:val="32"/>
        </w:rPr>
        <w:t>2024年度财政拨款收入总计1,808.34万元，</w:t>
      </w:r>
      <w:r>
        <w:rPr>
          <w:rFonts w:ascii="仿宋_GB2312" w:hAnsi="仿宋_GB2312" w:eastAsia="仿宋_GB2312"/>
          <w:b w:val="0"/>
          <w:sz w:val="32"/>
        </w:rPr>
        <w:t>其中：年初财政拨款结转和结余0.00万元，本年财政拨款收入1,808.34万元。</w:t>
      </w:r>
      <w:r>
        <w:rPr>
          <w:rFonts w:ascii="仿宋_GB2312" w:hAnsi="仿宋_GB2312" w:eastAsia="仿宋_GB2312"/>
          <w:b/>
          <w:sz w:val="32"/>
        </w:rPr>
        <w:t>财政拨款支出总计1,808.34万元，</w:t>
      </w:r>
      <w:r>
        <w:rPr>
          <w:rFonts w:ascii="仿宋_GB2312" w:hAnsi="仿宋_GB2312" w:eastAsia="仿宋_GB2312"/>
          <w:b w:val="0"/>
          <w:sz w:val="32"/>
        </w:rPr>
        <w:t>其中：年末财政拨款结转和结余0.00万元，本年财政拨款支出1,808.34万元。</w:t>
      </w:r>
    </w:p>
    <w:p w14:paraId="5D765FF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增加441.96万元，增长32.35%，主要原因是：本年增加安迪尔乡林果业以奖代补产业帮扶精准到户项目、安迪尔乡</w:t>
      </w:r>
      <w:r>
        <w:rPr>
          <w:rFonts w:hint="eastAsia" w:ascii="仿宋_GB2312" w:hAnsi="仿宋_GB2312" w:eastAsia="仿宋_GB2312"/>
          <w:b w:val="0"/>
          <w:sz w:val="32"/>
          <w:lang w:eastAsia="zh-CN"/>
        </w:rPr>
        <w:t>畜牧业</w:t>
      </w:r>
      <w:r>
        <w:rPr>
          <w:rFonts w:ascii="仿宋_GB2312" w:hAnsi="仿宋_GB2312" w:eastAsia="仿宋_GB2312"/>
          <w:b w:val="0"/>
          <w:sz w:val="32"/>
        </w:rPr>
        <w:t>以奖代补产业帮扶精准到户项目、安迪尔乡</w:t>
      </w:r>
      <w:r>
        <w:rPr>
          <w:rFonts w:hint="eastAsia" w:ascii="仿宋_GB2312" w:hAnsi="仿宋_GB2312" w:eastAsia="仿宋_GB2312"/>
          <w:b w:val="0"/>
          <w:sz w:val="32"/>
          <w:lang w:eastAsia="zh-CN"/>
        </w:rPr>
        <w:t>种植业</w:t>
      </w:r>
      <w:r>
        <w:rPr>
          <w:rFonts w:ascii="仿宋_GB2312" w:hAnsi="仿宋_GB2312" w:eastAsia="仿宋_GB2312"/>
          <w:b w:val="0"/>
          <w:sz w:val="32"/>
        </w:rPr>
        <w:t>以奖代补产业帮扶精准到户项目、民丰县夏央村壮大村集体经济建设项目、民丰县夏央村板蓝根种植项目，导致相关经费增加。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年初预算数1,457.09万元，决算数1,808.34万元，预决算差异率24.11%，主要原因是：年中追加安迪尔乡林果业以奖代补产业帮扶精准到户项目、安迪尔乡畜牧</w:t>
      </w:r>
      <w:r>
        <w:rPr>
          <w:rFonts w:hint="eastAsia" w:ascii="仿宋_GB2312" w:hAnsi="仿宋_GB2312" w:eastAsia="仿宋_GB2312"/>
          <w:b w:val="0"/>
          <w:sz w:val="32"/>
          <w:lang w:eastAsia="zh-CN"/>
        </w:rPr>
        <w:t>业产</w:t>
      </w:r>
      <w:r>
        <w:rPr>
          <w:rFonts w:ascii="仿宋_GB2312" w:hAnsi="仿宋_GB2312" w:eastAsia="仿宋_GB2312"/>
          <w:b w:val="0"/>
          <w:sz w:val="32"/>
        </w:rPr>
        <w:t>业以奖代补产业帮扶精准到户项目、安迪尔乡</w:t>
      </w:r>
      <w:r>
        <w:rPr>
          <w:rFonts w:hint="eastAsia" w:ascii="仿宋_GB2312" w:hAnsi="仿宋_GB2312" w:eastAsia="仿宋_GB2312"/>
          <w:b w:val="0"/>
          <w:sz w:val="32"/>
          <w:lang w:eastAsia="zh-CN"/>
        </w:rPr>
        <w:t>种植业</w:t>
      </w:r>
      <w:r>
        <w:rPr>
          <w:rFonts w:ascii="仿宋_GB2312" w:hAnsi="仿宋_GB2312" w:eastAsia="仿宋_GB2312"/>
          <w:b w:val="0"/>
          <w:sz w:val="32"/>
        </w:rPr>
        <w:t>以奖代补产业帮扶精准到户项目、民丰县夏央村壮大村集体经济建设项目、民丰县夏央村板蓝根种植项目。</w:t>
      </w:r>
    </w:p>
    <w:p w14:paraId="1BB59AC4">
      <w:pPr>
        <w:spacing w:line="640" w:lineRule="exact"/>
        <w:ind w:firstLine="640"/>
        <w:jc w:val="both"/>
        <w:outlineLvl w:val="2"/>
      </w:pPr>
      <w:r>
        <w:rPr>
          <w:rFonts w:ascii="黑体" w:hAnsi="黑体" w:eastAsia="黑体"/>
          <w:sz w:val="32"/>
        </w:rPr>
        <w:t>五、一般公共预算财政拨款支出决算情况说明</w:t>
      </w:r>
    </w:p>
    <w:p w14:paraId="405568F1">
      <w:pPr>
        <w:spacing w:line="640" w:lineRule="exact"/>
        <w:ind w:firstLine="640"/>
        <w:jc w:val="both"/>
        <w:outlineLvl w:val="3"/>
      </w:pPr>
      <w:r>
        <w:rPr>
          <w:rFonts w:ascii="楷体_GB2312" w:hAnsi="楷体_GB2312" w:eastAsia="楷体_GB2312"/>
          <w:b/>
          <w:sz w:val="32"/>
        </w:rPr>
        <w:t>（一）一般公共预算财政拨款支出决算总体情况</w:t>
      </w:r>
    </w:p>
    <w:p w14:paraId="44D08FDA">
      <w:pPr>
        <w:spacing w:line="580" w:lineRule="exact"/>
        <w:ind w:firstLine="640"/>
        <w:jc w:val="both"/>
      </w:pPr>
      <w:r>
        <w:rPr>
          <w:rFonts w:ascii="仿宋_GB2312" w:hAnsi="仿宋_GB2312" w:eastAsia="仿宋_GB2312"/>
          <w:b/>
          <w:sz w:val="32"/>
        </w:rPr>
        <w:t>2024年度一般公共预算财政拨款支出1,808.34万元，</w:t>
      </w:r>
      <w:r>
        <w:rPr>
          <w:rFonts w:ascii="仿宋_GB2312" w:hAnsi="仿宋_GB2312" w:eastAsia="仿宋_GB2312"/>
          <w:b w:val="0"/>
          <w:sz w:val="32"/>
        </w:rPr>
        <w:t>占本年支出合计的93.75%。</w:t>
      </w:r>
      <w:r>
        <w:rPr>
          <w:rFonts w:ascii="仿宋_GB2312" w:hAnsi="仿宋_GB2312" w:eastAsia="仿宋_GB2312"/>
          <w:b/>
          <w:sz w:val="32"/>
        </w:rPr>
        <w:t>与上年相比，</w:t>
      </w:r>
      <w:r>
        <w:rPr>
          <w:rFonts w:ascii="仿宋_GB2312" w:hAnsi="仿宋_GB2312" w:eastAsia="仿宋_GB2312"/>
          <w:b w:val="0"/>
          <w:sz w:val="32"/>
        </w:rPr>
        <w:t>增加441.96万元，增长32.35%，主要原因是：本年增加安迪尔乡林果业以奖代补产业帮扶精准到户项目、安迪尔乡</w:t>
      </w:r>
      <w:r>
        <w:rPr>
          <w:rFonts w:hint="eastAsia" w:ascii="仿宋_GB2312" w:hAnsi="仿宋_GB2312" w:eastAsia="仿宋_GB2312"/>
          <w:b w:val="0"/>
          <w:sz w:val="32"/>
          <w:lang w:eastAsia="zh-CN"/>
        </w:rPr>
        <w:t>畜牧业</w:t>
      </w:r>
      <w:r>
        <w:rPr>
          <w:rFonts w:ascii="仿宋_GB2312" w:hAnsi="仿宋_GB2312" w:eastAsia="仿宋_GB2312"/>
          <w:b w:val="0"/>
          <w:sz w:val="32"/>
        </w:rPr>
        <w:t>以奖代补产业帮扶精准到户项目、安迪尔乡</w:t>
      </w:r>
      <w:r>
        <w:rPr>
          <w:rFonts w:hint="eastAsia" w:ascii="仿宋_GB2312" w:hAnsi="仿宋_GB2312" w:eastAsia="仿宋_GB2312"/>
          <w:b w:val="0"/>
          <w:sz w:val="32"/>
          <w:lang w:eastAsia="zh-CN"/>
        </w:rPr>
        <w:t>种植业</w:t>
      </w:r>
      <w:r>
        <w:rPr>
          <w:rFonts w:ascii="仿宋_GB2312" w:hAnsi="仿宋_GB2312" w:eastAsia="仿宋_GB2312"/>
          <w:b w:val="0"/>
          <w:sz w:val="32"/>
        </w:rPr>
        <w:t>以奖代补产业帮扶精准到户项目、民丰县夏央村壮大村集体经济建设项目、民丰县夏央村板蓝根种植项目，导致相关经费增加。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年初预算数1,457.09万元，决算数1,808.34万元，预决算差异率24.11%，主要原因是：年中追加安迪尔乡林果业以奖代补产业帮扶精准到户项目、安迪尔乡</w:t>
      </w:r>
      <w:r>
        <w:rPr>
          <w:rFonts w:hint="eastAsia" w:ascii="仿宋_GB2312" w:hAnsi="仿宋_GB2312" w:eastAsia="仿宋_GB2312"/>
          <w:b w:val="0"/>
          <w:sz w:val="32"/>
          <w:lang w:eastAsia="zh-CN"/>
        </w:rPr>
        <w:t>畜牧业</w:t>
      </w:r>
      <w:r>
        <w:rPr>
          <w:rFonts w:ascii="仿宋_GB2312" w:hAnsi="仿宋_GB2312" w:eastAsia="仿宋_GB2312"/>
          <w:b w:val="0"/>
          <w:sz w:val="32"/>
        </w:rPr>
        <w:t>以奖代补产业帮扶精准到户项目、安迪尔乡</w:t>
      </w:r>
      <w:r>
        <w:rPr>
          <w:rFonts w:hint="eastAsia" w:ascii="仿宋_GB2312" w:hAnsi="仿宋_GB2312" w:eastAsia="仿宋_GB2312"/>
          <w:b w:val="0"/>
          <w:sz w:val="32"/>
          <w:lang w:eastAsia="zh-CN"/>
        </w:rPr>
        <w:t>种植业</w:t>
      </w:r>
      <w:r>
        <w:rPr>
          <w:rFonts w:ascii="仿宋_GB2312" w:hAnsi="仿宋_GB2312" w:eastAsia="仿宋_GB2312"/>
          <w:b w:val="0"/>
          <w:sz w:val="32"/>
        </w:rPr>
        <w:t>以奖代补产业帮扶精准到户项目、民丰县夏央村壮大村集体经济建设项目、民丰县夏央村板蓝根种植项目，导致预决算存在差异。</w:t>
      </w:r>
    </w:p>
    <w:p w14:paraId="7B56D2BB">
      <w:pPr>
        <w:spacing w:line="640" w:lineRule="exact"/>
        <w:ind w:firstLine="640"/>
        <w:jc w:val="both"/>
        <w:outlineLvl w:val="3"/>
      </w:pPr>
      <w:r>
        <w:rPr>
          <w:rFonts w:ascii="楷体_GB2312" w:hAnsi="楷体_GB2312" w:eastAsia="楷体_GB2312"/>
          <w:b/>
          <w:sz w:val="32"/>
        </w:rPr>
        <w:t>（二）一般公共预算财政拨款支出决算结构情况</w:t>
      </w:r>
    </w:p>
    <w:p w14:paraId="5050D683">
      <w:pPr>
        <w:spacing w:line="580" w:lineRule="exact"/>
        <w:ind w:firstLine="640"/>
        <w:jc w:val="both"/>
      </w:pPr>
      <w:r>
        <w:rPr>
          <w:rFonts w:ascii="仿宋_GB2312" w:hAnsi="仿宋_GB2312" w:eastAsia="仿宋_GB2312"/>
          <w:b w:val="0"/>
          <w:sz w:val="32"/>
        </w:rPr>
        <w:t>1.一般公共服务支出(类)1,090.03万元,占60.28%。</w:t>
      </w:r>
    </w:p>
    <w:p w14:paraId="4E6AC1B4">
      <w:pPr>
        <w:spacing w:line="580" w:lineRule="exact"/>
        <w:ind w:firstLine="640"/>
        <w:jc w:val="both"/>
      </w:pPr>
      <w:r>
        <w:rPr>
          <w:rFonts w:ascii="仿宋_GB2312" w:hAnsi="仿宋_GB2312" w:eastAsia="仿宋_GB2312"/>
          <w:b w:val="0"/>
          <w:sz w:val="32"/>
        </w:rPr>
        <w:t>2.社会保障和就业支出(类)150.86万元,占8.34%。</w:t>
      </w:r>
    </w:p>
    <w:p w14:paraId="2C3FC0CD">
      <w:pPr>
        <w:spacing w:line="580" w:lineRule="exact"/>
        <w:ind w:firstLine="640"/>
        <w:jc w:val="both"/>
      </w:pPr>
      <w:r>
        <w:rPr>
          <w:rFonts w:ascii="仿宋_GB2312" w:hAnsi="仿宋_GB2312" w:eastAsia="仿宋_GB2312"/>
          <w:b w:val="0"/>
          <w:sz w:val="32"/>
        </w:rPr>
        <w:t>3.卫生健康支出(类)82.10万元,占4.54%。</w:t>
      </w:r>
    </w:p>
    <w:p w14:paraId="760DA39E">
      <w:pPr>
        <w:spacing w:line="580" w:lineRule="exact"/>
        <w:ind w:firstLine="640"/>
        <w:jc w:val="both"/>
      </w:pPr>
      <w:r>
        <w:rPr>
          <w:rFonts w:ascii="仿宋_GB2312" w:hAnsi="仿宋_GB2312" w:eastAsia="仿宋_GB2312"/>
          <w:b w:val="0"/>
          <w:sz w:val="32"/>
        </w:rPr>
        <w:t>4.农林水支出(类)386.99万元,占21.40%。</w:t>
      </w:r>
    </w:p>
    <w:p w14:paraId="1400507F">
      <w:pPr>
        <w:spacing w:line="580" w:lineRule="exact"/>
        <w:ind w:firstLine="640"/>
        <w:jc w:val="both"/>
      </w:pPr>
      <w:r>
        <w:rPr>
          <w:rFonts w:ascii="仿宋_GB2312" w:hAnsi="仿宋_GB2312" w:eastAsia="仿宋_GB2312"/>
          <w:b w:val="0"/>
          <w:sz w:val="32"/>
        </w:rPr>
        <w:t>5.住房保障支出(类)98.36万元,占5.44%。</w:t>
      </w:r>
    </w:p>
    <w:p w14:paraId="37BF05D0">
      <w:pPr>
        <w:spacing w:line="640" w:lineRule="exact"/>
        <w:ind w:firstLine="640"/>
        <w:jc w:val="both"/>
        <w:outlineLvl w:val="3"/>
      </w:pPr>
      <w:r>
        <w:rPr>
          <w:rFonts w:ascii="楷体_GB2312" w:hAnsi="楷体_GB2312" w:eastAsia="楷体_GB2312"/>
          <w:b/>
          <w:sz w:val="32"/>
        </w:rPr>
        <w:t>（三）一般公共预算财政拨款支出决算具体情况</w:t>
      </w:r>
    </w:p>
    <w:p w14:paraId="3463468F">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1,090.03万元，比上年决算减少135.46万元，下降11.05%,主要原因是：本年功能科目调整，行政单位离退休、住房公积金、行政单位医疗、其他行政事业单位医疗上年度在主科目列支，本年单独列支，导致相关经费减少。</w:t>
      </w:r>
    </w:p>
    <w:p w14:paraId="4530743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9.46万元，比上年决算增加9.46万元，增长100.00%,主要原因是：本年功能科目调整，行政单位离退休上年度在主科目列支，本年单独列支，导致经费较上年增加。</w:t>
      </w:r>
    </w:p>
    <w:p w14:paraId="4CB6DA8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129.10万元，比上年决算增加15.26万元，增长13.40%,主要原因是：本年在职人员工资基数调增，养老缴费基数上涨，相应支出增加。</w:t>
      </w:r>
    </w:p>
    <w:p w14:paraId="1757D42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12.29万元，比上年决算减少2.75万元，下降18.28%,主要原因是：本年新增退休人员、调出人员较上年减少，职业年金缴费较上年减少。</w:t>
      </w:r>
    </w:p>
    <w:p w14:paraId="217BC901">
      <w:pPr>
        <w:spacing w:line="580" w:lineRule="exact"/>
        <w:ind w:firstLine="640"/>
        <w:jc w:val="both"/>
      </w:pPr>
      <w:r>
        <w:rPr>
          <w:rFonts w:ascii="仿宋_GB2312" w:hAnsi="仿宋_GB2312" w:eastAsia="仿宋_GB2312"/>
          <w:b w:val="0"/>
          <w:sz w:val="32"/>
        </w:rPr>
        <w:t>5.社会保障和就业支出(类)临时救助(款)临时救助支出(项):支出决算数为0.00万元，比上年决算减少2.00万元，下降100.00%,主要原因是：本年度无临时救助资金。</w:t>
      </w:r>
    </w:p>
    <w:p w14:paraId="2BCF75E0">
      <w:pPr>
        <w:spacing w:line="580" w:lineRule="exact"/>
        <w:ind w:firstLine="640"/>
        <w:jc w:val="both"/>
      </w:pPr>
      <w:r>
        <w:rPr>
          <w:rFonts w:ascii="仿宋_GB2312" w:hAnsi="仿宋_GB2312" w:eastAsia="仿宋_GB2312"/>
          <w:b w:val="0"/>
          <w:sz w:val="32"/>
        </w:rPr>
        <w:t>6.卫生健康支出(类)行政事业单位医疗(款)行政单位医疗(项):支出决算数为52.93万元，比上年决算增加52.93万元，增长100.00%,主要原因是：本年功能科目调整，行政单位医疗支出上年度在主科目列支，本年单独列支，导致经费较上年增加。</w:t>
      </w:r>
    </w:p>
    <w:p w14:paraId="0BAE0273">
      <w:pPr>
        <w:spacing w:line="580" w:lineRule="exact"/>
        <w:ind w:firstLine="640"/>
        <w:jc w:val="both"/>
      </w:pPr>
      <w:r>
        <w:rPr>
          <w:rFonts w:ascii="仿宋_GB2312" w:hAnsi="仿宋_GB2312" w:eastAsia="仿宋_GB2312"/>
          <w:b w:val="0"/>
          <w:sz w:val="32"/>
        </w:rPr>
        <w:t>7.卫生健康支出(类)行政事业单位医疗(款)公务员医疗补助(项):支出决算数为25.89万元，比上年决算增加25.89万元，增长100.00%,主要原因是：本年功能科目调整，公务员医疗补助上年度在主科目列支，本年单独列支，导致经费较上年增加。</w:t>
      </w:r>
    </w:p>
    <w:p w14:paraId="44682D23">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3.27万元，比上年决算增加3.27万元，增长100.00%,主要原因是：本年功能科目调整，职工大病、工伤、失业保险缴费等支出上年度在主科目列支，本年单独列支，导致经费较上年增加。</w:t>
      </w:r>
    </w:p>
    <w:p w14:paraId="083C8739">
      <w:pPr>
        <w:spacing w:line="580" w:lineRule="exact"/>
        <w:ind w:firstLine="640"/>
        <w:jc w:val="both"/>
      </w:pPr>
      <w:r>
        <w:rPr>
          <w:rFonts w:ascii="仿宋_GB2312" w:hAnsi="仿宋_GB2312" w:eastAsia="仿宋_GB2312"/>
          <w:b w:val="0"/>
          <w:sz w:val="32"/>
        </w:rPr>
        <w:t>9.农林水支出(类)巩固脱贫攻坚成果衔接乡村振兴(款)生产发展(项):支出决算数为386.99万元，比上年决算增加386.99万元，增长100.00%,主要原因是：本年增加安迪尔乡林果业以奖代补产业帮扶精准到户项目、安迪尔乡</w:t>
      </w:r>
      <w:r>
        <w:rPr>
          <w:rFonts w:hint="eastAsia" w:ascii="仿宋_GB2312" w:hAnsi="仿宋_GB2312" w:eastAsia="仿宋_GB2312"/>
          <w:b w:val="0"/>
          <w:sz w:val="32"/>
          <w:lang w:eastAsia="zh-CN"/>
        </w:rPr>
        <w:t>畜牧业</w:t>
      </w:r>
      <w:r>
        <w:rPr>
          <w:rFonts w:ascii="仿宋_GB2312" w:hAnsi="仿宋_GB2312" w:eastAsia="仿宋_GB2312"/>
          <w:b w:val="0"/>
          <w:sz w:val="32"/>
        </w:rPr>
        <w:t>以奖代补产业帮扶精准到户项目、安迪尔乡</w:t>
      </w:r>
      <w:r>
        <w:rPr>
          <w:rFonts w:hint="eastAsia" w:ascii="仿宋_GB2312" w:hAnsi="仿宋_GB2312" w:eastAsia="仿宋_GB2312"/>
          <w:b w:val="0"/>
          <w:sz w:val="32"/>
          <w:lang w:eastAsia="zh-CN"/>
        </w:rPr>
        <w:t>种植业</w:t>
      </w:r>
      <w:r>
        <w:rPr>
          <w:rFonts w:ascii="仿宋_GB2312" w:hAnsi="仿宋_GB2312" w:eastAsia="仿宋_GB2312"/>
          <w:b w:val="0"/>
          <w:sz w:val="32"/>
        </w:rPr>
        <w:t>以奖代补产业帮扶精准到户项目、民丰县夏央村壮大村集体经济建设项目、民丰县夏央村板蓝根种植项目，导致相关经费增加。</w:t>
      </w:r>
    </w:p>
    <w:p w14:paraId="444FAC03">
      <w:pPr>
        <w:spacing w:line="580" w:lineRule="exact"/>
        <w:ind w:firstLine="640"/>
        <w:jc w:val="both"/>
      </w:pPr>
      <w:r>
        <w:rPr>
          <w:rFonts w:ascii="仿宋_GB2312" w:hAnsi="仿宋_GB2312" w:eastAsia="仿宋_GB2312"/>
          <w:b w:val="0"/>
          <w:sz w:val="32"/>
        </w:rPr>
        <w:t>10.住房保障支出(类)住房改革支出(款)住房公积金(项):支出决算数为98.36万元，比上年决算增加98.36万元，增长100.00%,主要原因是：本年功能科目调整，住房公积金上年度在主科目列支，本年单独列支，导致经费较上年增加。</w:t>
      </w:r>
    </w:p>
    <w:p w14:paraId="6539225C">
      <w:pPr>
        <w:spacing w:line="580" w:lineRule="exact"/>
        <w:ind w:firstLine="640"/>
        <w:jc w:val="both"/>
      </w:pPr>
      <w:r>
        <w:rPr>
          <w:rFonts w:ascii="仿宋_GB2312" w:hAnsi="仿宋_GB2312" w:eastAsia="仿宋_GB2312"/>
          <w:b w:val="0"/>
          <w:sz w:val="32"/>
        </w:rPr>
        <w:t>11.其他支出(类)其他支出(款)其他支出(项):支出决算数为0.00万元，比上年决算减少10.00万元，下降100.00%,主要原因是：本年度为民办实事工作经费减少。</w:t>
      </w:r>
    </w:p>
    <w:p w14:paraId="64B32B4F">
      <w:pPr>
        <w:spacing w:line="640" w:lineRule="exact"/>
        <w:ind w:firstLine="640"/>
        <w:jc w:val="both"/>
        <w:outlineLvl w:val="2"/>
      </w:pPr>
      <w:r>
        <w:rPr>
          <w:rFonts w:ascii="黑体" w:hAnsi="黑体" w:eastAsia="黑体"/>
          <w:sz w:val="32"/>
        </w:rPr>
        <w:t>六、一般公共预算财政拨款基本支出决算情况说明</w:t>
      </w:r>
    </w:p>
    <w:p w14:paraId="78343490">
      <w:pPr>
        <w:spacing w:line="580" w:lineRule="exact"/>
        <w:ind w:firstLine="640"/>
        <w:jc w:val="both"/>
      </w:pPr>
      <w:r>
        <w:rPr>
          <w:rFonts w:ascii="仿宋_GB2312" w:hAnsi="仿宋_GB2312" w:eastAsia="仿宋_GB2312"/>
          <w:b w:val="0"/>
          <w:sz w:val="32"/>
        </w:rPr>
        <w:t>2024年度一般公共预算财政拨款基本支出1,421.35万元，其中：</w:t>
      </w:r>
      <w:r>
        <w:rPr>
          <w:rFonts w:ascii="仿宋_GB2312" w:hAnsi="仿宋_GB2312" w:eastAsia="仿宋_GB2312"/>
          <w:b/>
          <w:sz w:val="32"/>
        </w:rPr>
        <w:t>人员经费1,361.70万元，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w:t>
      </w:r>
    </w:p>
    <w:p w14:paraId="31E66063">
      <w:pPr>
        <w:spacing w:line="580" w:lineRule="exact"/>
        <w:ind w:firstLine="640"/>
        <w:jc w:val="both"/>
      </w:pPr>
      <w:r>
        <w:rPr>
          <w:rFonts w:ascii="仿宋_GB2312" w:hAnsi="仿宋_GB2312" w:eastAsia="仿宋_GB2312"/>
          <w:b/>
          <w:sz w:val="32"/>
        </w:rPr>
        <w:t>公用经费59.65万元，</w:t>
      </w:r>
      <w:r>
        <w:rPr>
          <w:rFonts w:ascii="仿宋_GB2312" w:hAnsi="仿宋_GB2312" w:eastAsia="仿宋_GB2312"/>
          <w:b w:val="0"/>
          <w:sz w:val="32"/>
        </w:rPr>
        <w:t>包括：办公费、印刷费、水费、电费、邮电费、差旅费、劳务费、其他交通费用。</w:t>
      </w:r>
    </w:p>
    <w:p w14:paraId="08824244">
      <w:pPr>
        <w:spacing w:line="640" w:lineRule="exact"/>
        <w:ind w:firstLine="640"/>
        <w:jc w:val="both"/>
        <w:outlineLvl w:val="2"/>
      </w:pPr>
      <w:r>
        <w:rPr>
          <w:rFonts w:ascii="黑体" w:hAnsi="黑体" w:eastAsia="黑体"/>
          <w:sz w:val="32"/>
        </w:rPr>
        <w:t>七、政府性基金预算财政拨款收入支出决算情况说明</w:t>
      </w:r>
    </w:p>
    <w:p w14:paraId="4BCE97C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E6B9B41">
      <w:pPr>
        <w:spacing w:line="640" w:lineRule="exact"/>
        <w:ind w:firstLine="640"/>
        <w:jc w:val="both"/>
        <w:outlineLvl w:val="2"/>
      </w:pPr>
      <w:r>
        <w:rPr>
          <w:rFonts w:ascii="黑体" w:hAnsi="黑体" w:eastAsia="黑体"/>
          <w:sz w:val="32"/>
        </w:rPr>
        <w:t>八、国有资本经营预算财政拨款收入支出决算情况说明</w:t>
      </w:r>
    </w:p>
    <w:p w14:paraId="6A3DBC4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6610A7">
      <w:pPr>
        <w:spacing w:line="640" w:lineRule="exact"/>
        <w:ind w:firstLine="640"/>
        <w:jc w:val="both"/>
        <w:outlineLvl w:val="2"/>
      </w:pPr>
      <w:r>
        <w:rPr>
          <w:rFonts w:ascii="黑体" w:hAnsi="黑体" w:eastAsia="黑体"/>
          <w:sz w:val="32"/>
        </w:rPr>
        <w:t>九、财政拨款“三公”经费支出决算情况说明</w:t>
      </w:r>
    </w:p>
    <w:p w14:paraId="2B33486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E359C57">
      <w:pPr>
        <w:spacing w:line="580" w:lineRule="exact"/>
        <w:ind w:firstLine="640"/>
        <w:jc w:val="both"/>
      </w:pPr>
      <w:r>
        <w:rPr>
          <w:rFonts w:ascii="仿宋_GB2312" w:hAnsi="仿宋_GB2312" w:eastAsia="仿宋_GB2312"/>
          <w:b/>
          <w:sz w:val="32"/>
        </w:rPr>
        <w:t>具体情况如下：</w:t>
      </w:r>
    </w:p>
    <w:p w14:paraId="03AB47F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54CA4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14:paraId="0C4BBE8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A952C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FCB406F">
      <w:pPr>
        <w:spacing w:line="640" w:lineRule="exact"/>
        <w:ind w:firstLine="640"/>
        <w:jc w:val="both"/>
        <w:outlineLvl w:val="2"/>
      </w:pPr>
      <w:r>
        <w:rPr>
          <w:rFonts w:ascii="黑体" w:hAnsi="黑体" w:eastAsia="黑体"/>
          <w:sz w:val="32"/>
        </w:rPr>
        <w:t>十、其他重要事项的情况说明</w:t>
      </w:r>
    </w:p>
    <w:p w14:paraId="13963230">
      <w:pPr>
        <w:spacing w:line="640" w:lineRule="exact"/>
        <w:ind w:firstLine="640"/>
        <w:jc w:val="both"/>
        <w:outlineLvl w:val="3"/>
      </w:pPr>
      <w:r>
        <w:rPr>
          <w:rFonts w:ascii="楷体_GB2312" w:hAnsi="楷体_GB2312" w:eastAsia="楷体_GB2312"/>
          <w:b/>
          <w:sz w:val="32"/>
        </w:rPr>
        <w:t>（一）机关运行经费及公用经费支出情况</w:t>
      </w:r>
    </w:p>
    <w:p w14:paraId="34EAE3D1">
      <w:pPr>
        <w:spacing w:line="580" w:lineRule="exact"/>
        <w:ind w:firstLine="640"/>
        <w:jc w:val="both"/>
      </w:pPr>
      <w:r>
        <w:rPr>
          <w:rFonts w:ascii="仿宋_GB2312" w:hAnsi="仿宋_GB2312" w:eastAsia="仿宋_GB2312"/>
          <w:b w:val="0"/>
          <w:sz w:val="32"/>
        </w:rPr>
        <w:t>2024年度民丰县安迪尔乡人民政府（行政单位和参照公务员法管理事业单位）机关运行经费支出59.65万元，比上年减少14.52万元，下降19.58%，主要原因是：本年减少办公费等经费，导致机关运行经费支出减少。</w:t>
      </w:r>
    </w:p>
    <w:p w14:paraId="1E236C35">
      <w:pPr>
        <w:spacing w:line="640" w:lineRule="exact"/>
        <w:ind w:firstLine="640"/>
        <w:jc w:val="both"/>
        <w:outlineLvl w:val="3"/>
      </w:pPr>
      <w:r>
        <w:rPr>
          <w:rFonts w:ascii="楷体_GB2312" w:hAnsi="楷体_GB2312" w:eastAsia="楷体_GB2312"/>
          <w:b/>
          <w:sz w:val="32"/>
        </w:rPr>
        <w:t>（二）政府采购情况</w:t>
      </w:r>
    </w:p>
    <w:p w14:paraId="3B8E8886">
      <w:pPr>
        <w:spacing w:line="580" w:lineRule="exact"/>
        <w:ind w:firstLine="640"/>
        <w:jc w:val="both"/>
      </w:pPr>
      <w:r>
        <w:rPr>
          <w:rFonts w:ascii="仿宋_GB2312" w:hAnsi="仿宋_GB2312" w:eastAsia="仿宋_GB2312"/>
          <w:b w:val="0"/>
          <w:sz w:val="32"/>
        </w:rPr>
        <w:t>2024年度政府采购支出总额219.02万元，其中：政府采购货物支出125.67万元、政府采购工程支出70.22万元、政府采购服务支出23.13万元。</w:t>
      </w:r>
    </w:p>
    <w:p w14:paraId="2D2FF634">
      <w:pPr>
        <w:spacing w:line="580" w:lineRule="exact"/>
        <w:ind w:firstLine="640"/>
        <w:jc w:val="both"/>
      </w:pPr>
      <w:r>
        <w:rPr>
          <w:rFonts w:ascii="仿宋_GB2312" w:hAnsi="仿宋_GB2312" w:eastAsia="仿宋_GB2312"/>
          <w:b w:val="0"/>
          <w:sz w:val="32"/>
        </w:rPr>
        <w:t>授予中小企业合同金额219.02万元，占政府采购支出总额的100.00%，其中：授予小微企业合同金额219.02万元，占政府采购支出总额的100.00%。</w:t>
      </w:r>
    </w:p>
    <w:p w14:paraId="2D6D7D68">
      <w:pPr>
        <w:spacing w:line="640" w:lineRule="exact"/>
        <w:ind w:firstLine="640"/>
        <w:jc w:val="both"/>
        <w:outlineLvl w:val="3"/>
      </w:pPr>
      <w:r>
        <w:rPr>
          <w:rFonts w:ascii="楷体_GB2312" w:hAnsi="楷体_GB2312" w:eastAsia="楷体_GB2312"/>
          <w:b/>
          <w:sz w:val="32"/>
        </w:rPr>
        <w:t>（三）国有资产占用情况说明</w:t>
      </w:r>
    </w:p>
    <w:p w14:paraId="79B1CAE0">
      <w:pPr>
        <w:spacing w:line="580" w:lineRule="exact"/>
        <w:ind w:firstLine="640"/>
        <w:jc w:val="both"/>
      </w:pPr>
      <w:r>
        <w:rPr>
          <w:rFonts w:ascii="仿宋_GB2312" w:hAnsi="仿宋_GB2312" w:eastAsia="仿宋_GB2312"/>
          <w:b w:val="0"/>
          <w:sz w:val="32"/>
        </w:rPr>
        <w:t>截至2024年12月31日，房屋4,264.71平方米，价值288.73万元。车辆2辆，价值38.83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7C8E80ED">
      <w:pPr>
        <w:spacing w:line="640" w:lineRule="exact"/>
        <w:ind w:firstLine="640"/>
        <w:jc w:val="both"/>
        <w:outlineLvl w:val="2"/>
      </w:pPr>
      <w:r>
        <w:rPr>
          <w:rFonts w:ascii="黑体" w:hAnsi="黑体" w:eastAsia="黑体"/>
          <w:sz w:val="32"/>
        </w:rPr>
        <w:t>十一、预算绩效的情况说明</w:t>
      </w:r>
    </w:p>
    <w:p w14:paraId="7336182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2,014.15万元，实际执行总额1,928.98万元；预算绩效评价项目3个，全年预算数215.91万元，全年执行数186.65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合理合规使用经费。根据项目业务流程，参考历年经费使用情况，认真测算各阶段所需经费，确保当前项目实施经费充足；三是高度重视，主要领导亲自抓，并予以充分的人力、财力保障。将各项目工作列入年度干部绩效考核实施方案，将各项目工作落实到具体科室、具体岗位、具体个人。发现的问题及原因：一是对个别项目资金使用方面预算不够细致，出现实际支出数超出了预算申报数和出现项目资金</w:t>
      </w:r>
      <w:r>
        <w:rPr>
          <w:rFonts w:hint="eastAsia" w:ascii="仿宋_GB2312" w:hAnsi="仿宋_GB2312" w:eastAsia="仿宋_GB2312"/>
          <w:b w:val="0"/>
          <w:sz w:val="32"/>
          <w:lang w:eastAsia="zh-CN"/>
        </w:rPr>
        <w:t>结余</w:t>
      </w:r>
      <w:r>
        <w:rPr>
          <w:rFonts w:ascii="仿宋_GB2312" w:hAnsi="仿宋_GB2312" w:eastAsia="仿宋_GB2312"/>
          <w:b w:val="0"/>
          <w:sz w:val="32"/>
        </w:rPr>
        <w:t>数额多的情况；二</w:t>
      </w:r>
      <w:r>
        <w:rPr>
          <w:rFonts w:hint="eastAsia" w:ascii="仿宋_GB2312" w:hAnsi="仿宋_GB2312" w:eastAsia="仿宋_GB2312"/>
          <w:b w:val="0"/>
          <w:sz w:val="32"/>
          <w:lang w:eastAsia="zh-CN"/>
        </w:rPr>
        <w:t>是有</w:t>
      </w:r>
      <w:r>
        <w:rPr>
          <w:rFonts w:ascii="仿宋_GB2312" w:hAnsi="仿宋_GB2312" w:eastAsia="仿宋_GB2312"/>
          <w:b w:val="0"/>
          <w:sz w:val="32"/>
        </w:rPr>
        <w:t>效指标的明确性、可衡量性、相关性还需进一步提升，预算精细化管理还需完善。下一步改进措施：一是专项资金的使用，要事前做计划，事中进行控制，事后总结提高；二是合理安排资金使用,充分体现资金投向的目标和效益；三是厉行节约，专款专用，对每笔经费使用情况建立监督机制，确保经费使用合理合规。具体附整体支出绩效自评表，项目支出绩效自评表和评价报告。</w:t>
      </w:r>
    </w:p>
    <w:p w14:paraId="5A796D2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9D5DC9">
        <w:tblPrEx>
          <w:tblCellMar>
            <w:top w:w="0" w:type="dxa"/>
            <w:left w:w="108" w:type="dxa"/>
            <w:bottom w:w="0" w:type="dxa"/>
            <w:right w:w="108" w:type="dxa"/>
          </w:tblCellMar>
        </w:tblPrEx>
        <w:tc>
          <w:tcPr>
            <w:tcW w:w="8847" w:type="dxa"/>
            <w:gridSpan w:val="9"/>
            <w:vAlign w:val="center"/>
          </w:tcPr>
          <w:p w14:paraId="3B9BEA8C">
            <w:pPr>
              <w:jc w:val="center"/>
            </w:pPr>
            <w:r>
              <w:rPr>
                <w:rFonts w:ascii="宋体" w:hAnsi="宋体" w:eastAsia="宋体"/>
                <w:sz w:val="24"/>
              </w:rPr>
              <w:t>单位整体支出绩效自评表</w:t>
            </w:r>
          </w:p>
        </w:tc>
      </w:tr>
      <w:tr w14:paraId="18C48E97">
        <w:tblPrEx>
          <w:tblCellMar>
            <w:top w:w="0" w:type="dxa"/>
            <w:left w:w="108" w:type="dxa"/>
            <w:bottom w:w="0" w:type="dxa"/>
            <w:right w:w="108" w:type="dxa"/>
          </w:tblCellMar>
        </w:tblPrEx>
        <w:tc>
          <w:tcPr>
            <w:tcW w:w="8847" w:type="dxa"/>
            <w:gridSpan w:val="9"/>
            <w:vAlign w:val="center"/>
          </w:tcPr>
          <w:p w14:paraId="26687243">
            <w:pPr>
              <w:jc w:val="center"/>
            </w:pPr>
            <w:r>
              <w:rPr>
                <w:rFonts w:ascii="宋体" w:hAnsi="宋体" w:eastAsia="宋体"/>
                <w:sz w:val="24"/>
              </w:rPr>
              <w:t>（2024年度）</w:t>
            </w:r>
          </w:p>
        </w:tc>
      </w:tr>
      <w:tr w14:paraId="4D798D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E64E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A29D806">
            <w:pPr>
              <w:jc w:val="center"/>
            </w:pPr>
            <w:r>
              <w:rPr>
                <w:rFonts w:ascii="宋体" w:hAnsi="宋体" w:eastAsia="宋体"/>
                <w:sz w:val="16"/>
              </w:rPr>
              <w:t>民丰县安迪尔乡人民政府</w:t>
            </w:r>
          </w:p>
        </w:tc>
      </w:tr>
      <w:tr w14:paraId="4BC298A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04A6B">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61D3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CB2A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AC92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6B47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01C6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45A2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62E40">
            <w:pPr>
              <w:jc w:val="center"/>
            </w:pPr>
            <w:r>
              <w:rPr>
                <w:rFonts w:ascii="宋体" w:hAnsi="宋体" w:eastAsia="宋体"/>
                <w:sz w:val="16"/>
              </w:rPr>
              <w:t>得分</w:t>
            </w:r>
          </w:p>
        </w:tc>
      </w:tr>
      <w:tr w14:paraId="7D5652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2FE9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A3950">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EC4E2">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885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1C7CA">
            <w:pPr>
              <w:jc w:val="center"/>
            </w:pPr>
            <w:r>
              <w:rPr>
                <w:rFonts w:ascii="宋体" w:hAnsi="宋体" w:eastAsia="宋体"/>
                <w:sz w:val="16"/>
              </w:rPr>
              <w:t>1,808.34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5A76E">
            <w:pPr>
              <w:jc w:val="center"/>
            </w:pPr>
            <w:r>
              <w:rPr>
                <w:rFonts w:ascii="宋体" w:hAnsi="宋体" w:eastAsia="宋体"/>
                <w:sz w:val="16"/>
              </w:rPr>
              <w:t>1,808.34</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5DB9BEEA">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41DD01AC">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D47D7E4">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393694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A8A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202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576AB">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6336A">
            <w:pPr>
              <w:jc w:val="center"/>
            </w:pPr>
            <w:r>
              <w:rPr>
                <w:rFonts w:ascii="宋体" w:hAnsi="宋体" w:eastAsia="宋体"/>
                <w:sz w:val="16"/>
              </w:rPr>
              <w:t>1,457.08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6F04C">
            <w:pPr>
              <w:jc w:val="center"/>
            </w:pPr>
            <w:r>
              <w:rPr>
                <w:rFonts w:ascii="宋体" w:hAnsi="宋体" w:eastAsia="宋体"/>
                <w:sz w:val="16"/>
              </w:rPr>
              <w:t>172.81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15573">
            <w:pPr>
              <w:jc w:val="center"/>
            </w:pPr>
            <w:r>
              <w:rPr>
                <w:rFonts w:ascii="宋体" w:hAnsi="宋体" w:eastAsia="宋体"/>
                <w:sz w:val="16"/>
              </w:rPr>
              <w:t>87.64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F76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81A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70A09">
            <w:pPr>
              <w:jc w:val="center"/>
            </w:pPr>
            <w:r>
              <w:rPr>
                <w:rFonts w:ascii="宋体" w:hAnsi="宋体" w:eastAsia="宋体"/>
                <w:sz w:val="16"/>
              </w:rPr>
              <w:t>-</w:t>
            </w:r>
          </w:p>
        </w:tc>
      </w:tr>
      <w:tr w14:paraId="25D4DF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CA6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8F80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28843">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9AE68">
            <w:pPr>
              <w:jc w:val="center"/>
            </w:pPr>
            <w:r>
              <w:rPr>
                <w:rFonts w:ascii="宋体" w:hAnsi="宋体" w:eastAsia="宋体"/>
                <w:sz w:val="16"/>
              </w:rPr>
              <w:t>120.95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56F8D">
            <w:pPr>
              <w:jc w:val="center"/>
            </w:pPr>
            <w:r>
              <w:rPr>
                <w:rFonts w:ascii="宋体" w:hAnsi="宋体" w:eastAsia="宋体"/>
                <w:sz w:val="16"/>
              </w:rPr>
              <w:t>33.00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2FAF4">
            <w:pPr>
              <w:jc w:val="center"/>
            </w:pPr>
            <w:r>
              <w:rPr>
                <w:rFonts w:ascii="宋体" w:hAnsi="宋体" w:eastAsia="宋体"/>
                <w:sz w:val="16"/>
              </w:rPr>
              <w:t>33.00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729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4C5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FCBE6">
            <w:pPr>
              <w:jc w:val="center"/>
            </w:pPr>
            <w:r>
              <w:rPr>
                <w:rFonts w:ascii="宋体" w:hAnsi="宋体" w:eastAsia="宋体"/>
                <w:sz w:val="16"/>
              </w:rPr>
              <w:t>-</w:t>
            </w:r>
          </w:p>
        </w:tc>
      </w:tr>
      <w:tr w14:paraId="3CEEC1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9F3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2DB9B">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BD7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EE27C">
            <w:pPr>
              <w:jc w:val="center"/>
            </w:pPr>
            <w:r>
              <w:rPr>
                <w:rFonts w:ascii="宋体" w:hAnsi="宋体" w:eastAsia="宋体"/>
                <w:sz w:val="16"/>
              </w:rPr>
              <w:t>1,578.03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5E758">
            <w:pPr>
              <w:jc w:val="center"/>
            </w:pPr>
            <w:r>
              <w:rPr>
                <w:rFonts w:ascii="宋体" w:hAnsi="宋体" w:eastAsia="宋体"/>
                <w:sz w:val="16"/>
              </w:rPr>
              <w:t>2,014.15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DA0C6">
            <w:pPr>
              <w:jc w:val="center"/>
            </w:pPr>
            <w:r>
              <w:rPr>
                <w:rFonts w:ascii="宋体" w:hAnsi="宋体" w:eastAsia="宋体"/>
                <w:sz w:val="16"/>
              </w:rPr>
              <w:t>1,928.98</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6A0416F9">
            <w:pPr>
              <w:jc w:val="center"/>
              <w:rPr>
                <w:rFonts w:ascii="Times New Roman" w:hAnsi="Times New Roman" w:eastAsia="宋体" w:cs="Times New Roman"/>
                <w:kern w:val="2"/>
                <w:sz w:val="32"/>
                <w:szCs w:val="24"/>
                <w:lang w:val="en-US" w:eastAsia="zh-CN" w:bidi="ar-SA"/>
              </w:rP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52394F17">
            <w:pPr>
              <w:jc w:val="center"/>
              <w:rPr>
                <w:rFonts w:ascii="Times New Roman" w:hAnsi="Times New Roman" w:eastAsia="宋体" w:cs="Times New Roman"/>
                <w:kern w:val="2"/>
                <w:sz w:val="32"/>
                <w:szCs w:val="24"/>
                <w:lang w:val="en-US" w:eastAsia="zh-CN" w:bidi="ar-SA"/>
              </w:rPr>
            </w:pPr>
            <w:r>
              <w:rPr>
                <w:rFonts w:ascii="宋体" w:hAnsi="宋体" w:eastAsia="宋体"/>
                <w:sz w:val="16"/>
              </w:rPr>
              <w:t>95.77%</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2265329F">
            <w:pPr>
              <w:jc w:val="center"/>
              <w:rPr>
                <w:rFonts w:ascii="Times New Roman" w:hAnsi="Times New Roman" w:eastAsia="宋体" w:cs="Times New Roman"/>
                <w:kern w:val="2"/>
                <w:sz w:val="32"/>
                <w:szCs w:val="24"/>
                <w:lang w:val="en-US" w:eastAsia="zh-CN" w:bidi="ar-SA"/>
              </w:rPr>
            </w:pPr>
            <w:r>
              <w:rPr>
                <w:rFonts w:ascii="宋体" w:hAnsi="宋体" w:eastAsia="宋体"/>
                <w:sz w:val="16"/>
              </w:rPr>
              <w:t>9.48</w:t>
            </w:r>
          </w:p>
        </w:tc>
      </w:tr>
      <w:tr w14:paraId="28F77C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D2490">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5F2C43">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7FE76D">
            <w:pPr>
              <w:jc w:val="center"/>
            </w:pPr>
            <w:r>
              <w:rPr>
                <w:rFonts w:ascii="宋体" w:hAnsi="宋体" w:eastAsia="宋体"/>
                <w:sz w:val="16"/>
              </w:rPr>
              <w:t>实际完成情况</w:t>
            </w:r>
          </w:p>
        </w:tc>
      </w:tr>
      <w:tr w14:paraId="2127B2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D6C64"/>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8EB5EF">
            <w:pPr>
              <w:jc w:val="both"/>
            </w:pPr>
            <w:r>
              <w:rPr>
                <w:rFonts w:ascii="宋体" w:hAnsi="宋体" w:eastAsia="宋体"/>
                <w:sz w:val="16"/>
              </w:rPr>
              <w:t>目标1：乡镇公共服务运行履职保障人数为70人，有效解决乡镇公共服务运行经费保障问题，服务乡村数量不少于4个，要提升村党组织服务群众能力，减轻农民负担；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村党组织惠民政策的实施、村、社区党建服务品牌建设、村、社区公共事业的补助和实施等为民办实事项目的开展，确保为民办实事件数达到8件，为民办实事工作覆盖率达到100%，提升村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目标3：在乡镇开展各项科普教育培训活动，提高干部及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综合素质，有效提升服务群众水平，提高职业介绍和就业指导次数每月不少于4次，提高就业问题。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目标4：明显改善农村村容村貌，清洁卫生，促进新农村建设，改善老百姓生产生活环境，提高人民生活水平，困难群众核查清理次数174次，农牧民实用技能培训场次不少于每月2次；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目标5：加强社会管理综合治理能力，维护社会稳定，营造良好社会秩序，达到</w:t>
            </w:r>
            <w:r>
              <w:rPr>
                <w:rFonts w:hint="eastAsia" w:ascii="宋体" w:hAnsi="宋体"/>
                <w:sz w:val="16"/>
                <w:lang w:eastAsia="zh-CN"/>
              </w:rPr>
              <w:t>预公务</w:t>
            </w:r>
            <w:r>
              <w:rPr>
                <w:rFonts w:ascii="宋体" w:hAnsi="宋体" w:eastAsia="宋体"/>
                <w:sz w:val="16"/>
              </w:rPr>
              <w:t>保障车辆数3辆，保证</w:t>
            </w:r>
            <w:r>
              <w:rPr>
                <w:rFonts w:hint="eastAsia" w:ascii="宋体" w:hAnsi="宋体"/>
                <w:sz w:val="16"/>
                <w:lang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目标6：严格做好干部服务工作，切实加强服务管理平台，及时落实政策规定，按时发放干部国家及地方各项补贴，不断提升和增强干部生活上的幸福感，让退休干部安心、舒心、暖心。                                                                                      目标7：抓好财政收支管理及村集体经济审计工作，做好预、决算编制、公开，达到预算绩效全覆盖，将绩效管理纳入预算编制、执行、监督全过程，强化绩效目标管理；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B6321F">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共计支出2014.15万元，预算执行率100%</w:t>
            </w:r>
            <w:r>
              <w:rPr>
                <w:rFonts w:hint="eastAsia" w:ascii="宋体" w:hAnsi="宋体"/>
                <w:sz w:val="16"/>
                <w:lang w:eastAsia="zh-CN"/>
              </w:rPr>
              <w:t>,</w:t>
            </w:r>
            <w:r>
              <w:rPr>
                <w:rFonts w:ascii="宋体" w:hAnsi="宋体" w:eastAsia="宋体"/>
                <w:sz w:val="16"/>
              </w:rPr>
              <w:t>完成了乡镇公共服务运行履职保障人数为70人，有效解决乡镇公共服务运行经费保障问题，服务乡村数量不少于4个，要提升村党组织服务群众能力，减轻农民负担；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村党组织惠民政策的实施、村、社区党建服务品牌建设、村、社区公共事业的补助和实施等为民办实事项目的开展，确保为民办实事件数达到8件，为民办实事工作覆盖率达到100%，提升村党组织服务群众能力；在乡镇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每月不少于4次，提高就业问题。明显改善农村村容村貌，清洁卫生，促进新农村建设，改善老百姓生产生活环境，提高人民生活水平，困难群众核查清理次数174次，农牧民实用技能培训场次不少于每月2次；加强社会管理综合治理能力，维护社会稳定，营造良好社会秩序，达到</w:t>
            </w:r>
            <w:r>
              <w:rPr>
                <w:rFonts w:hint="eastAsia" w:ascii="宋体" w:hAnsi="宋体"/>
                <w:sz w:val="16"/>
                <w:lang w:eastAsia="zh-CN"/>
              </w:rPr>
              <w:t>预公务</w:t>
            </w:r>
            <w:r>
              <w:rPr>
                <w:rFonts w:ascii="宋体" w:hAnsi="宋体" w:eastAsia="宋体"/>
                <w:sz w:val="16"/>
              </w:rPr>
              <w:t>保障车辆数3辆，保证</w:t>
            </w:r>
            <w:r>
              <w:rPr>
                <w:rFonts w:hint="eastAsia" w:ascii="宋体" w:hAnsi="宋体"/>
                <w:sz w:val="16"/>
                <w:lang w:eastAsia="zh-CN"/>
              </w:rPr>
              <w:t>WW</w:t>
            </w:r>
            <w:r>
              <w:rPr>
                <w:rFonts w:ascii="宋体" w:hAnsi="宋体" w:eastAsia="宋体"/>
                <w:sz w:val="16"/>
              </w:rPr>
              <w:t>工作；严格做好干部服务工作，切实加强服务管理平台，及时落实政策规定，按时发放干部国家及地方各项补贴，不断提升和增强干部生活上的幸福感，让退休干部安心、舒心、暖心。                                                     抓好财政收支管理及村集体经济审计工作，做好</w:t>
            </w:r>
            <w:r>
              <w:rPr>
                <w:rFonts w:hint="eastAsia" w:ascii="宋体" w:hAnsi="宋体"/>
                <w:sz w:val="16"/>
                <w:lang w:eastAsia="zh-CN"/>
              </w:rPr>
              <w:t>预算</w:t>
            </w:r>
            <w:r>
              <w:rPr>
                <w:rFonts w:ascii="宋体" w:hAnsi="宋体" w:eastAsia="宋体"/>
                <w:sz w:val="16"/>
              </w:rPr>
              <w:t>、决算编制、公开，达到预算绩效全覆盖，将绩效管理纳入预算编制、执行、监督全过程，强化绩效目标管理；</w:t>
            </w:r>
          </w:p>
        </w:tc>
      </w:tr>
      <w:tr w14:paraId="5B66D6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07D3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DD133">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7895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3DF53">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E9EA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907E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653A7">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8B99F">
            <w:pPr>
              <w:jc w:val="center"/>
            </w:pPr>
            <w:r>
              <w:rPr>
                <w:rFonts w:ascii="宋体" w:hAnsi="宋体" w:eastAsia="宋体"/>
                <w:sz w:val="16"/>
              </w:rPr>
              <w:t>得分</w:t>
            </w:r>
          </w:p>
        </w:tc>
      </w:tr>
      <w:tr w14:paraId="6ADC70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2C88D">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E2DDB">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6309B">
            <w:pPr>
              <w:jc w:val="center"/>
            </w:pPr>
            <w:r>
              <w:rPr>
                <w:rFonts w:hint="eastAsia" w:ascii="宋体" w:hAnsi="宋体"/>
                <w:sz w:val="16"/>
                <w:lang w:eastAsia="zh-CN"/>
              </w:rPr>
              <w:t>“三公”经费</w:t>
            </w:r>
            <w:r>
              <w:rPr>
                <w:rFonts w:ascii="宋体" w:hAnsi="宋体" w:eastAsia="宋体"/>
                <w:sz w:val="16"/>
              </w:rPr>
              <w:t>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6B6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DACBF">
            <w:pPr>
              <w:jc w:val="center"/>
            </w:pPr>
            <w:r>
              <w:rPr>
                <w:rFonts w:ascii="宋体" w:hAnsi="宋体" w:eastAsia="宋体"/>
                <w:sz w:val="16"/>
              </w:rPr>
              <w:t>中央要求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386E2">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C27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7D874">
            <w:pPr>
              <w:jc w:val="center"/>
            </w:pPr>
            <w:r>
              <w:rPr>
                <w:rFonts w:ascii="宋体" w:hAnsi="宋体" w:eastAsia="宋体"/>
                <w:sz w:val="16"/>
              </w:rPr>
              <w:t>12</w:t>
            </w:r>
          </w:p>
        </w:tc>
      </w:tr>
      <w:tr w14:paraId="22D636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4EE27">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762C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197FE">
            <w:pPr>
              <w:jc w:val="center"/>
            </w:pPr>
            <w:r>
              <w:rPr>
                <w:rFonts w:ascii="宋体" w:hAnsi="宋体" w:eastAsia="宋体"/>
                <w:sz w:val="16"/>
              </w:rPr>
              <w:t>为民办实事件数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6D0FC">
            <w:pPr>
              <w:jc w:val="center"/>
            </w:pPr>
            <w:r>
              <w:rPr>
                <w:rFonts w:ascii="宋体" w:hAnsi="宋体" w:eastAsia="宋体"/>
                <w:sz w:val="16"/>
              </w:rPr>
              <w:t>&gt;=8件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88806">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D6EA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435BE">
            <w:pPr>
              <w:jc w:val="center"/>
            </w:pPr>
            <w:r>
              <w:rPr>
                <w:rFonts w:ascii="宋体" w:hAnsi="宋体" w:eastAsia="宋体"/>
                <w:sz w:val="16"/>
              </w:rPr>
              <w:t>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3515">
            <w:pPr>
              <w:jc w:val="center"/>
            </w:pPr>
            <w:r>
              <w:rPr>
                <w:rFonts w:ascii="宋体" w:hAnsi="宋体" w:eastAsia="宋体"/>
                <w:sz w:val="16"/>
              </w:rPr>
              <w:t>13</w:t>
            </w:r>
          </w:p>
        </w:tc>
      </w:tr>
      <w:tr w14:paraId="15A368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1CAB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291F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5F1DF">
            <w:pPr>
              <w:jc w:val="center"/>
            </w:pPr>
            <w:r>
              <w:rPr>
                <w:rFonts w:ascii="宋体" w:hAnsi="宋体" w:eastAsia="宋体"/>
                <w:sz w:val="16"/>
              </w:rPr>
              <w:t>职业介绍和就业指导次数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30799">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FAEAF">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61629">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C3402">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25814">
            <w:pPr>
              <w:jc w:val="center"/>
            </w:pPr>
            <w:r>
              <w:rPr>
                <w:rFonts w:ascii="宋体" w:hAnsi="宋体" w:eastAsia="宋体"/>
                <w:sz w:val="16"/>
              </w:rPr>
              <w:t>13</w:t>
            </w:r>
          </w:p>
        </w:tc>
      </w:tr>
      <w:tr w14:paraId="02BF07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5B4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A1E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907D0">
            <w:pPr>
              <w:jc w:val="center"/>
            </w:pPr>
            <w:r>
              <w:rPr>
                <w:rFonts w:ascii="宋体" w:hAnsi="宋体" w:eastAsia="宋体"/>
                <w:sz w:val="16"/>
              </w:rPr>
              <w:t>困难群众核查清理件数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677E1">
            <w:pPr>
              <w:jc w:val="center"/>
            </w:pPr>
            <w:r>
              <w:rPr>
                <w:rFonts w:ascii="宋体" w:hAnsi="宋体" w:eastAsia="宋体"/>
                <w:sz w:val="16"/>
              </w:rPr>
              <w:t>&gt;=111件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6CE5E">
            <w:pPr>
              <w:jc w:val="center"/>
            </w:pPr>
            <w:r>
              <w:rPr>
                <w:rFonts w:ascii="宋体" w:hAnsi="宋体" w:eastAsia="宋体"/>
                <w:sz w:val="16"/>
              </w:rPr>
              <w:t>2023工作重点计划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AA769">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EAA2B">
            <w:pPr>
              <w:jc w:val="center"/>
            </w:pPr>
            <w:r>
              <w:rPr>
                <w:rFonts w:ascii="宋体" w:hAnsi="宋体" w:eastAsia="宋体"/>
                <w:sz w:val="16"/>
              </w:rPr>
              <w:t>111件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BAEA8">
            <w:pPr>
              <w:jc w:val="center"/>
            </w:pPr>
            <w:r>
              <w:rPr>
                <w:rFonts w:ascii="宋体" w:hAnsi="宋体" w:eastAsia="宋体"/>
                <w:sz w:val="16"/>
              </w:rPr>
              <w:t>13</w:t>
            </w:r>
          </w:p>
        </w:tc>
      </w:tr>
      <w:tr w14:paraId="355984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38D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158D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7ED28">
            <w:pPr>
              <w:jc w:val="center"/>
            </w:pPr>
            <w:r>
              <w:rPr>
                <w:rFonts w:ascii="宋体" w:hAnsi="宋体" w:eastAsia="宋体"/>
                <w:sz w:val="16"/>
              </w:rPr>
              <w:t>各类农牧民实用技能培训次数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4D65B">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9F12D">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270FF">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917B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EF2C3">
            <w:pPr>
              <w:jc w:val="center"/>
            </w:pPr>
            <w:r>
              <w:rPr>
                <w:rFonts w:ascii="宋体" w:hAnsi="宋体" w:eastAsia="宋体"/>
                <w:sz w:val="16"/>
              </w:rPr>
              <w:t>13</w:t>
            </w:r>
          </w:p>
        </w:tc>
      </w:tr>
      <w:tr w14:paraId="0B57C3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E61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EE2DB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F35E8">
            <w:pPr>
              <w:jc w:val="center"/>
            </w:pPr>
            <w:r>
              <w:rPr>
                <w:rFonts w:ascii="宋体" w:hAnsi="宋体" w:eastAsia="宋体"/>
                <w:sz w:val="16"/>
              </w:rPr>
              <w:t>职业介绍和就业指导率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C6D5C">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EB360">
            <w:pPr>
              <w:jc w:val="center"/>
            </w:pPr>
            <w:r>
              <w:rPr>
                <w:rFonts w:ascii="宋体" w:hAnsi="宋体" w:eastAsia="宋体"/>
                <w:sz w:val="16"/>
              </w:rPr>
              <w:t>政策文件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E4EE9">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A9A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B7886">
            <w:pPr>
              <w:jc w:val="center"/>
            </w:pPr>
            <w:r>
              <w:rPr>
                <w:rFonts w:ascii="宋体" w:hAnsi="宋体" w:eastAsia="宋体"/>
                <w:sz w:val="16"/>
              </w:rPr>
              <w:t>13</w:t>
            </w:r>
          </w:p>
        </w:tc>
      </w:tr>
      <w:tr w14:paraId="1F5E49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535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14F85">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5E27B">
            <w:pPr>
              <w:jc w:val="center"/>
            </w:pPr>
            <w:r>
              <w:rPr>
                <w:rFonts w:ascii="宋体" w:hAnsi="宋体" w:eastAsia="宋体"/>
                <w:sz w:val="16"/>
              </w:rPr>
              <w:t>全乡基本养老，</w:t>
            </w:r>
            <w:r>
              <w:rPr>
                <w:rFonts w:hint="eastAsia" w:ascii="宋体" w:hAnsi="宋体"/>
                <w:sz w:val="16"/>
                <w:lang w:eastAsia="zh-CN"/>
              </w:rPr>
              <w:t>社会保险</w:t>
            </w:r>
            <w:r>
              <w:rPr>
                <w:rFonts w:ascii="宋体" w:hAnsi="宋体" w:eastAsia="宋体"/>
                <w:sz w:val="16"/>
              </w:rPr>
              <w:t>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20598">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BCD8E">
            <w:pPr>
              <w:jc w:val="center"/>
            </w:pPr>
            <w:r>
              <w:rPr>
                <w:rFonts w:ascii="宋体" w:hAnsi="宋体" w:eastAsia="宋体"/>
                <w:sz w:val="16"/>
              </w:rPr>
              <w:t>年度工作重点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BAFCC">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1B7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88DE0">
            <w:pPr>
              <w:jc w:val="center"/>
            </w:pPr>
            <w:r>
              <w:rPr>
                <w:rFonts w:ascii="宋体" w:hAnsi="宋体" w:eastAsia="宋体"/>
                <w:sz w:val="16"/>
              </w:rPr>
              <w:t>13</w:t>
            </w:r>
          </w:p>
        </w:tc>
      </w:tr>
    </w:tbl>
    <w:p w14:paraId="3C574EB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4178B1">
        <w:tblPrEx>
          <w:tblCellMar>
            <w:top w:w="0" w:type="dxa"/>
            <w:left w:w="108" w:type="dxa"/>
            <w:bottom w:w="0" w:type="dxa"/>
            <w:right w:w="108" w:type="dxa"/>
          </w:tblCellMar>
        </w:tblPrEx>
        <w:tc>
          <w:tcPr>
            <w:tcW w:w="8847" w:type="dxa"/>
            <w:gridSpan w:val="9"/>
            <w:vAlign w:val="center"/>
          </w:tcPr>
          <w:p w14:paraId="3673A943">
            <w:pPr>
              <w:jc w:val="center"/>
            </w:pPr>
            <w:r>
              <w:rPr>
                <w:rFonts w:ascii="宋体" w:hAnsi="宋体" w:eastAsia="宋体"/>
                <w:sz w:val="24"/>
              </w:rPr>
              <w:t>项目支出绩效自评表</w:t>
            </w:r>
          </w:p>
        </w:tc>
      </w:tr>
      <w:tr w14:paraId="161C1189">
        <w:tblPrEx>
          <w:tblCellMar>
            <w:top w:w="0" w:type="dxa"/>
            <w:left w:w="108" w:type="dxa"/>
            <w:bottom w:w="0" w:type="dxa"/>
            <w:right w:w="108" w:type="dxa"/>
          </w:tblCellMar>
        </w:tblPrEx>
        <w:tc>
          <w:tcPr>
            <w:tcW w:w="8847" w:type="dxa"/>
            <w:gridSpan w:val="9"/>
            <w:vAlign w:val="center"/>
          </w:tcPr>
          <w:p w14:paraId="63651720">
            <w:pPr>
              <w:jc w:val="center"/>
            </w:pPr>
            <w:r>
              <w:rPr>
                <w:rFonts w:ascii="宋体" w:hAnsi="宋体" w:eastAsia="宋体"/>
                <w:sz w:val="24"/>
              </w:rPr>
              <w:t>(2024年度)</w:t>
            </w:r>
          </w:p>
        </w:tc>
      </w:tr>
      <w:tr w14:paraId="23C2B2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9AC4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81F3E9A">
            <w:pPr>
              <w:jc w:val="center"/>
            </w:pPr>
            <w:r>
              <w:rPr>
                <w:rFonts w:ascii="宋体" w:hAnsi="宋体" w:eastAsia="宋体"/>
                <w:sz w:val="16"/>
              </w:rPr>
              <w:t>2024年丧葬费及抚恤金，遗属生活费</w:t>
            </w:r>
          </w:p>
        </w:tc>
      </w:tr>
      <w:tr w14:paraId="033B99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0C72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6900CF">
            <w:pPr>
              <w:jc w:val="center"/>
            </w:pPr>
            <w:r>
              <w:rPr>
                <w:rFonts w:ascii="宋体" w:hAnsi="宋体" w:eastAsia="宋体"/>
                <w:sz w:val="16"/>
              </w:rPr>
              <w:t>民丰县安迪尔乡政府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9BBE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1EC924">
            <w:pPr>
              <w:jc w:val="center"/>
            </w:pPr>
            <w:r>
              <w:rPr>
                <w:rFonts w:ascii="宋体" w:hAnsi="宋体" w:eastAsia="宋体"/>
                <w:sz w:val="16"/>
              </w:rPr>
              <w:t>民丰县安迪尔乡人民政府</w:t>
            </w:r>
          </w:p>
        </w:tc>
      </w:tr>
      <w:tr w14:paraId="35E67F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4449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DABB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3C5C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75AE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F074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5A96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ED19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9BC56">
            <w:pPr>
              <w:jc w:val="center"/>
            </w:pPr>
            <w:r>
              <w:rPr>
                <w:rFonts w:ascii="宋体" w:hAnsi="宋体" w:eastAsia="宋体"/>
                <w:sz w:val="16"/>
              </w:rPr>
              <w:t>得分</w:t>
            </w:r>
          </w:p>
        </w:tc>
      </w:tr>
      <w:tr w14:paraId="064BA1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B4C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DFF4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7E386">
            <w:pPr>
              <w:jc w:val="center"/>
            </w:pPr>
            <w:r>
              <w:rPr>
                <w:rFonts w:ascii="宋体" w:hAnsi="宋体" w:eastAsia="宋体"/>
                <w:sz w:val="16"/>
              </w:rPr>
              <w:t>50.96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44483">
            <w:pPr>
              <w:jc w:val="center"/>
            </w:pPr>
            <w:r>
              <w:rPr>
                <w:rFonts w:ascii="宋体" w:hAnsi="宋体" w:eastAsia="宋体"/>
                <w:sz w:val="16"/>
              </w:rPr>
              <w:t>50.96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B59E5">
            <w:pPr>
              <w:jc w:val="center"/>
            </w:pPr>
            <w:r>
              <w:rPr>
                <w:rFonts w:ascii="宋体" w:hAnsi="宋体" w:eastAsia="宋体"/>
                <w:sz w:val="16"/>
              </w:rPr>
              <w:t>50.96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7E0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37B9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C6059">
            <w:pPr>
              <w:jc w:val="center"/>
            </w:pPr>
            <w:r>
              <w:rPr>
                <w:rFonts w:ascii="宋体" w:hAnsi="宋体" w:eastAsia="宋体"/>
                <w:sz w:val="16"/>
              </w:rPr>
              <w:t>10.00分</w:t>
            </w:r>
          </w:p>
        </w:tc>
      </w:tr>
      <w:tr w14:paraId="1B7984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EE4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0283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AB6A1">
            <w:pPr>
              <w:jc w:val="center"/>
            </w:pPr>
            <w:r>
              <w:rPr>
                <w:rFonts w:ascii="宋体" w:hAnsi="宋体" w:eastAsia="宋体"/>
                <w:sz w:val="16"/>
              </w:rPr>
              <w:t>50.96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C34BD">
            <w:pPr>
              <w:jc w:val="center"/>
            </w:pPr>
            <w:r>
              <w:rPr>
                <w:rFonts w:ascii="宋体" w:hAnsi="宋体" w:eastAsia="宋体"/>
                <w:sz w:val="16"/>
              </w:rPr>
              <w:t>50.96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A16DB">
            <w:pPr>
              <w:jc w:val="center"/>
            </w:pPr>
            <w:r>
              <w:rPr>
                <w:rFonts w:ascii="宋体" w:hAnsi="宋体" w:eastAsia="宋体"/>
                <w:sz w:val="16"/>
              </w:rPr>
              <w:t>50.96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110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3F4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1171D">
            <w:pPr>
              <w:jc w:val="center"/>
            </w:pPr>
            <w:r>
              <w:rPr>
                <w:rFonts w:ascii="宋体" w:hAnsi="宋体" w:eastAsia="宋体"/>
                <w:sz w:val="16"/>
              </w:rPr>
              <w:t>—</w:t>
            </w:r>
          </w:p>
        </w:tc>
      </w:tr>
      <w:tr w14:paraId="574DF5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CB7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04B4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CDE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156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0A6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60B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435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46832">
            <w:pPr>
              <w:jc w:val="center"/>
            </w:pPr>
            <w:r>
              <w:rPr>
                <w:rFonts w:ascii="宋体" w:hAnsi="宋体" w:eastAsia="宋体"/>
                <w:sz w:val="16"/>
              </w:rPr>
              <w:t>—</w:t>
            </w:r>
          </w:p>
        </w:tc>
      </w:tr>
      <w:tr w14:paraId="0D4349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860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2AD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484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8D4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C86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F64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DD2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87EF0">
            <w:pPr>
              <w:jc w:val="center"/>
            </w:pPr>
            <w:r>
              <w:rPr>
                <w:rFonts w:ascii="宋体" w:hAnsi="宋体" w:eastAsia="宋体"/>
                <w:sz w:val="16"/>
              </w:rPr>
              <w:t>—</w:t>
            </w:r>
          </w:p>
        </w:tc>
      </w:tr>
      <w:tr w14:paraId="7743FC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3DA6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190C3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10A822">
            <w:pPr>
              <w:jc w:val="center"/>
            </w:pPr>
            <w:r>
              <w:rPr>
                <w:rFonts w:ascii="宋体" w:hAnsi="宋体" w:eastAsia="宋体"/>
                <w:sz w:val="16"/>
              </w:rPr>
              <w:t>实际完成情况</w:t>
            </w:r>
          </w:p>
        </w:tc>
      </w:tr>
      <w:tr w14:paraId="264772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C21B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C933E5">
            <w:pPr>
              <w:jc w:val="both"/>
            </w:pPr>
            <w:r>
              <w:rPr>
                <w:rFonts w:ascii="宋体" w:hAnsi="宋体" w:eastAsia="宋体"/>
                <w:sz w:val="16"/>
              </w:rPr>
              <w:t>本项目依据项目实施方案实施。项目实施内容：2次进行慰问抚恤2人，用于支付安迪尔乡人民政府死亡退休干部两人的丧葬费、抚恤金及遗属生活费。亚森·喀斯木24.58万元，何成荣26.38万元。通过项目的实施，有效逐步提升单位工作人员工作效率及工作积极性，进一步改善家属人员生活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B9BCD1">
            <w:pPr>
              <w:jc w:val="both"/>
            </w:pPr>
            <w:r>
              <w:rPr>
                <w:rFonts w:ascii="宋体" w:hAnsi="宋体" w:eastAsia="宋体"/>
                <w:sz w:val="16"/>
              </w:rPr>
              <w:t>截至2024年12月底，本项目预算安排50.96万元，实际支出50.96万元，预算执行率100%。项目已经完成2次进行慰问抚恤2人，用于支付安迪尔乡人民政府死亡退休干部两人的丧葬费、抚恤金及遗属生活费。亚森·喀斯木24.58万元，何成荣26.38万元。通过项目的实施，有效逐步提升单位工作人员工作效率及工作积极性，进一步改善家属人员生活保障。</w:t>
            </w:r>
          </w:p>
        </w:tc>
      </w:tr>
      <w:tr w14:paraId="6FEBA34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BBD8C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05E1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BA58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D18D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4B3D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69D3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C644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534E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FD8A3">
            <w:pPr>
              <w:jc w:val="center"/>
            </w:pPr>
            <w:r>
              <w:rPr>
                <w:rFonts w:ascii="宋体" w:hAnsi="宋体" w:eastAsia="宋体"/>
                <w:sz w:val="16"/>
              </w:rPr>
              <w:t>偏差原因分析及改进措施</w:t>
            </w:r>
          </w:p>
        </w:tc>
      </w:tr>
      <w:tr w14:paraId="153D49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7E55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5FBC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5940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BB5FB">
            <w:pPr>
              <w:jc w:val="center"/>
            </w:pPr>
            <w:r>
              <w:rPr>
                <w:rFonts w:ascii="宋体" w:hAnsi="宋体" w:eastAsia="宋体"/>
                <w:sz w:val="16"/>
              </w:rPr>
              <w:t>慰问抚恤人数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C0BBA">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CCF51">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056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3CA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BBA8D">
            <w:pPr>
              <w:jc w:val="center"/>
            </w:pPr>
          </w:p>
        </w:tc>
      </w:tr>
      <w:tr w14:paraId="7421A3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34A8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9789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F36D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00CE3">
            <w:pPr>
              <w:jc w:val="center"/>
            </w:pPr>
            <w:r>
              <w:rPr>
                <w:rFonts w:ascii="宋体" w:hAnsi="宋体" w:eastAsia="宋体"/>
                <w:sz w:val="16"/>
              </w:rPr>
              <w:t>慰问抚恤次数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1E26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5F45B">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55C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CE5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EBB2A">
            <w:pPr>
              <w:jc w:val="center"/>
            </w:pPr>
          </w:p>
        </w:tc>
      </w:tr>
      <w:tr w14:paraId="30D4AD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F66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4F0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11D2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FCD82">
            <w:pPr>
              <w:jc w:val="center"/>
            </w:pPr>
            <w:r>
              <w:rPr>
                <w:rFonts w:ascii="宋体" w:hAnsi="宋体" w:eastAsia="宋体"/>
                <w:sz w:val="16"/>
              </w:rPr>
              <w:t>慰问抚恤家庭满足率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4BF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C9B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94F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1D7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75BEC">
            <w:pPr>
              <w:jc w:val="center"/>
            </w:pPr>
          </w:p>
        </w:tc>
      </w:tr>
      <w:tr w14:paraId="4F4ED3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708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356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CF5C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A5AC4">
            <w:pPr>
              <w:jc w:val="center"/>
            </w:pPr>
            <w:r>
              <w:rPr>
                <w:rFonts w:ascii="宋体" w:hAnsi="宋体" w:eastAsia="宋体"/>
                <w:sz w:val="16"/>
              </w:rPr>
              <w:t>慰问抚恤发放及时率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98C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436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5DE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32E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4511D">
            <w:pPr>
              <w:jc w:val="center"/>
            </w:pPr>
          </w:p>
        </w:tc>
      </w:tr>
      <w:tr w14:paraId="5AE017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09E25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9A9F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F8EC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4DA8E">
            <w:pPr>
              <w:jc w:val="center"/>
            </w:pPr>
            <w:r>
              <w:rPr>
                <w:rFonts w:ascii="宋体" w:hAnsi="宋体" w:eastAsia="宋体"/>
                <w:sz w:val="16"/>
              </w:rPr>
              <w:t>亚森·喀斯木丧葬费、抚恤金及遗属生活费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EBA12">
            <w:pPr>
              <w:jc w:val="center"/>
            </w:pPr>
            <w:r>
              <w:rPr>
                <w:rFonts w:ascii="宋体" w:hAnsi="宋体" w:eastAsia="宋体"/>
                <w:sz w:val="16"/>
              </w:rPr>
              <w:t>&lt;=24.58万元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4FC7D">
            <w:pPr>
              <w:jc w:val="center"/>
            </w:pPr>
            <w:r>
              <w:rPr>
                <w:rFonts w:ascii="宋体" w:hAnsi="宋体" w:eastAsia="宋体"/>
                <w:sz w:val="16"/>
              </w:rPr>
              <w:t>=24.58万元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B6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09A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388F5">
            <w:pPr>
              <w:jc w:val="center"/>
            </w:pPr>
          </w:p>
        </w:tc>
      </w:tr>
      <w:tr w14:paraId="65E22B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042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09FC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C5C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B0F8D">
            <w:pPr>
              <w:jc w:val="center"/>
            </w:pPr>
            <w:r>
              <w:rPr>
                <w:rFonts w:ascii="宋体" w:hAnsi="宋体" w:eastAsia="宋体"/>
                <w:sz w:val="16"/>
              </w:rPr>
              <w:t>何成荣丧葬费、抚恤金及遗属生活费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72447">
            <w:pPr>
              <w:jc w:val="center"/>
            </w:pPr>
            <w:r>
              <w:rPr>
                <w:rFonts w:ascii="宋体" w:hAnsi="宋体" w:eastAsia="宋体"/>
                <w:sz w:val="16"/>
              </w:rPr>
              <w:t>&lt;=26.38万元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2A000">
            <w:pPr>
              <w:jc w:val="center"/>
            </w:pPr>
            <w:r>
              <w:rPr>
                <w:rFonts w:ascii="宋体" w:hAnsi="宋体" w:eastAsia="宋体"/>
                <w:sz w:val="16"/>
              </w:rPr>
              <w:t>=26.38万元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7FD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816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75559">
            <w:pPr>
              <w:jc w:val="center"/>
            </w:pPr>
          </w:p>
        </w:tc>
      </w:tr>
      <w:tr w14:paraId="4D28AE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FF00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CC26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D6FB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93A8F">
            <w:pPr>
              <w:jc w:val="center"/>
            </w:pPr>
            <w:r>
              <w:rPr>
                <w:rFonts w:ascii="宋体" w:hAnsi="宋体" w:eastAsia="宋体"/>
                <w:sz w:val="16"/>
              </w:rPr>
              <w:t>家属人员生活保障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6BA8E">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0D52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FC9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438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8D890">
            <w:pPr>
              <w:jc w:val="center"/>
            </w:pPr>
          </w:p>
        </w:tc>
      </w:tr>
      <w:tr w14:paraId="7D6553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B65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1CB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C2C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4E85F">
            <w:pPr>
              <w:jc w:val="center"/>
            </w:pPr>
            <w:r>
              <w:rPr>
                <w:rFonts w:ascii="宋体" w:hAnsi="宋体" w:eastAsia="宋体"/>
                <w:sz w:val="16"/>
              </w:rPr>
              <w:t>国家干部工作积极性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9D40B">
            <w:pPr>
              <w:jc w:val="center"/>
            </w:pPr>
            <w:r>
              <w:rPr>
                <w:rFonts w:ascii="宋体" w:hAnsi="宋体" w:eastAsia="宋体"/>
                <w:sz w:val="16"/>
              </w:rPr>
              <w:t>进一步提高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5A49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FAD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B86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39A8E">
            <w:pPr>
              <w:jc w:val="center"/>
            </w:pPr>
          </w:p>
        </w:tc>
      </w:tr>
      <w:tr w14:paraId="20ADFB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5B4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809E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0B1F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113F3">
            <w:pPr>
              <w:jc w:val="center"/>
            </w:pPr>
            <w:r>
              <w:rPr>
                <w:rFonts w:ascii="宋体" w:hAnsi="宋体" w:eastAsia="宋体"/>
                <w:sz w:val="16"/>
              </w:rPr>
              <w:t>受益家属人员满意度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3C3B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DA01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C1C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6C6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2245C">
            <w:pPr>
              <w:jc w:val="center"/>
            </w:pPr>
          </w:p>
        </w:tc>
      </w:tr>
      <w:tr w14:paraId="7EAAFB8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C1FF4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1DD7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D94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ED70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DA73B1"/>
        </w:tc>
      </w:tr>
    </w:tbl>
    <w:p w14:paraId="2372B1E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6E8BF8">
        <w:tblPrEx>
          <w:tblCellMar>
            <w:top w:w="0" w:type="dxa"/>
            <w:left w:w="108" w:type="dxa"/>
            <w:bottom w:w="0" w:type="dxa"/>
            <w:right w:w="108" w:type="dxa"/>
          </w:tblCellMar>
        </w:tblPrEx>
        <w:tc>
          <w:tcPr>
            <w:tcW w:w="8847" w:type="dxa"/>
            <w:gridSpan w:val="9"/>
            <w:vAlign w:val="center"/>
          </w:tcPr>
          <w:p w14:paraId="5D3330C0">
            <w:pPr>
              <w:jc w:val="center"/>
            </w:pPr>
            <w:r>
              <w:rPr>
                <w:rFonts w:ascii="宋体" w:hAnsi="宋体" w:eastAsia="宋体"/>
                <w:sz w:val="24"/>
              </w:rPr>
              <w:t>项目支出绩效自评表</w:t>
            </w:r>
          </w:p>
        </w:tc>
      </w:tr>
      <w:tr w14:paraId="44B26366">
        <w:tblPrEx>
          <w:tblCellMar>
            <w:top w:w="0" w:type="dxa"/>
            <w:left w:w="108" w:type="dxa"/>
            <w:bottom w:w="0" w:type="dxa"/>
            <w:right w:w="108" w:type="dxa"/>
          </w:tblCellMar>
        </w:tblPrEx>
        <w:tc>
          <w:tcPr>
            <w:tcW w:w="8847" w:type="dxa"/>
            <w:gridSpan w:val="9"/>
            <w:vAlign w:val="center"/>
          </w:tcPr>
          <w:p w14:paraId="748A94EC">
            <w:pPr>
              <w:jc w:val="center"/>
            </w:pPr>
            <w:r>
              <w:rPr>
                <w:rFonts w:ascii="宋体" w:hAnsi="宋体" w:eastAsia="宋体"/>
                <w:sz w:val="24"/>
              </w:rPr>
              <w:t>(2024年度)</w:t>
            </w:r>
          </w:p>
        </w:tc>
      </w:tr>
      <w:tr w14:paraId="322D6B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E45E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7AF5B72">
            <w:pPr>
              <w:jc w:val="center"/>
            </w:pPr>
            <w:r>
              <w:rPr>
                <w:rFonts w:ascii="宋体" w:hAnsi="宋体" w:eastAsia="宋体"/>
                <w:sz w:val="16"/>
              </w:rPr>
              <w:t>安迪尔乡2024年基本户结余资金</w:t>
            </w:r>
          </w:p>
        </w:tc>
      </w:tr>
      <w:tr w14:paraId="26D046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F824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1FA8DD">
            <w:pPr>
              <w:jc w:val="center"/>
            </w:pPr>
            <w:r>
              <w:rPr>
                <w:rFonts w:ascii="宋体" w:hAnsi="宋体" w:eastAsia="宋体"/>
                <w:sz w:val="16"/>
              </w:rPr>
              <w:t>民丰县安迪尔乡政府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145D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80AF8A">
            <w:pPr>
              <w:jc w:val="center"/>
            </w:pPr>
            <w:r>
              <w:rPr>
                <w:rFonts w:ascii="宋体" w:hAnsi="宋体" w:eastAsia="宋体"/>
                <w:sz w:val="16"/>
              </w:rPr>
              <w:t>民丰县安迪尔乡人民政府</w:t>
            </w:r>
          </w:p>
        </w:tc>
      </w:tr>
      <w:tr w14:paraId="7AC135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3773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FF0B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3F9E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751B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DD3E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9024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88E0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3EB54">
            <w:pPr>
              <w:jc w:val="center"/>
            </w:pPr>
            <w:r>
              <w:rPr>
                <w:rFonts w:ascii="宋体" w:hAnsi="宋体" w:eastAsia="宋体"/>
                <w:sz w:val="16"/>
              </w:rPr>
              <w:t>得分</w:t>
            </w:r>
          </w:p>
        </w:tc>
      </w:tr>
      <w:tr w14:paraId="378D36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219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39F0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F382A">
            <w:pPr>
              <w:jc w:val="center"/>
            </w:pPr>
            <w:r>
              <w:rPr>
                <w:rFonts w:ascii="宋体" w:hAnsi="宋体" w:eastAsia="宋体"/>
                <w:sz w:val="16"/>
              </w:rPr>
              <w:t>120.95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5760E">
            <w:pPr>
              <w:jc w:val="center"/>
            </w:pPr>
            <w:r>
              <w:rPr>
                <w:rFonts w:ascii="宋体" w:hAnsi="宋体" w:eastAsia="宋体"/>
                <w:sz w:val="16"/>
              </w:rPr>
              <w:t>120.95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81F94">
            <w:pPr>
              <w:jc w:val="center"/>
            </w:pPr>
            <w:r>
              <w:rPr>
                <w:rFonts w:ascii="宋体" w:hAnsi="宋体" w:eastAsia="宋体"/>
                <w:sz w:val="16"/>
              </w:rPr>
              <w:t>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D5F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109B9">
            <w:pPr>
              <w:jc w:val="center"/>
            </w:pPr>
            <w:r>
              <w:rPr>
                <w:rFonts w:ascii="宋体" w:hAnsi="宋体" w:eastAsia="宋体"/>
                <w:sz w:val="16"/>
              </w:rPr>
              <w:t xml:space="preserve">81.40%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CDA44">
            <w:pPr>
              <w:jc w:val="center"/>
            </w:pPr>
            <w:r>
              <w:rPr>
                <w:rFonts w:ascii="宋体" w:hAnsi="宋体" w:eastAsia="宋体"/>
                <w:sz w:val="16"/>
              </w:rPr>
              <w:t>5.35分</w:t>
            </w:r>
          </w:p>
        </w:tc>
      </w:tr>
      <w:tr w14:paraId="0E72F7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0E52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AB9C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8BF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90B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19D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1B9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562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B38BD">
            <w:pPr>
              <w:jc w:val="center"/>
            </w:pPr>
            <w:r>
              <w:rPr>
                <w:rFonts w:ascii="宋体" w:hAnsi="宋体" w:eastAsia="宋体"/>
                <w:sz w:val="16"/>
              </w:rPr>
              <w:t>—</w:t>
            </w:r>
          </w:p>
        </w:tc>
      </w:tr>
      <w:tr w14:paraId="5B477E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368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AB57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54E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65C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97E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ECE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11E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B8EAA">
            <w:pPr>
              <w:jc w:val="center"/>
            </w:pPr>
            <w:r>
              <w:rPr>
                <w:rFonts w:ascii="宋体" w:hAnsi="宋体" w:eastAsia="宋体"/>
                <w:sz w:val="16"/>
              </w:rPr>
              <w:t>—</w:t>
            </w:r>
          </w:p>
        </w:tc>
      </w:tr>
      <w:tr w14:paraId="01EE65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9782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B44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8409D">
            <w:pPr>
              <w:jc w:val="center"/>
            </w:pPr>
            <w:r>
              <w:rPr>
                <w:rFonts w:ascii="宋体" w:hAnsi="宋体" w:eastAsia="宋体"/>
                <w:sz w:val="16"/>
              </w:rPr>
              <w:t>120.95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F7BB9">
            <w:pPr>
              <w:jc w:val="center"/>
            </w:pPr>
            <w:r>
              <w:rPr>
                <w:rFonts w:ascii="宋体" w:hAnsi="宋体" w:eastAsia="宋体"/>
                <w:sz w:val="16"/>
              </w:rPr>
              <w:t>120.95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A13AB">
            <w:pPr>
              <w:jc w:val="center"/>
            </w:pPr>
            <w:r>
              <w:rPr>
                <w:rFonts w:ascii="宋体" w:hAnsi="宋体" w:eastAsia="宋体"/>
                <w:sz w:val="16"/>
              </w:rPr>
              <w:t>98.45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D90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80A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4E884">
            <w:pPr>
              <w:jc w:val="center"/>
            </w:pPr>
            <w:r>
              <w:rPr>
                <w:rFonts w:ascii="宋体" w:hAnsi="宋体" w:eastAsia="宋体"/>
                <w:sz w:val="16"/>
              </w:rPr>
              <w:t>—</w:t>
            </w:r>
          </w:p>
        </w:tc>
      </w:tr>
      <w:tr w14:paraId="52CD9E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B20C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AFEAB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344AA2">
            <w:pPr>
              <w:jc w:val="center"/>
            </w:pPr>
            <w:r>
              <w:rPr>
                <w:rFonts w:ascii="宋体" w:hAnsi="宋体" w:eastAsia="宋体"/>
                <w:sz w:val="16"/>
              </w:rPr>
              <w:t>实际完成情况</w:t>
            </w:r>
          </w:p>
        </w:tc>
      </w:tr>
      <w:tr w14:paraId="27DCF8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E718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59D43C">
            <w:pPr>
              <w:jc w:val="both"/>
            </w:pPr>
            <w:r>
              <w:rPr>
                <w:rFonts w:ascii="宋体" w:hAnsi="宋体" w:eastAsia="宋体"/>
                <w:sz w:val="16"/>
              </w:rPr>
              <w:t>根据项目实施方案，开展本项目。主要内容：保障办公人员69人。通过此项目的实施，有效保障单位业务正常开展，更好地为人民群众服务。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06466F">
            <w:pPr>
              <w:jc w:val="both"/>
            </w:pPr>
            <w:r>
              <w:rPr>
                <w:rFonts w:ascii="宋体" w:hAnsi="宋体" w:eastAsia="宋体"/>
                <w:sz w:val="16"/>
              </w:rPr>
              <w:t>截至2024年12月底，本项目预算安排120.95万元，实际支出98.45万元，预算执行率81.4%，保障办公人员69人。通过此项目的实施，有效保障单位业务正常开展，更好地为人民群众服务。</w:t>
            </w:r>
          </w:p>
        </w:tc>
      </w:tr>
      <w:tr w14:paraId="4D63AE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29B71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FA60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0D46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0A19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CCCB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5AC5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5D68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BB70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36299">
            <w:pPr>
              <w:jc w:val="center"/>
            </w:pPr>
            <w:r>
              <w:rPr>
                <w:rFonts w:ascii="宋体" w:hAnsi="宋体" w:eastAsia="宋体"/>
                <w:sz w:val="16"/>
              </w:rPr>
              <w:t>偏差原因分析及改进措施</w:t>
            </w:r>
          </w:p>
        </w:tc>
      </w:tr>
      <w:tr w14:paraId="4C9E15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65E5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9BBE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0F9D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2D1F6">
            <w:pPr>
              <w:jc w:val="center"/>
            </w:pPr>
            <w:r>
              <w:rPr>
                <w:rFonts w:ascii="宋体" w:hAnsi="宋体" w:eastAsia="宋体"/>
                <w:sz w:val="16"/>
              </w:rPr>
              <w:t>保障办公人员数量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A524F">
            <w:pPr>
              <w:jc w:val="center"/>
            </w:pPr>
            <w:r>
              <w:rPr>
                <w:rFonts w:ascii="宋体" w:hAnsi="宋体" w:eastAsia="宋体"/>
                <w:sz w:val="16"/>
              </w:rPr>
              <w:t>&gt;=69人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E17F9">
            <w:pPr>
              <w:jc w:val="center"/>
            </w:pPr>
            <w:r>
              <w:rPr>
                <w:rFonts w:ascii="宋体" w:hAnsi="宋体" w:eastAsia="宋体"/>
                <w:sz w:val="16"/>
              </w:rPr>
              <w:t>=69人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55B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5C0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5F9D3">
            <w:pPr>
              <w:jc w:val="center"/>
            </w:pPr>
          </w:p>
        </w:tc>
      </w:tr>
      <w:tr w14:paraId="230260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98B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D82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1B8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BB9D1">
            <w:pPr>
              <w:jc w:val="center"/>
            </w:pPr>
            <w:r>
              <w:rPr>
                <w:rFonts w:ascii="宋体" w:hAnsi="宋体" w:eastAsia="宋体"/>
                <w:sz w:val="16"/>
              </w:rPr>
              <w:t>保障单位运转期限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6ED99">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E2174">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DE7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EDF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31B20">
            <w:pPr>
              <w:jc w:val="center"/>
            </w:pPr>
          </w:p>
        </w:tc>
      </w:tr>
      <w:tr w14:paraId="78DEDF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E00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FF4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712D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B2BA3">
            <w:pPr>
              <w:jc w:val="center"/>
            </w:pPr>
            <w:r>
              <w:rPr>
                <w:rFonts w:ascii="宋体" w:hAnsi="宋体" w:eastAsia="宋体"/>
                <w:sz w:val="16"/>
              </w:rPr>
              <w:t>经费使用合格率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7AF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F41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A57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A3F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FF49D">
            <w:pPr>
              <w:jc w:val="center"/>
            </w:pPr>
          </w:p>
        </w:tc>
      </w:tr>
      <w:tr w14:paraId="7F7E8F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884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3CC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D31C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21B41">
            <w:pPr>
              <w:jc w:val="center"/>
            </w:pPr>
            <w:r>
              <w:rPr>
                <w:rFonts w:ascii="宋体" w:hAnsi="宋体" w:eastAsia="宋体"/>
                <w:sz w:val="16"/>
              </w:rPr>
              <w:t>公用经费支付及时率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C94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B2A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ADC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DDD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363F5">
            <w:pPr>
              <w:jc w:val="center"/>
            </w:pPr>
          </w:p>
        </w:tc>
      </w:tr>
      <w:tr w14:paraId="1BC802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1CA8B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9FF62">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2058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47C77">
            <w:pPr>
              <w:jc w:val="center"/>
            </w:pPr>
            <w:r>
              <w:rPr>
                <w:rFonts w:ascii="宋体" w:hAnsi="宋体" w:eastAsia="宋体"/>
                <w:sz w:val="16"/>
              </w:rPr>
              <w:t>公益性岗位社保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9BDD0">
            <w:pPr>
              <w:jc w:val="center"/>
            </w:pPr>
            <w:r>
              <w:rPr>
                <w:rFonts w:ascii="宋体" w:hAnsi="宋体" w:eastAsia="宋体"/>
                <w:sz w:val="16"/>
              </w:rPr>
              <w:t>&lt;=5.59万元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A2C6C">
            <w:pPr>
              <w:jc w:val="center"/>
            </w:pPr>
            <w:r>
              <w:rPr>
                <w:rFonts w:ascii="宋体" w:hAnsi="宋体" w:eastAsia="宋体"/>
                <w:sz w:val="16"/>
              </w:rPr>
              <w:t>=5.59万元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5D6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F55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12144">
            <w:pPr>
              <w:jc w:val="center"/>
            </w:pPr>
          </w:p>
        </w:tc>
      </w:tr>
      <w:tr w14:paraId="4305B9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CFA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C2D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8F1F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0CAEF">
            <w:pPr>
              <w:jc w:val="center"/>
            </w:pPr>
            <w:r>
              <w:rPr>
                <w:rFonts w:ascii="宋体" w:hAnsi="宋体" w:eastAsia="宋体"/>
                <w:sz w:val="16"/>
              </w:rPr>
              <w:t>新疆维吾尔自治区科学技术协会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F28AE">
            <w:pPr>
              <w:jc w:val="center"/>
            </w:pPr>
            <w:r>
              <w:rPr>
                <w:rFonts w:ascii="宋体" w:hAnsi="宋体" w:eastAsia="宋体"/>
                <w:sz w:val="16"/>
              </w:rPr>
              <w:t>&lt;=115.36万元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7089F">
            <w:pPr>
              <w:jc w:val="center"/>
            </w:pPr>
            <w:r>
              <w:rPr>
                <w:rFonts w:ascii="宋体" w:hAnsi="宋体" w:eastAsia="宋体"/>
                <w:sz w:val="16"/>
              </w:rPr>
              <w:t>=92.86万元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0EE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29345">
            <w:pPr>
              <w:jc w:val="center"/>
            </w:pPr>
            <w:r>
              <w:rPr>
                <w:rFonts w:ascii="宋体" w:hAnsi="宋体" w:eastAsia="宋体"/>
                <w:sz w:val="16"/>
              </w:rPr>
              <w:t>5.35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02547">
            <w:pPr>
              <w:jc w:val="center"/>
            </w:pPr>
            <w:r>
              <w:rPr>
                <w:rFonts w:ascii="宋体" w:hAnsi="宋体" w:eastAsia="宋体"/>
                <w:sz w:val="16"/>
              </w:rPr>
              <w:t>偏差原因：与项目人员对接不够及时导致资料准备不齐全，资金无法及时支付。改进措施：与项目负责人员及时对接，告知所需资料并审核资料，确保资料的准确性和完整性，达到资金全额支付的效果。</w:t>
            </w:r>
          </w:p>
        </w:tc>
      </w:tr>
      <w:tr w14:paraId="1F7291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3222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4899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CD04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91444">
            <w:pPr>
              <w:jc w:val="center"/>
            </w:pPr>
            <w:r>
              <w:rPr>
                <w:rFonts w:ascii="宋体" w:hAnsi="宋体" w:eastAsia="宋体"/>
                <w:sz w:val="16"/>
              </w:rPr>
              <w:t>提高干部工作积极性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286A4">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83AB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425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650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BF63">
            <w:pPr>
              <w:jc w:val="center"/>
            </w:pPr>
          </w:p>
        </w:tc>
      </w:tr>
      <w:tr w14:paraId="65CF46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A69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78F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A794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A9BF6">
            <w:pPr>
              <w:jc w:val="center"/>
            </w:pPr>
            <w:r>
              <w:rPr>
                <w:rFonts w:ascii="宋体" w:hAnsi="宋体" w:eastAsia="宋体"/>
                <w:sz w:val="16"/>
              </w:rPr>
              <w:t>加强基层干部队伍建设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9F051">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7C67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552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730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B9627">
            <w:pPr>
              <w:jc w:val="center"/>
            </w:pPr>
          </w:p>
        </w:tc>
      </w:tr>
      <w:tr w14:paraId="776C89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9BFC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9E82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4604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B1253">
            <w:pPr>
              <w:jc w:val="center"/>
            </w:pPr>
            <w:r>
              <w:rPr>
                <w:rFonts w:ascii="宋体" w:hAnsi="宋体" w:eastAsia="宋体"/>
                <w:sz w:val="16"/>
              </w:rPr>
              <w:t>受益干部满意度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5CF3F">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42798">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143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3E6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9E50B">
            <w:pPr>
              <w:jc w:val="center"/>
            </w:pPr>
          </w:p>
        </w:tc>
      </w:tr>
      <w:tr w14:paraId="6659A6F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06860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3CC5F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71C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20310">
            <w:pPr>
              <w:jc w:val="center"/>
            </w:pPr>
            <w:r>
              <w:rPr>
                <w:rFonts w:ascii="宋体" w:hAnsi="宋体" w:eastAsia="宋体"/>
                <w:sz w:val="16"/>
              </w:rPr>
              <w:t>90.7分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C4E125"/>
        </w:tc>
      </w:tr>
    </w:tbl>
    <w:p w14:paraId="1BC09D1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0D185C">
        <w:tblPrEx>
          <w:tblCellMar>
            <w:top w:w="0" w:type="dxa"/>
            <w:left w:w="108" w:type="dxa"/>
            <w:bottom w:w="0" w:type="dxa"/>
            <w:right w:w="108" w:type="dxa"/>
          </w:tblCellMar>
        </w:tblPrEx>
        <w:tc>
          <w:tcPr>
            <w:tcW w:w="8847" w:type="dxa"/>
            <w:gridSpan w:val="9"/>
            <w:vAlign w:val="center"/>
          </w:tcPr>
          <w:p w14:paraId="7F0AFE6D">
            <w:pPr>
              <w:jc w:val="center"/>
            </w:pPr>
            <w:r>
              <w:rPr>
                <w:rFonts w:ascii="宋体" w:hAnsi="宋体" w:eastAsia="宋体"/>
                <w:sz w:val="24"/>
              </w:rPr>
              <w:t>项目支出绩效自评表</w:t>
            </w:r>
          </w:p>
        </w:tc>
      </w:tr>
      <w:tr w14:paraId="59B0A60E">
        <w:tblPrEx>
          <w:tblCellMar>
            <w:top w:w="0" w:type="dxa"/>
            <w:left w:w="108" w:type="dxa"/>
            <w:bottom w:w="0" w:type="dxa"/>
            <w:right w:w="108" w:type="dxa"/>
          </w:tblCellMar>
        </w:tblPrEx>
        <w:tc>
          <w:tcPr>
            <w:tcW w:w="8847" w:type="dxa"/>
            <w:gridSpan w:val="9"/>
            <w:vAlign w:val="center"/>
          </w:tcPr>
          <w:p w14:paraId="45355DDF">
            <w:pPr>
              <w:jc w:val="center"/>
            </w:pPr>
            <w:r>
              <w:rPr>
                <w:rFonts w:ascii="宋体" w:hAnsi="宋体" w:eastAsia="宋体"/>
                <w:sz w:val="24"/>
              </w:rPr>
              <w:t>(2024年度)</w:t>
            </w:r>
          </w:p>
        </w:tc>
      </w:tr>
      <w:tr w14:paraId="6582E5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6CCC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C8896F">
            <w:pPr>
              <w:jc w:val="center"/>
            </w:pPr>
            <w:r>
              <w:rPr>
                <w:rFonts w:ascii="宋体" w:hAnsi="宋体" w:eastAsia="宋体"/>
                <w:sz w:val="16"/>
              </w:rPr>
              <w:t>安迪尔乡人民政府村级组织运转经费</w:t>
            </w:r>
          </w:p>
        </w:tc>
      </w:tr>
      <w:tr w14:paraId="713274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5F14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72C06D">
            <w:pPr>
              <w:jc w:val="center"/>
            </w:pPr>
            <w:r>
              <w:rPr>
                <w:rFonts w:ascii="宋体" w:hAnsi="宋体" w:eastAsia="宋体"/>
                <w:sz w:val="16"/>
              </w:rPr>
              <w:t>民丰县安迪尔乡政府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D038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19F6CE">
            <w:pPr>
              <w:jc w:val="center"/>
            </w:pPr>
            <w:r>
              <w:rPr>
                <w:rFonts w:ascii="宋体" w:hAnsi="宋体" w:eastAsia="宋体"/>
                <w:sz w:val="16"/>
              </w:rPr>
              <w:t>民丰县安迪尔乡人民政府</w:t>
            </w:r>
          </w:p>
        </w:tc>
      </w:tr>
      <w:tr w14:paraId="172938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1E7F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415E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8F4E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C87D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5F83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6DF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E733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64838">
            <w:pPr>
              <w:jc w:val="center"/>
            </w:pPr>
            <w:r>
              <w:rPr>
                <w:rFonts w:ascii="宋体" w:hAnsi="宋体" w:eastAsia="宋体"/>
                <w:sz w:val="16"/>
              </w:rPr>
              <w:t>得分</w:t>
            </w:r>
          </w:p>
        </w:tc>
      </w:tr>
      <w:tr w14:paraId="7E7DDC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8E5A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0B98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C7494">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13024">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E028B">
            <w:pPr>
              <w:jc w:val="center"/>
            </w:pPr>
            <w:r>
              <w:rPr>
                <w:rFonts w:ascii="宋体" w:hAnsi="宋体" w:eastAsia="宋体"/>
                <w:sz w:val="16"/>
              </w:rPr>
              <w:t>37.24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DE0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7FA84">
            <w:pPr>
              <w:jc w:val="center"/>
            </w:pPr>
            <w:r>
              <w:rPr>
                <w:rFonts w:ascii="宋体" w:hAnsi="宋体" w:eastAsia="宋体"/>
                <w:sz w:val="16"/>
              </w:rPr>
              <w:t xml:space="preserve">84.64%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D2E71">
            <w:pPr>
              <w:jc w:val="center"/>
            </w:pPr>
            <w:r>
              <w:rPr>
                <w:rFonts w:ascii="宋体" w:hAnsi="宋体" w:eastAsia="宋体"/>
                <w:sz w:val="16"/>
              </w:rPr>
              <w:t>6.16分</w:t>
            </w:r>
          </w:p>
        </w:tc>
      </w:tr>
      <w:tr w14:paraId="5A8EA1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F806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AFB8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E33A7">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C30F2">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91339">
            <w:pPr>
              <w:jc w:val="center"/>
            </w:pPr>
            <w:r>
              <w:rPr>
                <w:rFonts w:ascii="宋体" w:hAnsi="宋体" w:eastAsia="宋体"/>
                <w:sz w:val="16"/>
              </w:rPr>
              <w:t>37.24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EB9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B27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2AF61">
            <w:pPr>
              <w:jc w:val="center"/>
            </w:pPr>
            <w:r>
              <w:rPr>
                <w:rFonts w:ascii="宋体" w:hAnsi="宋体" w:eastAsia="宋体"/>
                <w:sz w:val="16"/>
              </w:rPr>
              <w:t>—</w:t>
            </w:r>
          </w:p>
        </w:tc>
      </w:tr>
      <w:tr w14:paraId="40D05E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299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6808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3F0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C89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867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6FD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17D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143EB">
            <w:pPr>
              <w:jc w:val="center"/>
            </w:pPr>
            <w:r>
              <w:rPr>
                <w:rFonts w:ascii="宋体" w:hAnsi="宋体" w:eastAsia="宋体"/>
                <w:sz w:val="16"/>
              </w:rPr>
              <w:t>—</w:t>
            </w:r>
          </w:p>
        </w:tc>
      </w:tr>
      <w:tr w14:paraId="5E12B9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9F0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FE9C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0FE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9E1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EB4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B7F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F52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54EB8">
            <w:pPr>
              <w:jc w:val="center"/>
            </w:pPr>
            <w:r>
              <w:rPr>
                <w:rFonts w:ascii="宋体" w:hAnsi="宋体" w:eastAsia="宋体"/>
                <w:sz w:val="16"/>
              </w:rPr>
              <w:t>—</w:t>
            </w:r>
          </w:p>
        </w:tc>
      </w:tr>
      <w:tr w14:paraId="49BE97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A632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BBC78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DD329">
            <w:pPr>
              <w:jc w:val="center"/>
            </w:pPr>
            <w:r>
              <w:rPr>
                <w:rFonts w:ascii="宋体" w:hAnsi="宋体" w:eastAsia="宋体"/>
                <w:sz w:val="16"/>
              </w:rPr>
              <w:t>实际完成情况</w:t>
            </w:r>
          </w:p>
        </w:tc>
      </w:tr>
      <w:tr w14:paraId="47A5D7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44E9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C54635">
            <w:pPr>
              <w:jc w:val="both"/>
            </w:pPr>
            <w:r>
              <w:rPr>
                <w:rFonts w:ascii="宋体" w:hAnsi="宋体" w:eastAsia="宋体"/>
                <w:sz w:val="16"/>
              </w:rPr>
              <w:t>目标1：解决4个行政村水电费、办公经费等费用。</w:t>
            </w:r>
            <w:r>
              <w:rPr>
                <w:rFonts w:ascii="宋体" w:hAnsi="宋体" w:eastAsia="宋体"/>
                <w:sz w:val="16"/>
              </w:rPr>
              <w:br w:type="textWrapping"/>
            </w:r>
            <w:r>
              <w:rPr>
                <w:rFonts w:ascii="宋体" w:hAnsi="宋体" w:eastAsia="宋体"/>
                <w:sz w:val="16"/>
              </w:rPr>
              <w:t>目标2：通过项目实施，全面落实好新农村组织建设的要求，满足</w:t>
            </w:r>
            <w:r>
              <w:rPr>
                <w:rFonts w:hint="eastAsia" w:ascii="宋体" w:hAnsi="宋体"/>
                <w:sz w:val="16"/>
                <w:lang w:eastAsia="zh-CN"/>
              </w:rPr>
              <w:t>村级</w:t>
            </w:r>
            <w:r>
              <w:rPr>
                <w:rFonts w:ascii="宋体" w:hAnsi="宋体" w:eastAsia="宋体"/>
                <w:sz w:val="16"/>
              </w:rPr>
              <w:t>办公需要。不断加强组织建设，加强村级治理，为乡村振兴提供组织保障。加强村干部队伍建设，提高基层党组织服务群众能力。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47423">
            <w:pPr>
              <w:jc w:val="both"/>
            </w:pPr>
            <w:r>
              <w:rPr>
                <w:rFonts w:ascii="宋体" w:hAnsi="宋体" w:eastAsia="宋体"/>
                <w:sz w:val="16"/>
              </w:rPr>
              <w:t>截至2024年12月底，本项目预算安排44万元，实际支出37.24万元，预算执行率84.64%。项目已经完成支付37.24万元用于保障民丰县安迪尔乡人民政府4个行政村水电费以及办公经费等费用，通过项目实施，全面落实好新农村组织建设的要求，满足</w:t>
            </w:r>
            <w:r>
              <w:rPr>
                <w:rFonts w:hint="eastAsia" w:ascii="宋体" w:hAnsi="宋体"/>
                <w:sz w:val="16"/>
                <w:lang w:eastAsia="zh-CN"/>
              </w:rPr>
              <w:t>村级</w:t>
            </w:r>
            <w:r>
              <w:rPr>
                <w:rFonts w:ascii="宋体" w:hAnsi="宋体" w:eastAsia="宋体"/>
                <w:sz w:val="16"/>
              </w:rPr>
              <w:t>办公需要。不断加强组织建设，加强村级治理，为乡村振兴提供组织保障。加强村干部队伍建设，提高基层党组织服务群众能力。</w:t>
            </w:r>
          </w:p>
        </w:tc>
      </w:tr>
      <w:tr w14:paraId="37CA13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671C7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FE3D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C192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0D5E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73FF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8ED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415E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843B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2AA47">
            <w:pPr>
              <w:jc w:val="center"/>
            </w:pPr>
            <w:r>
              <w:rPr>
                <w:rFonts w:ascii="宋体" w:hAnsi="宋体" w:eastAsia="宋体"/>
                <w:sz w:val="16"/>
              </w:rPr>
              <w:t>偏差原因分析及改进措施</w:t>
            </w:r>
          </w:p>
        </w:tc>
      </w:tr>
      <w:tr w14:paraId="422EE30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3045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D3642">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3E8A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F96AF">
            <w:pPr>
              <w:jc w:val="center"/>
            </w:pPr>
            <w:r>
              <w:rPr>
                <w:rFonts w:ascii="宋体" w:hAnsi="宋体" w:eastAsia="宋体"/>
                <w:sz w:val="16"/>
              </w:rPr>
              <w:t>保障全乡行政村数量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2475B">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1FFDB">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6C6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B5A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FAFA7">
            <w:pPr>
              <w:jc w:val="center"/>
            </w:pPr>
          </w:p>
        </w:tc>
      </w:tr>
      <w:tr w14:paraId="5E949D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7CCF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C9F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B4E5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A5701">
            <w:pPr>
              <w:jc w:val="center"/>
            </w:pPr>
            <w:r>
              <w:rPr>
                <w:rFonts w:ascii="宋体" w:hAnsi="宋体" w:eastAsia="宋体"/>
                <w:sz w:val="16"/>
              </w:rPr>
              <w:t>保障行政村日常运转率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57F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CB3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5B0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4F9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41D26">
            <w:pPr>
              <w:jc w:val="center"/>
            </w:pPr>
          </w:p>
        </w:tc>
      </w:tr>
      <w:tr w14:paraId="23D06B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25E4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452D4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8152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D939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2FA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DA3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657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A90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2BD74">
            <w:pPr>
              <w:jc w:val="center"/>
            </w:pPr>
          </w:p>
        </w:tc>
      </w:tr>
      <w:tr w14:paraId="30DAFE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5E73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2650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FB4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2776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5275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595F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644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13D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1DA57">
            <w:pPr>
              <w:jc w:val="center"/>
            </w:pPr>
          </w:p>
        </w:tc>
      </w:tr>
      <w:tr w14:paraId="14D0FB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2702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E5B9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D240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18B5A">
            <w:pPr>
              <w:jc w:val="center"/>
            </w:pPr>
            <w:r>
              <w:rPr>
                <w:rFonts w:ascii="宋体" w:hAnsi="宋体" w:eastAsia="宋体"/>
                <w:sz w:val="16"/>
              </w:rPr>
              <w:t>保障每村日常运转成本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5BEEA">
            <w:pPr>
              <w:jc w:val="center"/>
            </w:pPr>
            <w:r>
              <w:rPr>
                <w:rFonts w:ascii="宋体" w:hAnsi="宋体" w:eastAsia="宋体"/>
                <w:sz w:val="16"/>
              </w:rPr>
              <w:t>&lt;=11万元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B38DC">
            <w:pPr>
              <w:jc w:val="center"/>
            </w:pPr>
            <w:r>
              <w:rPr>
                <w:rFonts w:ascii="宋体" w:hAnsi="宋体" w:eastAsia="宋体"/>
                <w:sz w:val="16"/>
              </w:rPr>
              <w:t>=9.31万元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BC6A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6AE54">
            <w:pPr>
              <w:jc w:val="center"/>
            </w:pPr>
            <w:r>
              <w:rPr>
                <w:rFonts w:ascii="宋体" w:hAnsi="宋体" w:eastAsia="宋体"/>
                <w:sz w:val="16"/>
              </w:rPr>
              <w:t>12.32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6A30F">
            <w:pPr>
              <w:jc w:val="center"/>
            </w:pPr>
            <w:r>
              <w:rPr>
                <w:rFonts w:ascii="宋体" w:hAnsi="宋体" w:eastAsia="宋体"/>
                <w:sz w:val="16"/>
              </w:rPr>
              <w:t>偏差原因：与村级对接不及时，材料未及时准备，导致资金无法支付。改进措施：与村级项目负责人员及时对接，告知所需资料并审核资料，确保资料的准确性和完整性，达到资金全额支付的效果。</w:t>
            </w:r>
          </w:p>
        </w:tc>
      </w:tr>
      <w:tr w14:paraId="0465D5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71F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97D6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983F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8D20B">
            <w:pPr>
              <w:jc w:val="center"/>
            </w:pPr>
            <w:r>
              <w:rPr>
                <w:rFonts w:ascii="宋体" w:hAnsi="宋体" w:eastAsia="宋体"/>
                <w:sz w:val="16"/>
              </w:rPr>
              <w:t>建设群集体组织、加强基层社会管理和服务能力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38559">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EEC4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B7F8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7D1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D2154">
            <w:pPr>
              <w:jc w:val="center"/>
            </w:pPr>
          </w:p>
        </w:tc>
      </w:tr>
      <w:tr w14:paraId="19BFD3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2EF6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4F03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E69F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0CA32">
            <w:pPr>
              <w:jc w:val="center"/>
            </w:pPr>
            <w:r>
              <w:rPr>
                <w:rFonts w:ascii="宋体" w:hAnsi="宋体" w:eastAsia="宋体"/>
                <w:sz w:val="16"/>
              </w:rPr>
              <w:t>工作人员满意度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10DF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900B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61C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DEF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3D703">
            <w:pPr>
              <w:jc w:val="center"/>
            </w:pPr>
          </w:p>
        </w:tc>
      </w:tr>
      <w:tr w14:paraId="7481B50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3E235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67FA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131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F5D4D">
            <w:pPr>
              <w:jc w:val="center"/>
            </w:pPr>
            <w:r>
              <w:rPr>
                <w:rFonts w:ascii="宋体" w:hAnsi="宋体" w:eastAsia="宋体"/>
                <w:sz w:val="16"/>
              </w:rPr>
              <w:t>88.48分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C7715B"/>
        </w:tc>
      </w:tr>
    </w:tbl>
    <w:p w14:paraId="71465F1A">
      <w:r>
        <w:br w:type="page"/>
      </w:r>
    </w:p>
    <w:p w14:paraId="05C94321">
      <w:pPr>
        <w:spacing w:line="640" w:lineRule="exact"/>
        <w:ind w:firstLine="640"/>
        <w:jc w:val="both"/>
        <w:outlineLvl w:val="2"/>
      </w:pPr>
      <w:r>
        <w:rPr>
          <w:rFonts w:ascii="黑体" w:hAnsi="黑体" w:eastAsia="黑体"/>
          <w:sz w:val="32"/>
        </w:rPr>
        <w:t>十二、其他需说明的事项</w:t>
      </w:r>
    </w:p>
    <w:p w14:paraId="5CCBEDE7">
      <w:pPr>
        <w:spacing w:line="580" w:lineRule="exact"/>
        <w:ind w:firstLine="640"/>
        <w:jc w:val="both"/>
      </w:pPr>
      <w:r>
        <w:rPr>
          <w:rFonts w:ascii="仿宋_GB2312" w:hAnsi="仿宋_GB2312" w:eastAsia="仿宋_GB2312"/>
          <w:b w:val="0"/>
          <w:sz w:val="32"/>
        </w:rPr>
        <w:t>本单位无其他需说明的事项。</w:t>
      </w:r>
    </w:p>
    <w:p w14:paraId="706FBF4E">
      <w:r>
        <w:br w:type="page"/>
      </w:r>
    </w:p>
    <w:p w14:paraId="642F1063">
      <w:pPr>
        <w:spacing w:line="240" w:lineRule="auto"/>
        <w:jc w:val="center"/>
        <w:outlineLvl w:val="1"/>
      </w:pPr>
      <w:r>
        <w:rPr>
          <w:rFonts w:ascii="黑体" w:hAnsi="黑体" w:eastAsia="黑体"/>
          <w:sz w:val="32"/>
        </w:rPr>
        <w:t>第三部分 专业名词解释</w:t>
      </w:r>
    </w:p>
    <w:p w14:paraId="6368847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A2EFC6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CBF88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A7FB6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844FD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E7504C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5D775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00D1E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5075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A26EE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4711C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15231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D1164B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7D2136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96EAF64">
      <w:r>
        <w:br w:type="page"/>
      </w:r>
    </w:p>
    <w:p w14:paraId="1A8CBD9C">
      <w:pPr>
        <w:spacing w:line="240" w:lineRule="auto"/>
        <w:jc w:val="center"/>
        <w:outlineLvl w:val="1"/>
      </w:pPr>
      <w:r>
        <w:rPr>
          <w:rFonts w:ascii="黑体" w:hAnsi="黑体" w:eastAsia="黑体"/>
          <w:sz w:val="32"/>
        </w:rPr>
        <w:t>第四部分 部门决算报表（见附表）</w:t>
      </w:r>
    </w:p>
    <w:p w14:paraId="628F7E95">
      <w:pPr>
        <w:spacing w:line="240" w:lineRule="auto"/>
        <w:ind w:firstLine="640"/>
        <w:jc w:val="both"/>
      </w:pPr>
      <w:r>
        <w:rPr>
          <w:rFonts w:ascii="仿宋_GB2312" w:hAnsi="仿宋_GB2312" w:eastAsia="仿宋_GB2312"/>
          <w:b w:val="0"/>
          <w:sz w:val="32"/>
        </w:rPr>
        <w:t>一、《收入支出决算总表》</w:t>
      </w:r>
    </w:p>
    <w:p w14:paraId="30B88312">
      <w:pPr>
        <w:spacing w:line="240" w:lineRule="auto"/>
        <w:ind w:firstLine="640"/>
        <w:jc w:val="both"/>
      </w:pPr>
      <w:r>
        <w:rPr>
          <w:rFonts w:ascii="仿宋_GB2312" w:hAnsi="仿宋_GB2312" w:eastAsia="仿宋_GB2312"/>
          <w:b w:val="0"/>
          <w:sz w:val="32"/>
        </w:rPr>
        <w:t>二、《收入决算表》</w:t>
      </w:r>
    </w:p>
    <w:p w14:paraId="3D4153AB">
      <w:pPr>
        <w:spacing w:line="240" w:lineRule="auto"/>
        <w:ind w:firstLine="640"/>
        <w:jc w:val="both"/>
      </w:pPr>
      <w:r>
        <w:rPr>
          <w:rFonts w:ascii="仿宋_GB2312" w:hAnsi="仿宋_GB2312" w:eastAsia="仿宋_GB2312"/>
          <w:b w:val="0"/>
          <w:sz w:val="32"/>
        </w:rPr>
        <w:t>三、《支出决算表》</w:t>
      </w:r>
    </w:p>
    <w:p w14:paraId="205192D8">
      <w:pPr>
        <w:spacing w:line="240" w:lineRule="auto"/>
        <w:ind w:firstLine="640"/>
        <w:jc w:val="both"/>
      </w:pPr>
      <w:r>
        <w:rPr>
          <w:rFonts w:ascii="仿宋_GB2312" w:hAnsi="仿宋_GB2312" w:eastAsia="仿宋_GB2312"/>
          <w:b w:val="0"/>
          <w:sz w:val="32"/>
        </w:rPr>
        <w:t>四、《财政拨款收入支出决算总表》</w:t>
      </w:r>
    </w:p>
    <w:p w14:paraId="394B240B">
      <w:pPr>
        <w:spacing w:line="240" w:lineRule="auto"/>
        <w:ind w:firstLine="640"/>
        <w:jc w:val="both"/>
      </w:pPr>
      <w:r>
        <w:rPr>
          <w:rFonts w:ascii="仿宋_GB2312" w:hAnsi="仿宋_GB2312" w:eastAsia="仿宋_GB2312"/>
          <w:b w:val="0"/>
          <w:sz w:val="32"/>
        </w:rPr>
        <w:t>五、《一般公共预算财政拨款支出决算表》</w:t>
      </w:r>
    </w:p>
    <w:p w14:paraId="53859E8D">
      <w:pPr>
        <w:spacing w:line="240" w:lineRule="auto"/>
        <w:ind w:firstLine="640"/>
        <w:jc w:val="both"/>
      </w:pPr>
      <w:r>
        <w:rPr>
          <w:rFonts w:ascii="仿宋_GB2312" w:hAnsi="仿宋_GB2312" w:eastAsia="仿宋_GB2312"/>
          <w:b w:val="0"/>
          <w:sz w:val="32"/>
        </w:rPr>
        <w:t>六、《一般公共预算财政拨款基本支出决算表》</w:t>
      </w:r>
    </w:p>
    <w:p w14:paraId="44543871">
      <w:pPr>
        <w:spacing w:line="240" w:lineRule="auto"/>
        <w:ind w:firstLine="640"/>
        <w:jc w:val="both"/>
      </w:pPr>
      <w:r>
        <w:rPr>
          <w:rFonts w:ascii="仿宋_GB2312" w:hAnsi="仿宋_GB2312" w:eastAsia="仿宋_GB2312"/>
          <w:b w:val="0"/>
          <w:sz w:val="32"/>
        </w:rPr>
        <w:t>七、《政府性基金预算财政拨款收入支出决算表》</w:t>
      </w:r>
    </w:p>
    <w:p w14:paraId="782570A2">
      <w:pPr>
        <w:spacing w:line="240" w:lineRule="auto"/>
        <w:ind w:firstLine="640"/>
        <w:jc w:val="both"/>
      </w:pPr>
      <w:r>
        <w:rPr>
          <w:rFonts w:ascii="仿宋_GB2312" w:hAnsi="仿宋_GB2312" w:eastAsia="仿宋_GB2312"/>
          <w:b w:val="0"/>
          <w:sz w:val="32"/>
        </w:rPr>
        <w:t>八、《国有资本经营预算财政拨款收入支出决算表》</w:t>
      </w:r>
    </w:p>
    <w:p w14:paraId="0ABF9055">
      <w:pPr>
        <w:spacing w:line="240" w:lineRule="auto"/>
        <w:ind w:firstLine="640"/>
        <w:jc w:val="both"/>
      </w:pPr>
      <w:r>
        <w:rPr>
          <w:rFonts w:ascii="仿宋_GB2312" w:hAnsi="仿宋_GB2312" w:eastAsia="仿宋_GB2312"/>
          <w:b w:val="0"/>
          <w:sz w:val="32"/>
        </w:rPr>
        <w:t>九、《财政拨款“三公”经费支出决算表》</w:t>
      </w:r>
    </w:p>
    <w:p w14:paraId="3802772C">
      <w:pPr>
        <w:spacing w:line="240" w:lineRule="auto"/>
        <w:ind w:firstLine="640"/>
        <w:jc w:val="both"/>
      </w:pPr>
    </w:p>
    <w:p w14:paraId="1257D048">
      <w:pPr>
        <w:spacing w:line="240" w:lineRule="auto"/>
        <w:ind w:firstLine="640"/>
        <w:jc w:val="both"/>
      </w:pPr>
    </w:p>
    <w:p w14:paraId="3D7A8148">
      <w:pPr>
        <w:spacing w:line="240" w:lineRule="auto"/>
        <w:ind w:firstLine="640"/>
        <w:jc w:val="both"/>
      </w:pPr>
    </w:p>
    <w:p w14:paraId="560A80A1">
      <w:pPr>
        <w:spacing w:line="240" w:lineRule="auto"/>
        <w:ind w:firstLine="640"/>
        <w:jc w:val="both"/>
      </w:pPr>
    </w:p>
    <w:p w14:paraId="316D4B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FC058D"/>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0D19BD"/>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693A69"/>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6043</Words>
  <Characters>6868</Characters>
  <Lines>0</Lines>
  <Paragraphs>0</Paragraphs>
  <TotalTime>5</TotalTime>
  <ScaleCrop>false</ScaleCrop>
  <LinksUpToDate>false</LinksUpToDate>
  <CharactersWithSpaces>6876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2025-09-25T10:07:29Z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