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DE39D2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民丰县安迪尔乡中心幼儿园</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64CEA12">
      <w:r>
        <w:br w:type="page"/>
      </w:r>
    </w:p>
    <w:p w14:paraId="28347EA9">
      <w:pPr>
        <w:spacing w:line="640" w:lineRule="exact"/>
        <w:jc w:val="center"/>
        <w:outlineLvl w:val="1"/>
      </w:pPr>
      <w:r>
        <w:rPr>
          <w:rFonts w:ascii="黑体" w:hAnsi="黑体" w:eastAsia="黑体"/>
          <w:sz w:val="32"/>
        </w:rPr>
        <w:t>第一部分 单位概况</w:t>
      </w:r>
    </w:p>
    <w:p w14:paraId="4017F891">
      <w:pPr>
        <w:spacing w:line="640" w:lineRule="exact"/>
        <w:ind w:firstLine="640"/>
        <w:jc w:val="both"/>
        <w:outlineLvl w:val="2"/>
      </w:pPr>
      <w:r>
        <w:rPr>
          <w:rFonts w:ascii="黑体" w:hAnsi="黑体" w:eastAsia="黑体"/>
          <w:sz w:val="32"/>
        </w:rPr>
        <w:t>一、主要职能</w:t>
      </w:r>
    </w:p>
    <w:p w14:paraId="60F5F477">
      <w:pPr>
        <w:spacing w:line="580" w:lineRule="exact"/>
        <w:ind w:firstLine="640"/>
        <w:jc w:val="both"/>
      </w:pPr>
      <w:r>
        <w:rPr>
          <w:rFonts w:ascii="仿宋_GB2312" w:hAnsi="仿宋_GB2312" w:eastAsia="仿宋_GB2312"/>
          <w:sz w:val="32"/>
        </w:rPr>
        <w:t>民丰县安迪尔乡中心幼儿园为民丰县教育和科学技术局直接管理的一所幼儿园，主要职能是促进幼儿身心和谐全面发展、认真贯彻执行《幼儿园工作规程》，结合幼儿的特点和个体差异及时制定好各类教育工作计划，并认真实施，有计划有步骤地开展保教工作。落实上级教育部门的工作任务，指导、检查、全体教职工业务学习、思想政治工作、做好</w:t>
      </w:r>
      <w:r>
        <w:rPr>
          <w:rFonts w:hint="eastAsia" w:ascii="仿宋_GB2312" w:hAnsi="仿宋_GB2312" w:eastAsia="仿宋_GB2312"/>
          <w:sz w:val="32"/>
          <w:lang w:eastAsia="zh-CN"/>
        </w:rPr>
        <w:t>WW</w:t>
      </w:r>
      <w:r>
        <w:rPr>
          <w:rFonts w:ascii="仿宋_GB2312" w:hAnsi="仿宋_GB2312" w:eastAsia="仿宋_GB2312"/>
          <w:sz w:val="32"/>
        </w:rPr>
        <w:t>工作、党建工作、工青妇等日常工作。</w:t>
      </w:r>
    </w:p>
    <w:p w14:paraId="42BC4686">
      <w:pPr>
        <w:spacing w:line="640" w:lineRule="exact"/>
        <w:ind w:firstLine="640"/>
        <w:jc w:val="both"/>
        <w:outlineLvl w:val="2"/>
      </w:pPr>
      <w:r>
        <w:rPr>
          <w:rFonts w:ascii="黑体" w:hAnsi="黑体" w:eastAsia="黑体"/>
          <w:sz w:val="32"/>
        </w:rPr>
        <w:t>二、机构设置及人员情况</w:t>
      </w:r>
    </w:p>
    <w:p w14:paraId="28DBA37F">
      <w:pPr>
        <w:spacing w:line="580" w:lineRule="exact"/>
        <w:ind w:firstLine="640"/>
        <w:jc w:val="both"/>
      </w:pPr>
      <w:r>
        <w:rPr>
          <w:rFonts w:ascii="仿宋_GB2312" w:hAnsi="仿宋_GB2312" w:eastAsia="仿宋_GB2312"/>
          <w:sz w:val="32"/>
        </w:rPr>
        <w:t>民丰县安迪尔乡中心幼儿园2024年度，实有人数9人，其中：在职人员9人，增加0人；离休人员0人，增加0人；退休人员0人</w:t>
      </w:r>
      <w:bookmarkStart w:id="0" w:name="_GoBack"/>
      <w:r>
        <w:rPr>
          <w:rFonts w:ascii="仿宋_GB2312" w:hAnsi="仿宋_GB2312" w:eastAsia="仿宋_GB2312"/>
          <w:sz w:val="32"/>
        </w:rPr>
        <w:t>,</w:t>
      </w:r>
      <w:bookmarkEnd w:id="0"/>
      <w:r>
        <w:rPr>
          <w:rFonts w:ascii="仿宋_GB2312" w:hAnsi="仿宋_GB2312" w:eastAsia="仿宋_GB2312"/>
          <w:sz w:val="32"/>
        </w:rPr>
        <w:t>增加0人。</w:t>
      </w:r>
    </w:p>
    <w:p w14:paraId="1447F28C">
      <w:pPr>
        <w:spacing w:line="580" w:lineRule="exact"/>
        <w:ind w:firstLine="640"/>
        <w:jc w:val="both"/>
      </w:pPr>
      <w:r>
        <w:rPr>
          <w:rFonts w:ascii="仿宋_GB2312" w:hAnsi="仿宋_GB2312" w:eastAsia="仿宋_GB2312"/>
          <w:sz w:val="32"/>
        </w:rPr>
        <w:t>民丰县安迪尔乡中心幼儿园无下属预算单位，下设6个科室，分别是：书记办公室、教务室、德育办、办公室、维护学校稳定工作办、财务室。</w:t>
      </w:r>
    </w:p>
    <w:p w14:paraId="5AB79283">
      <w:r>
        <w:br w:type="page"/>
      </w:r>
    </w:p>
    <w:p w14:paraId="21937C36">
      <w:pPr>
        <w:spacing w:line="240" w:lineRule="auto"/>
        <w:jc w:val="center"/>
        <w:outlineLvl w:val="1"/>
      </w:pPr>
      <w:r>
        <w:rPr>
          <w:rFonts w:ascii="黑体" w:hAnsi="黑体" w:eastAsia="黑体"/>
          <w:sz w:val="32"/>
        </w:rPr>
        <w:t>第二部分 部门决算情况说明</w:t>
      </w:r>
    </w:p>
    <w:p w14:paraId="189000A9">
      <w:pPr>
        <w:spacing w:line="640" w:lineRule="exact"/>
        <w:ind w:firstLine="640"/>
        <w:jc w:val="both"/>
        <w:outlineLvl w:val="2"/>
      </w:pPr>
      <w:r>
        <w:rPr>
          <w:rFonts w:ascii="黑体" w:hAnsi="黑体" w:eastAsia="黑体"/>
          <w:sz w:val="32"/>
        </w:rPr>
        <w:t>一、收入支出决算总体情况说明</w:t>
      </w:r>
    </w:p>
    <w:p w14:paraId="74407080">
      <w:pPr>
        <w:spacing w:line="580" w:lineRule="exact"/>
        <w:ind w:firstLine="640"/>
        <w:jc w:val="both"/>
      </w:pPr>
      <w:r>
        <w:rPr>
          <w:rFonts w:ascii="仿宋_GB2312" w:hAnsi="仿宋_GB2312" w:eastAsia="仿宋_GB2312"/>
          <w:b/>
          <w:sz w:val="32"/>
        </w:rPr>
        <w:t>2024年度收入总计197.80万元，</w:t>
      </w:r>
      <w:r>
        <w:rPr>
          <w:rFonts w:ascii="仿宋_GB2312" w:hAnsi="仿宋_GB2312" w:eastAsia="仿宋_GB2312"/>
          <w:b w:val="0"/>
          <w:sz w:val="32"/>
        </w:rPr>
        <w:t>其中：本年收入合计197.80万元，使用非财政拨款结余（含专用结余）0.00万元，年初结转和结余0.00万元。</w:t>
      </w:r>
    </w:p>
    <w:p w14:paraId="521F8855">
      <w:pPr>
        <w:spacing w:line="580" w:lineRule="exact"/>
        <w:ind w:firstLine="640"/>
        <w:jc w:val="both"/>
      </w:pPr>
      <w:r>
        <w:rPr>
          <w:rFonts w:ascii="仿宋_GB2312" w:hAnsi="仿宋_GB2312" w:eastAsia="仿宋_GB2312"/>
          <w:b/>
          <w:sz w:val="32"/>
        </w:rPr>
        <w:t>2024年度支出总计197.80万元，</w:t>
      </w:r>
      <w:r>
        <w:rPr>
          <w:rFonts w:ascii="仿宋_GB2312" w:hAnsi="仿宋_GB2312" w:eastAsia="仿宋_GB2312"/>
          <w:b w:val="0"/>
          <w:sz w:val="32"/>
        </w:rPr>
        <w:t>其中：本年支出合计197.79万元，结余分配0.00万元，年末结转和结余0.01万元。</w:t>
      </w:r>
    </w:p>
    <w:p w14:paraId="2BACF687">
      <w:pPr>
        <w:spacing w:line="580" w:lineRule="exact"/>
        <w:ind w:firstLine="640"/>
        <w:jc w:val="both"/>
      </w:pPr>
      <w:r>
        <w:rPr>
          <w:rFonts w:ascii="仿宋_GB2312" w:hAnsi="仿宋_GB2312" w:eastAsia="仿宋_GB2312"/>
          <w:b w:val="0"/>
          <w:sz w:val="32"/>
        </w:rPr>
        <w:t>收入支出总体与上年相比，增加0.97万元，增长0.49%，主要原因是：本年在职人员工资调增，社保、公积金基数调增，人员经费增加。</w:t>
      </w:r>
    </w:p>
    <w:p w14:paraId="3ECA916D">
      <w:pPr>
        <w:spacing w:line="640" w:lineRule="exact"/>
        <w:ind w:firstLine="640"/>
        <w:jc w:val="both"/>
        <w:outlineLvl w:val="2"/>
      </w:pPr>
      <w:r>
        <w:rPr>
          <w:rFonts w:ascii="黑体" w:hAnsi="黑体" w:eastAsia="黑体"/>
          <w:sz w:val="32"/>
        </w:rPr>
        <w:t>二、收入决算情况说明</w:t>
      </w:r>
    </w:p>
    <w:p w14:paraId="075D8F02">
      <w:pPr>
        <w:spacing w:line="580" w:lineRule="exact"/>
        <w:ind w:firstLine="640"/>
        <w:jc w:val="both"/>
      </w:pPr>
      <w:r>
        <w:rPr>
          <w:rFonts w:ascii="仿宋_GB2312" w:hAnsi="仿宋_GB2312" w:eastAsia="仿宋_GB2312"/>
          <w:b/>
          <w:sz w:val="32"/>
        </w:rPr>
        <w:t>本年收入197.80万元，</w:t>
      </w:r>
      <w:r>
        <w:rPr>
          <w:rFonts w:ascii="仿宋_GB2312" w:hAnsi="仿宋_GB2312" w:eastAsia="仿宋_GB2312"/>
          <w:b w:val="0"/>
          <w:sz w:val="32"/>
        </w:rPr>
        <w:t>其中：财政拨款收入197.79万元，占99.99%；上级补助收入0.00万元，占0.00%；事业收入0.00万元，占0.00%；经营收入0.00万元，占0.00%；附属单位上缴收入0.00万元，占0.00%；其他收入0.01万元，占0.005%。</w:t>
      </w:r>
    </w:p>
    <w:p w14:paraId="1BECB31D">
      <w:pPr>
        <w:spacing w:line="640" w:lineRule="exact"/>
        <w:ind w:firstLine="640"/>
        <w:jc w:val="both"/>
        <w:outlineLvl w:val="2"/>
      </w:pPr>
      <w:r>
        <w:rPr>
          <w:rFonts w:ascii="黑体" w:hAnsi="黑体" w:eastAsia="黑体"/>
          <w:sz w:val="32"/>
        </w:rPr>
        <w:t>三、支出决算情况说明</w:t>
      </w:r>
    </w:p>
    <w:p w14:paraId="741A53CA">
      <w:pPr>
        <w:spacing w:line="580" w:lineRule="exact"/>
        <w:ind w:firstLine="640"/>
        <w:jc w:val="both"/>
      </w:pPr>
      <w:r>
        <w:rPr>
          <w:rFonts w:ascii="仿宋_GB2312" w:hAnsi="仿宋_GB2312" w:eastAsia="仿宋_GB2312"/>
          <w:b/>
          <w:sz w:val="32"/>
        </w:rPr>
        <w:t>本年支出197.79万元，</w:t>
      </w:r>
      <w:r>
        <w:rPr>
          <w:rFonts w:ascii="仿宋_GB2312" w:hAnsi="仿宋_GB2312" w:eastAsia="仿宋_GB2312"/>
          <w:b w:val="0"/>
          <w:sz w:val="32"/>
        </w:rPr>
        <w:t>其中：基本支出151.44万元，占76.57%；项目支出46.35万元，占23.43%；上缴上级支出0.00万元，占0.00%；经营支出0.00万元，占0.00%；对附属单位补助支出0.00万元，占0.00%。</w:t>
      </w:r>
    </w:p>
    <w:p w14:paraId="10410119">
      <w:pPr>
        <w:spacing w:line="640" w:lineRule="exact"/>
        <w:ind w:firstLine="640"/>
        <w:jc w:val="both"/>
        <w:outlineLvl w:val="2"/>
      </w:pPr>
      <w:r>
        <w:rPr>
          <w:rFonts w:ascii="黑体" w:hAnsi="黑体" w:eastAsia="黑体"/>
          <w:sz w:val="32"/>
        </w:rPr>
        <w:t>四、财政拨款收入支出决算总体情况说明</w:t>
      </w:r>
    </w:p>
    <w:p w14:paraId="64AACA57">
      <w:pPr>
        <w:spacing w:line="580" w:lineRule="exact"/>
        <w:ind w:firstLine="640"/>
        <w:jc w:val="both"/>
      </w:pPr>
      <w:r>
        <w:rPr>
          <w:rFonts w:ascii="仿宋_GB2312" w:hAnsi="仿宋_GB2312" w:eastAsia="仿宋_GB2312"/>
          <w:b/>
          <w:sz w:val="32"/>
        </w:rPr>
        <w:t>2024年度财政拨款收入总计197.79万元，</w:t>
      </w:r>
      <w:r>
        <w:rPr>
          <w:rFonts w:ascii="仿宋_GB2312" w:hAnsi="仿宋_GB2312" w:eastAsia="仿宋_GB2312"/>
          <w:b w:val="0"/>
          <w:sz w:val="32"/>
        </w:rPr>
        <w:t>其中：年初财政拨款结转和结余0.00万元，本年财政拨款收入197.79万元。</w:t>
      </w:r>
      <w:r>
        <w:rPr>
          <w:rFonts w:ascii="仿宋_GB2312" w:hAnsi="仿宋_GB2312" w:eastAsia="仿宋_GB2312"/>
          <w:b/>
          <w:sz w:val="32"/>
        </w:rPr>
        <w:t>财政拨款支出总计197.79万元，</w:t>
      </w:r>
      <w:r>
        <w:rPr>
          <w:rFonts w:ascii="仿宋_GB2312" w:hAnsi="仿宋_GB2312" w:eastAsia="仿宋_GB2312"/>
          <w:b w:val="0"/>
          <w:sz w:val="32"/>
        </w:rPr>
        <w:t>其中：年末财政拨款结转和结余0.00万元，本年财政拨款支出197.79万元。</w:t>
      </w:r>
    </w:p>
    <w:p w14:paraId="329EFD5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增加0.96万元，增长0.49%，主要原因是：本年在职人员工资调增，社保、公积金基数调增，人员经费增加。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年初预算数196.56万元，决算数197.79万元，预决算差异率0.63%，主要原因是：年中追加人员工资、社保、公积金基数调增部分资金，导致预决算存在差异。</w:t>
      </w:r>
    </w:p>
    <w:p w14:paraId="10B71E78">
      <w:pPr>
        <w:spacing w:line="640" w:lineRule="exact"/>
        <w:ind w:firstLine="640"/>
        <w:jc w:val="both"/>
        <w:outlineLvl w:val="2"/>
      </w:pPr>
      <w:r>
        <w:rPr>
          <w:rFonts w:ascii="黑体" w:hAnsi="黑体" w:eastAsia="黑体"/>
          <w:sz w:val="32"/>
        </w:rPr>
        <w:t>五、一般公共预算财政拨款支出决算情况说明</w:t>
      </w:r>
    </w:p>
    <w:p w14:paraId="4D7556EA">
      <w:pPr>
        <w:spacing w:line="640" w:lineRule="exact"/>
        <w:ind w:firstLine="640"/>
        <w:jc w:val="both"/>
        <w:outlineLvl w:val="3"/>
      </w:pPr>
      <w:r>
        <w:rPr>
          <w:rFonts w:ascii="楷体_GB2312" w:hAnsi="楷体_GB2312" w:eastAsia="楷体_GB2312"/>
          <w:b/>
          <w:sz w:val="32"/>
        </w:rPr>
        <w:t>（一）一般公共预算财政拨款支出决算总体情况</w:t>
      </w:r>
    </w:p>
    <w:p w14:paraId="3AEBDD80">
      <w:pPr>
        <w:spacing w:line="580" w:lineRule="exact"/>
        <w:ind w:firstLine="640"/>
        <w:jc w:val="both"/>
      </w:pPr>
      <w:r>
        <w:rPr>
          <w:rFonts w:ascii="仿宋_GB2312" w:hAnsi="仿宋_GB2312" w:eastAsia="仿宋_GB2312"/>
          <w:b/>
          <w:sz w:val="32"/>
        </w:rPr>
        <w:t>2024年度一般公共预算财政拨款支出197.79万元，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增加0.96万元，增长0.49%，主要原因是：本年在职人员工资调增，社保、公积金基数调增，人员经费增加。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年初预算数196.56万元，决算数197.79万元，预决算差异率0.63%，主要原因是：年中追加人员工资、社保、公积金基数调增部分资金，导致预决算存在差异。</w:t>
      </w:r>
    </w:p>
    <w:p w14:paraId="789B82C1">
      <w:pPr>
        <w:spacing w:line="640" w:lineRule="exact"/>
        <w:ind w:firstLine="640"/>
        <w:jc w:val="both"/>
        <w:outlineLvl w:val="3"/>
      </w:pPr>
      <w:r>
        <w:rPr>
          <w:rFonts w:ascii="楷体_GB2312" w:hAnsi="楷体_GB2312" w:eastAsia="楷体_GB2312"/>
          <w:b/>
          <w:sz w:val="32"/>
        </w:rPr>
        <w:t>（二）一般公共预算财政拨款支出决算结构情况</w:t>
      </w:r>
    </w:p>
    <w:p w14:paraId="0D284EF7">
      <w:pPr>
        <w:spacing w:line="580" w:lineRule="exact"/>
        <w:ind w:firstLine="640"/>
        <w:jc w:val="both"/>
      </w:pPr>
      <w:r>
        <w:rPr>
          <w:rFonts w:ascii="仿宋_GB2312" w:hAnsi="仿宋_GB2312" w:eastAsia="仿宋_GB2312"/>
          <w:b w:val="0"/>
          <w:sz w:val="32"/>
        </w:rPr>
        <w:t>1.教育支出(类)197.79万元,占100.00%。</w:t>
      </w:r>
    </w:p>
    <w:p w14:paraId="5CC250C6">
      <w:pPr>
        <w:spacing w:line="640" w:lineRule="exact"/>
        <w:ind w:firstLine="640"/>
        <w:jc w:val="both"/>
        <w:outlineLvl w:val="3"/>
      </w:pPr>
      <w:r>
        <w:rPr>
          <w:rFonts w:ascii="楷体_GB2312" w:hAnsi="楷体_GB2312" w:eastAsia="楷体_GB2312"/>
          <w:b/>
          <w:sz w:val="32"/>
        </w:rPr>
        <w:t>（三）一般公共预算财政拨款支出决算具体情况</w:t>
      </w:r>
    </w:p>
    <w:p w14:paraId="7E27918C">
      <w:pPr>
        <w:spacing w:line="580" w:lineRule="exact"/>
        <w:ind w:firstLine="640"/>
        <w:jc w:val="both"/>
      </w:pPr>
      <w:r>
        <w:rPr>
          <w:rFonts w:ascii="仿宋_GB2312" w:hAnsi="仿宋_GB2312" w:eastAsia="仿宋_GB2312"/>
          <w:b w:val="0"/>
          <w:sz w:val="32"/>
        </w:rPr>
        <w:t>1.教育支出(类)普通教育(款)学前教育(项):支出决算数为197.79万元，比上年决算增加0.96万元，增长0.49%,主要原因是：本年在职人员工资调增，社保、公积金基数调增，人员经费增加。</w:t>
      </w:r>
    </w:p>
    <w:p w14:paraId="203ED804">
      <w:pPr>
        <w:spacing w:line="640" w:lineRule="exact"/>
        <w:ind w:firstLine="640"/>
        <w:jc w:val="both"/>
        <w:outlineLvl w:val="2"/>
      </w:pPr>
      <w:r>
        <w:rPr>
          <w:rFonts w:ascii="黑体" w:hAnsi="黑体" w:eastAsia="黑体"/>
          <w:sz w:val="32"/>
        </w:rPr>
        <w:t>六、一般公共预算财政拨款基本支出决算情况说明</w:t>
      </w:r>
    </w:p>
    <w:p w14:paraId="03378E7D">
      <w:pPr>
        <w:spacing w:line="580" w:lineRule="exact"/>
        <w:ind w:firstLine="640"/>
        <w:jc w:val="both"/>
      </w:pPr>
      <w:r>
        <w:rPr>
          <w:rFonts w:ascii="仿宋_GB2312" w:hAnsi="仿宋_GB2312" w:eastAsia="仿宋_GB2312"/>
          <w:b w:val="0"/>
          <w:sz w:val="32"/>
        </w:rPr>
        <w:t>2024年度一般公共预算财政拨款基本支出151.44万元，其中：</w:t>
      </w:r>
      <w:r>
        <w:rPr>
          <w:rFonts w:ascii="仿宋_GB2312" w:hAnsi="仿宋_GB2312" w:eastAsia="仿宋_GB2312"/>
          <w:b/>
          <w:sz w:val="32"/>
        </w:rPr>
        <w:t>人员经费151.44万元，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w:t>
      </w:r>
    </w:p>
    <w:p w14:paraId="735BD37D">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7DDAB412">
      <w:pPr>
        <w:spacing w:line="640" w:lineRule="exact"/>
        <w:ind w:firstLine="640"/>
        <w:jc w:val="both"/>
        <w:outlineLvl w:val="2"/>
      </w:pPr>
      <w:r>
        <w:rPr>
          <w:rFonts w:ascii="黑体" w:hAnsi="黑体" w:eastAsia="黑体"/>
          <w:sz w:val="32"/>
        </w:rPr>
        <w:t>七、政府性基金预算财政拨款收入支出决算情况说明</w:t>
      </w:r>
    </w:p>
    <w:p w14:paraId="642A0538">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8E5FED4">
      <w:pPr>
        <w:spacing w:line="640" w:lineRule="exact"/>
        <w:ind w:firstLine="640"/>
        <w:jc w:val="both"/>
        <w:outlineLvl w:val="2"/>
      </w:pPr>
      <w:r>
        <w:rPr>
          <w:rFonts w:ascii="黑体" w:hAnsi="黑体" w:eastAsia="黑体"/>
          <w:sz w:val="32"/>
        </w:rPr>
        <w:t>八、国有资本经营预算财政拨款收入支出决算情况说明</w:t>
      </w:r>
    </w:p>
    <w:p w14:paraId="7248C5E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13188A7">
      <w:pPr>
        <w:spacing w:line="640" w:lineRule="exact"/>
        <w:ind w:firstLine="640"/>
        <w:jc w:val="both"/>
        <w:outlineLvl w:val="2"/>
      </w:pPr>
      <w:r>
        <w:rPr>
          <w:rFonts w:ascii="黑体" w:hAnsi="黑体" w:eastAsia="黑体"/>
          <w:sz w:val="32"/>
        </w:rPr>
        <w:t>九、财政拨款“三公”经费支出决算情况说明</w:t>
      </w:r>
    </w:p>
    <w:p w14:paraId="6723C1D1">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B541BE4">
      <w:pPr>
        <w:spacing w:line="580" w:lineRule="exact"/>
        <w:ind w:firstLine="640"/>
        <w:jc w:val="both"/>
      </w:pPr>
      <w:r>
        <w:rPr>
          <w:rFonts w:ascii="仿宋_GB2312" w:hAnsi="仿宋_GB2312" w:eastAsia="仿宋_GB2312"/>
          <w:b/>
          <w:sz w:val="32"/>
        </w:rPr>
        <w:t>具体情况如下：</w:t>
      </w:r>
    </w:p>
    <w:p w14:paraId="267F94C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C429B8D">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1E9C9530">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2001A9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89F8A83">
      <w:pPr>
        <w:spacing w:line="640" w:lineRule="exact"/>
        <w:ind w:firstLine="640"/>
        <w:jc w:val="both"/>
        <w:outlineLvl w:val="2"/>
      </w:pPr>
      <w:r>
        <w:rPr>
          <w:rFonts w:ascii="黑体" w:hAnsi="黑体" w:eastAsia="黑体"/>
          <w:sz w:val="32"/>
        </w:rPr>
        <w:t>十、其他重要事项的情况说明</w:t>
      </w:r>
    </w:p>
    <w:p w14:paraId="084CD601">
      <w:pPr>
        <w:spacing w:line="640" w:lineRule="exact"/>
        <w:ind w:firstLine="640"/>
        <w:jc w:val="both"/>
        <w:outlineLvl w:val="3"/>
      </w:pPr>
      <w:r>
        <w:rPr>
          <w:rFonts w:ascii="楷体_GB2312" w:hAnsi="楷体_GB2312" w:eastAsia="楷体_GB2312"/>
          <w:b/>
          <w:sz w:val="32"/>
        </w:rPr>
        <w:t>（一）机关运行经费及公用经费支出情况</w:t>
      </w:r>
    </w:p>
    <w:p w14:paraId="75AE353F">
      <w:pPr>
        <w:spacing w:line="580" w:lineRule="exact"/>
        <w:ind w:firstLine="640"/>
        <w:jc w:val="both"/>
      </w:pPr>
      <w:r>
        <w:rPr>
          <w:rFonts w:ascii="仿宋_GB2312" w:hAnsi="仿宋_GB2312" w:eastAsia="仿宋_GB2312"/>
          <w:b w:val="0"/>
          <w:sz w:val="32"/>
        </w:rPr>
        <w:t>2024年度民丰县安迪尔乡中心幼儿园（事业单位）公用经费支出0.00万元，比上年增加0.00万元，增长0.00%，主要原因是：2023年与2024年均未安排公用经费支出。</w:t>
      </w:r>
    </w:p>
    <w:p w14:paraId="01ADD023">
      <w:pPr>
        <w:spacing w:line="640" w:lineRule="exact"/>
        <w:ind w:firstLine="640"/>
        <w:jc w:val="both"/>
        <w:outlineLvl w:val="3"/>
      </w:pPr>
      <w:r>
        <w:rPr>
          <w:rFonts w:ascii="楷体_GB2312" w:hAnsi="楷体_GB2312" w:eastAsia="楷体_GB2312"/>
          <w:b/>
          <w:sz w:val="32"/>
        </w:rPr>
        <w:t>（二）政府采购情况</w:t>
      </w:r>
    </w:p>
    <w:p w14:paraId="214F53E1">
      <w:pPr>
        <w:spacing w:line="580" w:lineRule="exact"/>
        <w:ind w:firstLine="640"/>
        <w:jc w:val="both"/>
      </w:pPr>
      <w:r>
        <w:rPr>
          <w:rFonts w:ascii="仿宋_GB2312" w:hAnsi="仿宋_GB2312" w:eastAsia="仿宋_GB2312"/>
          <w:b w:val="0"/>
          <w:sz w:val="32"/>
        </w:rPr>
        <w:t>2024年度政府采购支出总额3.62万元，其中：政府采购货物支出2.51万元、政府采购工程支出0.00万元、政府采购服务支出1.11万元。</w:t>
      </w:r>
    </w:p>
    <w:p w14:paraId="36581B8B">
      <w:pPr>
        <w:spacing w:line="580" w:lineRule="exact"/>
        <w:ind w:firstLine="640"/>
        <w:jc w:val="both"/>
      </w:pPr>
      <w:r>
        <w:rPr>
          <w:rFonts w:ascii="仿宋_GB2312" w:hAnsi="仿宋_GB2312" w:eastAsia="仿宋_GB2312"/>
          <w:b w:val="0"/>
          <w:sz w:val="32"/>
        </w:rPr>
        <w:t>授予中小企业合同金额3.62万元，占政府采购支出总额的100.00%，其中：授予小微企业合同金额3.62万元，占政府采购支出总额的100.00%。</w:t>
      </w:r>
    </w:p>
    <w:p w14:paraId="2491E3A5">
      <w:pPr>
        <w:spacing w:line="640" w:lineRule="exact"/>
        <w:ind w:firstLine="640"/>
        <w:jc w:val="both"/>
        <w:outlineLvl w:val="3"/>
      </w:pPr>
      <w:r>
        <w:rPr>
          <w:rFonts w:ascii="楷体_GB2312" w:hAnsi="楷体_GB2312" w:eastAsia="楷体_GB2312"/>
          <w:b/>
          <w:sz w:val="32"/>
        </w:rPr>
        <w:t>（三）国有资产占用情况说明</w:t>
      </w:r>
    </w:p>
    <w:p w14:paraId="1E445F58">
      <w:pPr>
        <w:spacing w:line="580" w:lineRule="exact"/>
        <w:ind w:firstLine="640"/>
        <w:jc w:val="both"/>
      </w:pPr>
      <w:r>
        <w:rPr>
          <w:rFonts w:ascii="仿宋_GB2312" w:hAnsi="仿宋_GB2312" w:eastAsia="仿宋_GB2312"/>
          <w:b w:val="0"/>
          <w:sz w:val="32"/>
        </w:rPr>
        <w:t>截至2024年12月31日，房屋802.00平方米，价值86.60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1D0B9068">
      <w:pPr>
        <w:spacing w:line="640" w:lineRule="exact"/>
        <w:ind w:firstLine="640"/>
        <w:jc w:val="both"/>
        <w:outlineLvl w:val="2"/>
      </w:pPr>
      <w:r>
        <w:rPr>
          <w:rFonts w:ascii="黑体" w:hAnsi="黑体" w:eastAsia="黑体"/>
          <w:sz w:val="32"/>
        </w:rPr>
        <w:t>十一、预算绩效的情况说明</w:t>
      </w:r>
    </w:p>
    <w:p w14:paraId="0C193181">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197.80万元，实际执行总额197.79万元；预算绩效评价项目2个，全年预算数4.45万元，全年执行数4.45万元。预算绩效管理取得的成效：一是领导重视到位：高度重视，主要领导亲自抓，并予以充分的人力、财力保障。责任落实到位：将各项目工作列入年度干部绩效考核实施方案，将各项目工作落实到具体科室、具体岗位、具体个人。二是合理合规使用项目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发现的问题及原因：绩效指标的明确性、可衡量性、相关性还需进一步提升。预算精细化管理还需完善，预算编制管理水平仍有进一步提升的空间。下一步改进措施：进一步健全和完善项目建后管护机制，落实管护经费，明确管护主体和管护责任，建设与管护机制建立同步考虑，同步推进，确保项目运行正常。具体附整体支出绩效自评表，项目支出绩效自评表和评价报告。</w:t>
      </w:r>
    </w:p>
    <w:p w14:paraId="283AF9F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0C7491D">
        <w:tblPrEx>
          <w:tblCellMar>
            <w:top w:w="0" w:type="dxa"/>
            <w:left w:w="108" w:type="dxa"/>
            <w:bottom w:w="0" w:type="dxa"/>
            <w:right w:w="108" w:type="dxa"/>
          </w:tblCellMar>
        </w:tblPrEx>
        <w:tc>
          <w:tcPr>
            <w:tcW w:w="8847" w:type="dxa"/>
            <w:gridSpan w:val="9"/>
            <w:vAlign w:val="center"/>
          </w:tcPr>
          <w:p w14:paraId="7767F6F5">
            <w:pPr>
              <w:jc w:val="center"/>
            </w:pPr>
            <w:r>
              <w:rPr>
                <w:rFonts w:ascii="宋体" w:hAnsi="宋体" w:eastAsia="宋体"/>
                <w:sz w:val="24"/>
              </w:rPr>
              <w:t>单位整体支出绩效自评表</w:t>
            </w:r>
          </w:p>
        </w:tc>
      </w:tr>
      <w:tr w14:paraId="3C5B814E">
        <w:tblPrEx>
          <w:tblCellMar>
            <w:top w:w="0" w:type="dxa"/>
            <w:left w:w="108" w:type="dxa"/>
            <w:bottom w:w="0" w:type="dxa"/>
            <w:right w:w="108" w:type="dxa"/>
          </w:tblCellMar>
        </w:tblPrEx>
        <w:tc>
          <w:tcPr>
            <w:tcW w:w="8847" w:type="dxa"/>
            <w:gridSpan w:val="9"/>
            <w:vAlign w:val="center"/>
          </w:tcPr>
          <w:p w14:paraId="526871BA">
            <w:pPr>
              <w:jc w:val="center"/>
            </w:pPr>
            <w:r>
              <w:rPr>
                <w:rFonts w:ascii="宋体" w:hAnsi="宋体" w:eastAsia="宋体"/>
                <w:sz w:val="24"/>
              </w:rPr>
              <w:t>（2024年度）</w:t>
            </w:r>
          </w:p>
        </w:tc>
      </w:tr>
      <w:tr w14:paraId="10ED3F5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AD916A">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8358782">
            <w:pPr>
              <w:jc w:val="center"/>
            </w:pPr>
            <w:r>
              <w:rPr>
                <w:rFonts w:ascii="宋体" w:hAnsi="宋体" w:eastAsia="宋体"/>
                <w:sz w:val="16"/>
              </w:rPr>
              <w:t>民丰县安迪尔乡中心幼儿园</w:t>
            </w:r>
          </w:p>
        </w:tc>
      </w:tr>
      <w:tr w14:paraId="5D15A18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F7B6A3">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CBFC6">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9A27D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DAE281">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AE4B01">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0174A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D98BE">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0A1B69">
            <w:pPr>
              <w:jc w:val="center"/>
            </w:pPr>
            <w:r>
              <w:rPr>
                <w:rFonts w:ascii="宋体" w:hAnsi="宋体" w:eastAsia="宋体"/>
                <w:sz w:val="16"/>
              </w:rPr>
              <w:t>得分</w:t>
            </w:r>
          </w:p>
        </w:tc>
      </w:tr>
      <w:tr w14:paraId="0F4DAE8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9014B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5BC840">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8E8A5E">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DB812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8AA6CC">
            <w:pPr>
              <w:jc w:val="center"/>
            </w:pPr>
            <w:r>
              <w:rPr>
                <w:rFonts w:ascii="宋体" w:hAnsi="宋体" w:eastAsia="宋体"/>
                <w:sz w:val="16"/>
              </w:rPr>
              <w:t>46.35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45DD13">
            <w:pPr>
              <w:jc w:val="center"/>
            </w:pPr>
            <w:r>
              <w:rPr>
                <w:rFonts w:ascii="宋体" w:hAnsi="宋体" w:eastAsia="宋体"/>
                <w:sz w:val="16"/>
              </w:rPr>
              <w:t>46.35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E4EF6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79EF8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D0B707">
            <w:pPr>
              <w:jc w:val="center"/>
            </w:pPr>
            <w:r>
              <w:rPr>
                <w:rFonts w:ascii="宋体" w:hAnsi="宋体" w:eastAsia="宋体"/>
                <w:sz w:val="16"/>
              </w:rPr>
              <w:t>-</w:t>
            </w:r>
          </w:p>
        </w:tc>
      </w:tr>
      <w:tr w14:paraId="62BE8CC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06C0B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BA29B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13EE41">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AB2C86">
            <w:pPr>
              <w:jc w:val="center"/>
            </w:pPr>
            <w:r>
              <w:rPr>
                <w:rFonts w:ascii="宋体" w:hAnsi="宋体" w:eastAsia="宋体"/>
                <w:sz w:val="16"/>
              </w:rPr>
              <w:t>196.56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8CACA">
            <w:pPr>
              <w:jc w:val="center"/>
            </w:pPr>
            <w:r>
              <w:rPr>
                <w:rFonts w:ascii="宋体" w:hAnsi="宋体" w:eastAsia="宋体"/>
                <w:sz w:val="16"/>
              </w:rPr>
              <w:t>151.45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CB2A76">
            <w:pPr>
              <w:jc w:val="center"/>
            </w:pPr>
            <w:r>
              <w:rPr>
                <w:rFonts w:ascii="宋体" w:hAnsi="宋体" w:eastAsia="宋体"/>
                <w:sz w:val="16"/>
              </w:rPr>
              <w:t>151.44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83FB2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8D2B9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DCC93A">
            <w:pPr>
              <w:jc w:val="center"/>
            </w:pPr>
            <w:r>
              <w:rPr>
                <w:rFonts w:ascii="宋体" w:hAnsi="宋体" w:eastAsia="宋体"/>
                <w:sz w:val="16"/>
              </w:rPr>
              <w:t>-</w:t>
            </w:r>
          </w:p>
        </w:tc>
      </w:tr>
      <w:tr w14:paraId="145D91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81A53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447F3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A96F97">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D0B8A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0E187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4C6EA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EBB99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EDBE0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48CE65">
            <w:pPr>
              <w:jc w:val="center"/>
            </w:pPr>
            <w:r>
              <w:rPr>
                <w:rFonts w:ascii="宋体" w:hAnsi="宋体" w:eastAsia="宋体"/>
                <w:sz w:val="16"/>
              </w:rPr>
              <w:t>-</w:t>
            </w:r>
          </w:p>
        </w:tc>
      </w:tr>
      <w:tr w14:paraId="6FE6B50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C613B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24BADC">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DAB89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99B0EF">
            <w:pPr>
              <w:jc w:val="center"/>
            </w:pPr>
            <w:r>
              <w:rPr>
                <w:rFonts w:ascii="宋体" w:hAnsi="宋体" w:eastAsia="宋体"/>
                <w:sz w:val="16"/>
              </w:rPr>
              <w:t>196.56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71C647">
            <w:pPr>
              <w:jc w:val="center"/>
            </w:pPr>
            <w:r>
              <w:rPr>
                <w:rFonts w:ascii="宋体" w:hAnsi="宋体" w:eastAsia="宋体"/>
                <w:sz w:val="16"/>
              </w:rPr>
              <w:t>197.80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E89B4">
            <w:pPr>
              <w:jc w:val="center"/>
            </w:pPr>
            <w:r>
              <w:rPr>
                <w:rFonts w:ascii="宋体" w:hAnsi="宋体" w:eastAsia="宋体"/>
                <w:sz w:val="16"/>
              </w:rPr>
              <w:t>197.79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1451D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0CF577">
            <w:pPr>
              <w:jc w:val="center"/>
            </w:pPr>
            <w:r>
              <w:rPr>
                <w:rFonts w:ascii="宋体" w:hAnsi="宋体" w:eastAsia="宋体"/>
                <w:sz w:val="16"/>
              </w:rPr>
              <w:t>99.99%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7F9A7B">
            <w:pPr>
              <w:jc w:val="center"/>
            </w:pPr>
            <w:r>
              <w:rPr>
                <w:rFonts w:ascii="宋体" w:hAnsi="宋体" w:eastAsia="宋体"/>
                <w:sz w:val="16"/>
              </w:rPr>
              <w:t>10</w:t>
            </w:r>
          </w:p>
        </w:tc>
      </w:tr>
      <w:tr w14:paraId="2A4F8EB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15EE6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7B2A2AE">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B2C963">
            <w:pPr>
              <w:jc w:val="center"/>
            </w:pPr>
            <w:r>
              <w:rPr>
                <w:rFonts w:ascii="宋体" w:hAnsi="宋体" w:eastAsia="宋体"/>
                <w:sz w:val="16"/>
              </w:rPr>
              <w:t>实际完成情况</w:t>
            </w:r>
          </w:p>
        </w:tc>
      </w:tr>
      <w:tr w14:paraId="4ED2142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68D95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A06324F">
            <w:pPr>
              <w:jc w:val="both"/>
            </w:pPr>
            <w:r>
              <w:rPr>
                <w:rFonts w:ascii="宋体" w:hAnsi="宋体" w:eastAsia="宋体"/>
                <w:sz w:val="16"/>
              </w:rPr>
              <w:t>目标1:保障幼儿人数64人，教师人数9名；</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目标2：维护学校的教学秩序，为学生创造良好的学习环境；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目标3：积极稳妥地推进教育改革，按教育规律办事，不断提高教育质量；                                 目标4：根据学校规模，设置学校管理机构，建立健全各项规章制度和岗位责任制；</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87A179">
            <w:pPr>
              <w:jc w:val="both"/>
            </w:pPr>
            <w:r>
              <w:rPr>
                <w:rFonts w:ascii="宋体" w:hAnsi="宋体" w:eastAsia="宋体"/>
                <w:sz w:val="16"/>
              </w:rPr>
              <w:t>截至2024年12月31日，</w:t>
            </w:r>
            <w:r>
              <w:rPr>
                <w:rFonts w:hint="eastAsia" w:ascii="宋体" w:hAnsi="宋体"/>
                <w:sz w:val="16"/>
                <w:lang w:eastAsia="zh-CN"/>
              </w:rPr>
              <w:t>本单位</w:t>
            </w:r>
            <w:r>
              <w:rPr>
                <w:rFonts w:ascii="宋体" w:hAnsi="宋体" w:eastAsia="宋体"/>
                <w:sz w:val="16"/>
              </w:rPr>
              <w:t>共计支出197.79万元，预算执行率99.99%。</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保障本幼儿园2所幼儿园教学业务与管理，保证各学校正常运转，保障本校43名学生按时入学，做好中小学校园体制改革工作，实现教育均衡发展，深化平安校园建设；坚持以习近平新时代中国特色社会主义思想为指导，深入贯彻党的二十大精神，贯彻落实中央、自治区党委、地区及县财政部署的各项工作决定和安排，充分发挥教育经费保障教育发展、推动教育改革、推进教育公平，优化整合职业教育，人才培养引进以及义务教育均衡发展等重点工作，进一步优化结构、深化改革、强化监管 ，花好每一分钱，把教育经费用到最关键处，切实提高教育经费使用效益。实施学前教育重点项目，提高城乡义务教育学生营养餐补助及家庭经济困</w:t>
            </w:r>
            <w:r>
              <w:rPr>
                <w:rFonts w:hint="eastAsia" w:ascii="宋体" w:hAnsi="宋体"/>
                <w:sz w:val="16"/>
                <w:lang w:eastAsia="zh-CN"/>
              </w:rPr>
              <w:t>难学</w:t>
            </w:r>
            <w:r>
              <w:rPr>
                <w:rFonts w:ascii="宋体" w:hAnsi="宋体" w:eastAsia="宋体"/>
                <w:sz w:val="16"/>
              </w:rPr>
              <w:t>生生活补助经费保障水平 ，完善城乡学前教育经费保障机制，保障幼儿园正常运转，保证学校校舍安全。</w:t>
            </w:r>
          </w:p>
        </w:tc>
      </w:tr>
      <w:tr w14:paraId="081E481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0D91E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C8A5C3">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FDD5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3331B7">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9B4CB3">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C76942">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3CD701">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754ECB">
            <w:pPr>
              <w:jc w:val="center"/>
            </w:pPr>
            <w:r>
              <w:rPr>
                <w:rFonts w:ascii="宋体" w:hAnsi="宋体" w:eastAsia="宋体"/>
                <w:sz w:val="16"/>
              </w:rPr>
              <w:t>得分</w:t>
            </w:r>
          </w:p>
        </w:tc>
      </w:tr>
      <w:tr w14:paraId="36F1F4A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3F0EBE">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DDDBDA">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91275">
            <w:pPr>
              <w:jc w:val="center"/>
            </w:pPr>
            <w:r>
              <w:rPr>
                <w:rFonts w:ascii="宋体" w:hAnsi="宋体" w:eastAsia="宋体"/>
                <w:sz w:val="16"/>
              </w:rPr>
              <w:t>保障幼儿人数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8786DF">
            <w:pPr>
              <w:jc w:val="center"/>
            </w:pPr>
            <w:r>
              <w:rPr>
                <w:rFonts w:ascii="宋体" w:hAnsi="宋体" w:eastAsia="宋体"/>
                <w:sz w:val="16"/>
              </w:rPr>
              <w:t>&gt;=64人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254B4B">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48F7E5">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C3F350">
            <w:pPr>
              <w:jc w:val="center"/>
            </w:pPr>
            <w:r>
              <w:rPr>
                <w:rFonts w:ascii="宋体" w:hAnsi="宋体" w:eastAsia="宋体"/>
                <w:sz w:val="16"/>
              </w:rPr>
              <w:t>43人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C9DE25">
            <w:pPr>
              <w:jc w:val="center"/>
            </w:pPr>
            <w:r>
              <w:rPr>
                <w:rFonts w:ascii="宋体" w:hAnsi="宋体" w:eastAsia="宋体"/>
                <w:sz w:val="16"/>
              </w:rPr>
              <w:t>20</w:t>
            </w:r>
          </w:p>
        </w:tc>
      </w:tr>
      <w:tr w14:paraId="3D5FE02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D7456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2875E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D469F">
            <w:pPr>
              <w:jc w:val="center"/>
            </w:pPr>
            <w:r>
              <w:rPr>
                <w:rFonts w:ascii="宋体" w:hAnsi="宋体" w:eastAsia="宋体"/>
                <w:sz w:val="16"/>
              </w:rPr>
              <w:t>保障教师人数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3957C5">
            <w:pPr>
              <w:jc w:val="center"/>
            </w:pPr>
            <w:r>
              <w:rPr>
                <w:rFonts w:ascii="宋体" w:hAnsi="宋体" w:eastAsia="宋体"/>
                <w:sz w:val="16"/>
              </w:rPr>
              <w:t>&gt;=9人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838CD4">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5FEEAB">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590EFC">
            <w:pPr>
              <w:jc w:val="center"/>
            </w:pPr>
            <w:r>
              <w:rPr>
                <w:rFonts w:ascii="宋体" w:hAnsi="宋体" w:eastAsia="宋体"/>
                <w:sz w:val="16"/>
              </w:rPr>
              <w:t>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5908D">
            <w:pPr>
              <w:jc w:val="center"/>
            </w:pPr>
            <w:r>
              <w:rPr>
                <w:rFonts w:ascii="宋体" w:hAnsi="宋体" w:eastAsia="宋体"/>
                <w:sz w:val="16"/>
              </w:rPr>
              <w:t>30</w:t>
            </w:r>
          </w:p>
        </w:tc>
      </w:tr>
      <w:tr w14:paraId="2B2588B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B3330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4425B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225E0">
            <w:pPr>
              <w:jc w:val="center"/>
            </w:pPr>
            <w:r>
              <w:rPr>
                <w:rFonts w:ascii="宋体" w:hAnsi="宋体" w:eastAsia="宋体"/>
                <w:sz w:val="16"/>
              </w:rPr>
              <w:t>补助覆盖率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8BF4A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DAAD26">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A3F57E">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D199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1C2380">
            <w:pPr>
              <w:jc w:val="center"/>
            </w:pPr>
            <w:r>
              <w:rPr>
                <w:rFonts w:ascii="宋体" w:hAnsi="宋体" w:eastAsia="宋体"/>
                <w:sz w:val="16"/>
              </w:rPr>
              <w:t>30</w:t>
            </w:r>
          </w:p>
        </w:tc>
      </w:tr>
    </w:tbl>
    <w:p w14:paraId="5848E12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1016"/>
        <w:gridCol w:w="983"/>
        <w:gridCol w:w="983"/>
        <w:gridCol w:w="983"/>
        <w:gridCol w:w="983"/>
      </w:tblGrid>
      <w:tr w14:paraId="22560C98">
        <w:tblPrEx>
          <w:tblCellMar>
            <w:top w:w="0" w:type="dxa"/>
            <w:left w:w="108" w:type="dxa"/>
            <w:bottom w:w="0" w:type="dxa"/>
            <w:right w:w="108" w:type="dxa"/>
          </w:tblCellMar>
        </w:tblPrEx>
        <w:tc>
          <w:tcPr>
            <w:tcW w:w="8847" w:type="dxa"/>
            <w:gridSpan w:val="9"/>
            <w:vAlign w:val="center"/>
          </w:tcPr>
          <w:p w14:paraId="65B7D893">
            <w:pPr>
              <w:jc w:val="center"/>
            </w:pPr>
            <w:r>
              <w:rPr>
                <w:rFonts w:ascii="宋体" w:hAnsi="宋体" w:eastAsia="宋体"/>
                <w:sz w:val="24"/>
              </w:rPr>
              <w:t>项目支出绩效自评表</w:t>
            </w:r>
          </w:p>
        </w:tc>
      </w:tr>
      <w:tr w14:paraId="5C239C0F">
        <w:tblPrEx>
          <w:tblCellMar>
            <w:top w:w="0" w:type="dxa"/>
            <w:left w:w="108" w:type="dxa"/>
            <w:bottom w:w="0" w:type="dxa"/>
            <w:right w:w="108" w:type="dxa"/>
          </w:tblCellMar>
        </w:tblPrEx>
        <w:tc>
          <w:tcPr>
            <w:tcW w:w="8847" w:type="dxa"/>
            <w:gridSpan w:val="9"/>
            <w:vAlign w:val="center"/>
          </w:tcPr>
          <w:p w14:paraId="347B6441">
            <w:pPr>
              <w:jc w:val="center"/>
            </w:pPr>
            <w:r>
              <w:rPr>
                <w:rFonts w:ascii="宋体" w:hAnsi="宋体" w:eastAsia="宋体"/>
                <w:sz w:val="24"/>
              </w:rPr>
              <w:t>(2024年度)</w:t>
            </w:r>
          </w:p>
        </w:tc>
      </w:tr>
      <w:tr w14:paraId="423EEEE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8E3025">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34E925A">
            <w:pPr>
              <w:jc w:val="center"/>
            </w:pPr>
            <w:r>
              <w:rPr>
                <w:rFonts w:ascii="宋体" w:hAnsi="宋体" w:eastAsia="宋体"/>
                <w:sz w:val="16"/>
              </w:rPr>
              <w:t>2023年自治区农村学前三年免费教育保障经费 和地财教</w:t>
            </w:r>
            <w:r>
              <w:rPr>
                <w:rFonts w:hint="eastAsia" w:ascii="宋体" w:hAnsi="宋体"/>
                <w:sz w:val="16"/>
                <w:lang w:eastAsia="zh-CN"/>
              </w:rPr>
              <w:t>〔2023〕42号</w:t>
            </w:r>
            <w:r>
              <w:rPr>
                <w:rFonts w:ascii="宋体" w:hAnsi="宋体" w:eastAsia="宋体"/>
                <w:sz w:val="16"/>
              </w:rPr>
              <w:t>（伙食费）（结转）</w:t>
            </w:r>
          </w:p>
        </w:tc>
      </w:tr>
      <w:tr w14:paraId="2EDCC58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CC8C6A">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45AA824">
            <w:pPr>
              <w:jc w:val="center"/>
            </w:pPr>
            <w:r>
              <w:rPr>
                <w:rFonts w:ascii="宋体" w:hAnsi="宋体" w:eastAsia="宋体"/>
                <w:sz w:val="16"/>
              </w:rPr>
              <w:t>民丰县安迪尔乡中心幼儿园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557A73">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79D80BA">
            <w:pPr>
              <w:jc w:val="center"/>
            </w:pPr>
            <w:r>
              <w:rPr>
                <w:rFonts w:ascii="宋体" w:hAnsi="宋体" w:eastAsia="宋体"/>
                <w:sz w:val="16"/>
              </w:rPr>
              <w:t>民丰县安迪尔乡中心幼儿园</w:t>
            </w:r>
          </w:p>
        </w:tc>
      </w:tr>
      <w:tr w14:paraId="51EB748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F07ECB">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F2AC6">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A4F37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937734">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3C1014">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A476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C2AA71">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A7C7A8">
            <w:pPr>
              <w:jc w:val="center"/>
            </w:pPr>
            <w:r>
              <w:rPr>
                <w:rFonts w:ascii="宋体" w:hAnsi="宋体" w:eastAsia="宋体"/>
                <w:sz w:val="16"/>
              </w:rPr>
              <w:t>得分</w:t>
            </w:r>
          </w:p>
        </w:tc>
      </w:tr>
      <w:tr w14:paraId="5C0C774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C2D3A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D9CC75">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4787D">
            <w:pPr>
              <w:jc w:val="center"/>
            </w:pPr>
            <w:r>
              <w:rPr>
                <w:rFonts w:ascii="宋体" w:hAnsi="宋体" w:eastAsia="宋体"/>
                <w:sz w:val="16"/>
              </w:rPr>
              <w:t>1.15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BEE29A">
            <w:pPr>
              <w:jc w:val="center"/>
            </w:pPr>
            <w:r>
              <w:rPr>
                <w:rFonts w:ascii="宋体" w:hAnsi="宋体" w:eastAsia="宋体"/>
                <w:sz w:val="16"/>
              </w:rPr>
              <w:t>1.15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9AF6B">
            <w:pPr>
              <w:jc w:val="center"/>
            </w:pPr>
            <w:r>
              <w:rPr>
                <w:rFonts w:ascii="宋体" w:hAnsi="宋体" w:eastAsia="宋体"/>
                <w:sz w:val="16"/>
              </w:rPr>
              <w:t>1.15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24871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5259FB">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F4EABA">
            <w:pPr>
              <w:jc w:val="center"/>
            </w:pPr>
            <w:r>
              <w:rPr>
                <w:rFonts w:ascii="宋体" w:hAnsi="宋体" w:eastAsia="宋体"/>
                <w:sz w:val="16"/>
              </w:rPr>
              <w:t>10.00分</w:t>
            </w:r>
          </w:p>
        </w:tc>
      </w:tr>
      <w:tr w14:paraId="120528A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B86D3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1557C">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92E46">
            <w:pPr>
              <w:jc w:val="center"/>
            </w:pPr>
            <w:r>
              <w:rPr>
                <w:rFonts w:ascii="宋体" w:hAnsi="宋体" w:eastAsia="宋体"/>
                <w:sz w:val="16"/>
              </w:rPr>
              <w:t>1.15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BE37C8">
            <w:pPr>
              <w:jc w:val="center"/>
            </w:pPr>
            <w:r>
              <w:rPr>
                <w:rFonts w:ascii="宋体" w:hAnsi="宋体" w:eastAsia="宋体"/>
                <w:sz w:val="16"/>
              </w:rPr>
              <w:t>1.15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11CFC7">
            <w:pPr>
              <w:jc w:val="center"/>
            </w:pPr>
            <w:r>
              <w:rPr>
                <w:rFonts w:ascii="宋体" w:hAnsi="宋体" w:eastAsia="宋体"/>
                <w:sz w:val="16"/>
              </w:rPr>
              <w:t>1.15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10C97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352C5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B3898D">
            <w:pPr>
              <w:jc w:val="center"/>
            </w:pPr>
            <w:r>
              <w:rPr>
                <w:rFonts w:ascii="宋体" w:hAnsi="宋体" w:eastAsia="宋体"/>
                <w:sz w:val="16"/>
              </w:rPr>
              <w:t>—</w:t>
            </w:r>
          </w:p>
        </w:tc>
      </w:tr>
      <w:tr w14:paraId="3B23AED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EDCAE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8CA5A">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BD346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C74B1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38730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786E1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E4A3B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696500">
            <w:pPr>
              <w:jc w:val="center"/>
            </w:pPr>
            <w:r>
              <w:rPr>
                <w:rFonts w:ascii="宋体" w:hAnsi="宋体" w:eastAsia="宋体"/>
                <w:sz w:val="16"/>
              </w:rPr>
              <w:t>—</w:t>
            </w:r>
          </w:p>
        </w:tc>
      </w:tr>
      <w:tr w14:paraId="7CC395C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A230D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59866">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007E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09B8B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C30F8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8B4C0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7948B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FA79FA">
            <w:pPr>
              <w:jc w:val="center"/>
            </w:pPr>
            <w:r>
              <w:rPr>
                <w:rFonts w:ascii="宋体" w:hAnsi="宋体" w:eastAsia="宋体"/>
                <w:sz w:val="16"/>
              </w:rPr>
              <w:t>—</w:t>
            </w:r>
          </w:p>
        </w:tc>
      </w:tr>
      <w:tr w14:paraId="7B6D839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C1C18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016ACB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466BBB">
            <w:pPr>
              <w:jc w:val="center"/>
            </w:pPr>
            <w:r>
              <w:rPr>
                <w:rFonts w:ascii="宋体" w:hAnsi="宋体" w:eastAsia="宋体"/>
                <w:sz w:val="16"/>
              </w:rPr>
              <w:t>实际完成情况</w:t>
            </w:r>
          </w:p>
        </w:tc>
      </w:tr>
      <w:tr w14:paraId="164546B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2D5451"/>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1D41FA0">
            <w:pPr>
              <w:jc w:val="both"/>
            </w:pPr>
            <w:r>
              <w:rPr>
                <w:rFonts w:ascii="宋体" w:hAnsi="宋体" w:eastAsia="宋体"/>
                <w:sz w:val="16"/>
              </w:rPr>
              <w:t>根据和地财教</w:t>
            </w:r>
            <w:r>
              <w:rPr>
                <w:rFonts w:hint="eastAsia" w:ascii="宋体" w:hAnsi="宋体"/>
                <w:sz w:val="16"/>
                <w:lang w:eastAsia="zh-CN"/>
              </w:rPr>
              <w:t>〔2023〕42号</w:t>
            </w:r>
            <w:r>
              <w:rPr>
                <w:rFonts w:ascii="宋体" w:hAnsi="宋体" w:eastAsia="宋体"/>
                <w:sz w:val="16"/>
              </w:rPr>
              <w:t>文件实施项目，实施内容：保障我县2</w:t>
            </w:r>
            <w:r>
              <w:rPr>
                <w:rFonts w:hint="eastAsia" w:ascii="宋体" w:hAnsi="宋体"/>
                <w:sz w:val="16"/>
                <w:lang w:eastAsia="zh-CN"/>
              </w:rPr>
              <w:t>所</w:t>
            </w:r>
            <w:r>
              <w:rPr>
                <w:rFonts w:ascii="宋体" w:hAnsi="宋体" w:eastAsia="宋体"/>
                <w:sz w:val="16"/>
              </w:rPr>
              <w:t>幼儿园64人在校期间正常学习。通过项目实施，减轻学前教育困难家庭幼儿生活负担，促进教育资源公平均衡配置。</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B6A432">
            <w:pPr>
              <w:jc w:val="both"/>
            </w:pPr>
            <w:r>
              <w:rPr>
                <w:rFonts w:ascii="宋体" w:hAnsi="宋体" w:eastAsia="宋体"/>
                <w:sz w:val="16"/>
              </w:rPr>
              <w:t>截至目前，该项目已完成民丰县安迪尔乡中心幼儿园有2所幼儿园，受补助学生人数43人。通过项目的实施，提升学生身体素质，减轻学生家庭负担，促进教育公平。</w:t>
            </w:r>
          </w:p>
        </w:tc>
      </w:tr>
      <w:tr w14:paraId="5FD8FCA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ADFCF8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00EF6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27EDB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5C3BF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0EBAAA">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C667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B2574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6EA34">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82720">
            <w:pPr>
              <w:jc w:val="center"/>
            </w:pPr>
            <w:r>
              <w:rPr>
                <w:rFonts w:ascii="宋体" w:hAnsi="宋体" w:eastAsia="宋体"/>
                <w:sz w:val="16"/>
              </w:rPr>
              <w:t>偏差原因分析及改进措施</w:t>
            </w:r>
          </w:p>
        </w:tc>
      </w:tr>
      <w:tr w14:paraId="3D4B1BC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0A4E08">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05604F">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39F54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61344D">
            <w:pPr>
              <w:jc w:val="center"/>
            </w:pPr>
            <w:r>
              <w:rPr>
                <w:rFonts w:ascii="宋体" w:hAnsi="宋体" w:eastAsia="宋体"/>
                <w:sz w:val="16"/>
              </w:rPr>
              <w:t>保障幼儿园数量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8FD8CB">
            <w:pPr>
              <w:jc w:val="center"/>
            </w:pPr>
            <w:r>
              <w:rPr>
                <w:rFonts w:ascii="宋体" w:hAnsi="宋体" w:eastAsia="宋体"/>
                <w:sz w:val="16"/>
              </w:rPr>
              <w:t>=2所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FDE51">
            <w:pPr>
              <w:jc w:val="center"/>
            </w:pPr>
            <w:r>
              <w:rPr>
                <w:rFonts w:ascii="宋体" w:hAnsi="宋体" w:eastAsia="宋体"/>
                <w:sz w:val="16"/>
              </w:rPr>
              <w:t>=2所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26A6F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11D5C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AE0751">
            <w:pPr>
              <w:jc w:val="center"/>
            </w:pPr>
          </w:p>
        </w:tc>
      </w:tr>
      <w:tr w14:paraId="6E283F4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AB2AF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B8C69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08042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FA4FD5">
            <w:pPr>
              <w:jc w:val="center"/>
            </w:pPr>
            <w:r>
              <w:rPr>
                <w:rFonts w:ascii="宋体" w:hAnsi="宋体" w:eastAsia="宋体"/>
                <w:sz w:val="16"/>
              </w:rPr>
              <w:t>学生伙食补助天数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07F119">
            <w:pPr>
              <w:jc w:val="center"/>
            </w:pPr>
            <w:r>
              <w:rPr>
                <w:rFonts w:ascii="宋体" w:hAnsi="宋体" w:eastAsia="宋体"/>
                <w:sz w:val="16"/>
              </w:rPr>
              <w:t>&gt;=220天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35B0E5">
            <w:pPr>
              <w:jc w:val="center"/>
            </w:pPr>
            <w:r>
              <w:rPr>
                <w:rFonts w:ascii="宋体" w:hAnsi="宋体" w:eastAsia="宋体"/>
                <w:sz w:val="16"/>
              </w:rPr>
              <w:t>=220天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E6CE4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DF914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B1488C">
            <w:pPr>
              <w:jc w:val="center"/>
            </w:pPr>
          </w:p>
        </w:tc>
      </w:tr>
      <w:tr w14:paraId="1D850A7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EA8FB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AC3B6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9C346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E73EDD">
            <w:pPr>
              <w:jc w:val="center"/>
            </w:pPr>
            <w:r>
              <w:rPr>
                <w:rFonts w:ascii="宋体" w:hAnsi="宋体" w:eastAsia="宋体"/>
                <w:sz w:val="16"/>
              </w:rPr>
              <w:t>保障幼儿人数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F1910B">
            <w:pPr>
              <w:jc w:val="center"/>
            </w:pPr>
            <w:r>
              <w:rPr>
                <w:rFonts w:ascii="宋体" w:hAnsi="宋体" w:eastAsia="宋体"/>
                <w:sz w:val="16"/>
              </w:rPr>
              <w:t>&gt;=64人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8E432E">
            <w:pPr>
              <w:jc w:val="center"/>
            </w:pPr>
            <w:r>
              <w:rPr>
                <w:rFonts w:ascii="宋体" w:hAnsi="宋体" w:eastAsia="宋体"/>
                <w:sz w:val="16"/>
              </w:rPr>
              <w:t>=43人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9C1E7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088377">
            <w:pPr>
              <w:jc w:val="center"/>
            </w:pPr>
            <w:r>
              <w:rPr>
                <w:rFonts w:ascii="宋体" w:hAnsi="宋体" w:eastAsia="宋体"/>
                <w:sz w:val="16"/>
              </w:rPr>
              <w:t>1.44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D5677D">
            <w:pPr>
              <w:jc w:val="center"/>
            </w:pPr>
            <w:r>
              <w:rPr>
                <w:rFonts w:ascii="宋体" w:hAnsi="宋体" w:eastAsia="宋体"/>
                <w:sz w:val="16"/>
              </w:rPr>
              <w:t>原因：人数按实际需求存在变动，人数减少。措施：加强年初预算精准度</w:t>
            </w:r>
          </w:p>
        </w:tc>
      </w:tr>
      <w:tr w14:paraId="564758F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37118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866B2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DBCA0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DBDEA">
            <w:pPr>
              <w:jc w:val="center"/>
            </w:pPr>
            <w:r>
              <w:rPr>
                <w:rFonts w:ascii="宋体" w:hAnsi="宋体" w:eastAsia="宋体"/>
                <w:sz w:val="16"/>
              </w:rPr>
              <w:t>补助发放覆盖率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353B3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07940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BC932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F28D8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BD899E">
            <w:pPr>
              <w:jc w:val="center"/>
            </w:pPr>
          </w:p>
        </w:tc>
      </w:tr>
      <w:tr w14:paraId="383CB8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8AF7D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79356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814168">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276FDC">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8D51C9">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BECC6C">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3EEA9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46DF0">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C919C9">
            <w:pPr>
              <w:jc w:val="center"/>
            </w:pPr>
          </w:p>
        </w:tc>
      </w:tr>
      <w:tr w14:paraId="03E7DE4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C5A33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CB57F8">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C35ABE">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56A5CA">
            <w:pPr>
              <w:jc w:val="center"/>
            </w:pPr>
            <w:r>
              <w:rPr>
                <w:rFonts w:ascii="宋体" w:hAnsi="宋体" w:eastAsia="宋体"/>
                <w:sz w:val="16"/>
              </w:rPr>
              <w:t>人均伙食费用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AFEC1">
            <w:pPr>
              <w:jc w:val="center"/>
            </w:pPr>
            <w:r>
              <w:rPr>
                <w:rFonts w:ascii="宋体" w:hAnsi="宋体" w:eastAsia="宋体"/>
                <w:sz w:val="16"/>
              </w:rPr>
              <w:t>&lt;=179.6875元/人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7E2F6A">
            <w:pPr>
              <w:jc w:val="center"/>
            </w:pPr>
            <w:r>
              <w:rPr>
                <w:rFonts w:ascii="宋体" w:hAnsi="宋体" w:eastAsia="宋体"/>
                <w:sz w:val="16"/>
              </w:rPr>
              <w:t>=179.68元/人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6DE83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A00B8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F98B69">
            <w:pPr>
              <w:jc w:val="center"/>
            </w:pPr>
          </w:p>
        </w:tc>
      </w:tr>
      <w:tr w14:paraId="04B9FBC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6D58B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A23C5A">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FE3B9">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8C12BA">
            <w:pPr>
              <w:jc w:val="center"/>
            </w:pPr>
            <w:r>
              <w:rPr>
                <w:rFonts w:ascii="宋体" w:hAnsi="宋体" w:eastAsia="宋体"/>
                <w:sz w:val="16"/>
              </w:rPr>
              <w:t>减轻学前教育困难家庭幼儿生活负担</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227AC3">
            <w:pPr>
              <w:jc w:val="center"/>
            </w:pPr>
            <w:r>
              <w:rPr>
                <w:rFonts w:ascii="宋体" w:hAnsi="宋体" w:eastAsia="宋体"/>
                <w:sz w:val="16"/>
              </w:rPr>
              <w:t>有效减轻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37DE83">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B631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DD2D8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166BE8">
            <w:pPr>
              <w:jc w:val="center"/>
            </w:pPr>
          </w:p>
        </w:tc>
      </w:tr>
      <w:tr w14:paraId="7480467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E47AF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F4494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56AFF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97743C">
            <w:pPr>
              <w:jc w:val="center"/>
            </w:pPr>
            <w:r>
              <w:rPr>
                <w:rFonts w:ascii="宋体" w:hAnsi="宋体" w:eastAsia="宋体"/>
                <w:sz w:val="16"/>
              </w:rPr>
              <w:t>受益幼儿园学生满意度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B98E29">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8499DA">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3FBC0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4E6B6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3F1AF0">
            <w:pPr>
              <w:jc w:val="center"/>
            </w:pPr>
          </w:p>
        </w:tc>
      </w:tr>
      <w:tr w14:paraId="4616EFAD">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C2B7BA">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8ADD2A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2E56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95B76B">
            <w:pPr>
              <w:jc w:val="center"/>
            </w:pPr>
            <w:r>
              <w:rPr>
                <w:rFonts w:ascii="宋体" w:hAnsi="宋体" w:eastAsia="宋体"/>
                <w:sz w:val="16"/>
              </w:rPr>
              <w:t>93.44分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ADAD125"/>
        </w:tc>
      </w:tr>
    </w:tbl>
    <w:p w14:paraId="79AF275E">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AD1B854">
        <w:tblPrEx>
          <w:tblCellMar>
            <w:top w:w="0" w:type="dxa"/>
            <w:left w:w="108" w:type="dxa"/>
            <w:bottom w:w="0" w:type="dxa"/>
            <w:right w:w="108" w:type="dxa"/>
          </w:tblCellMar>
        </w:tblPrEx>
        <w:tc>
          <w:tcPr>
            <w:tcW w:w="8847" w:type="dxa"/>
            <w:gridSpan w:val="9"/>
            <w:vAlign w:val="center"/>
          </w:tcPr>
          <w:p w14:paraId="1D5BAC4A">
            <w:pPr>
              <w:jc w:val="center"/>
            </w:pPr>
            <w:r>
              <w:rPr>
                <w:rFonts w:ascii="宋体" w:hAnsi="宋体" w:eastAsia="宋体"/>
                <w:sz w:val="24"/>
              </w:rPr>
              <w:t>项目支出绩效自评表</w:t>
            </w:r>
          </w:p>
        </w:tc>
      </w:tr>
      <w:tr w14:paraId="5022F9FA">
        <w:tblPrEx>
          <w:tblCellMar>
            <w:top w:w="0" w:type="dxa"/>
            <w:left w:w="108" w:type="dxa"/>
            <w:bottom w:w="0" w:type="dxa"/>
            <w:right w:w="108" w:type="dxa"/>
          </w:tblCellMar>
        </w:tblPrEx>
        <w:tc>
          <w:tcPr>
            <w:tcW w:w="8847" w:type="dxa"/>
            <w:gridSpan w:val="9"/>
            <w:vAlign w:val="center"/>
          </w:tcPr>
          <w:p w14:paraId="7117D320">
            <w:pPr>
              <w:jc w:val="center"/>
            </w:pPr>
            <w:r>
              <w:rPr>
                <w:rFonts w:ascii="宋体" w:hAnsi="宋体" w:eastAsia="宋体"/>
                <w:sz w:val="24"/>
              </w:rPr>
              <w:t>(2024年度)</w:t>
            </w:r>
          </w:p>
        </w:tc>
      </w:tr>
      <w:tr w14:paraId="344E44A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CF62BA">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C1845E6">
            <w:pPr>
              <w:jc w:val="center"/>
            </w:pPr>
            <w:r>
              <w:rPr>
                <w:rFonts w:ascii="宋体" w:hAnsi="宋体" w:eastAsia="宋体"/>
                <w:sz w:val="16"/>
              </w:rPr>
              <w:t>县配套学前教育经费</w:t>
            </w:r>
          </w:p>
        </w:tc>
      </w:tr>
      <w:tr w14:paraId="421F7F6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352F81">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E36889B">
            <w:pPr>
              <w:jc w:val="center"/>
            </w:pPr>
            <w:r>
              <w:rPr>
                <w:rFonts w:ascii="宋体" w:hAnsi="宋体" w:eastAsia="宋体"/>
                <w:sz w:val="16"/>
              </w:rPr>
              <w:t>民丰县安迪尔乡中心幼儿园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399EAA">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0FCE5E1">
            <w:pPr>
              <w:jc w:val="center"/>
            </w:pPr>
            <w:r>
              <w:rPr>
                <w:rFonts w:ascii="宋体" w:hAnsi="宋体" w:eastAsia="宋体"/>
                <w:sz w:val="16"/>
              </w:rPr>
              <w:t>民丰县安迪尔乡中心幼儿园</w:t>
            </w:r>
          </w:p>
        </w:tc>
      </w:tr>
      <w:tr w14:paraId="3809CBE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DECDF6">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277A0">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8808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F741A">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038C05">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3035C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589856">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BE56D3">
            <w:pPr>
              <w:jc w:val="center"/>
            </w:pPr>
            <w:r>
              <w:rPr>
                <w:rFonts w:ascii="宋体" w:hAnsi="宋体" w:eastAsia="宋体"/>
                <w:sz w:val="16"/>
              </w:rPr>
              <w:t>得分</w:t>
            </w:r>
          </w:p>
        </w:tc>
      </w:tr>
      <w:tr w14:paraId="3C075AE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EBA38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E657F">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B1C758">
            <w:pPr>
              <w:jc w:val="center"/>
            </w:pPr>
            <w:r>
              <w:rPr>
                <w:rFonts w:ascii="宋体" w:hAnsi="宋体" w:eastAsia="宋体"/>
                <w:sz w:val="16"/>
              </w:rPr>
              <w:t>3.30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E99773">
            <w:pPr>
              <w:jc w:val="center"/>
            </w:pPr>
            <w:r>
              <w:rPr>
                <w:rFonts w:ascii="宋体" w:hAnsi="宋体" w:eastAsia="宋体"/>
                <w:sz w:val="16"/>
              </w:rPr>
              <w:t>3.30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5A053B">
            <w:pPr>
              <w:jc w:val="center"/>
            </w:pPr>
            <w:r>
              <w:rPr>
                <w:rFonts w:ascii="宋体" w:hAnsi="宋体" w:eastAsia="宋体"/>
                <w:sz w:val="16"/>
              </w:rPr>
              <w:t>3.30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3BB9B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0848A5">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D6DEF8">
            <w:pPr>
              <w:jc w:val="center"/>
            </w:pPr>
            <w:r>
              <w:rPr>
                <w:rFonts w:ascii="宋体" w:hAnsi="宋体" w:eastAsia="宋体"/>
                <w:sz w:val="16"/>
              </w:rPr>
              <w:t>10.00分</w:t>
            </w:r>
          </w:p>
        </w:tc>
      </w:tr>
      <w:tr w14:paraId="6AD70E8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DB103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315AB">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752273">
            <w:pPr>
              <w:jc w:val="center"/>
            </w:pPr>
            <w:r>
              <w:rPr>
                <w:rFonts w:ascii="宋体" w:hAnsi="宋体" w:eastAsia="宋体"/>
                <w:sz w:val="16"/>
              </w:rPr>
              <w:t>3.30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16F9E">
            <w:pPr>
              <w:jc w:val="center"/>
            </w:pPr>
            <w:r>
              <w:rPr>
                <w:rFonts w:ascii="宋体" w:hAnsi="宋体" w:eastAsia="宋体"/>
                <w:sz w:val="16"/>
              </w:rPr>
              <w:t>3.30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1FF1AF">
            <w:pPr>
              <w:jc w:val="center"/>
            </w:pPr>
            <w:r>
              <w:rPr>
                <w:rFonts w:ascii="宋体" w:hAnsi="宋体" w:eastAsia="宋体"/>
                <w:sz w:val="16"/>
              </w:rPr>
              <w:t>3.30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2C287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D6675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748B4C">
            <w:pPr>
              <w:jc w:val="center"/>
            </w:pPr>
            <w:r>
              <w:rPr>
                <w:rFonts w:ascii="宋体" w:hAnsi="宋体" w:eastAsia="宋体"/>
                <w:sz w:val="16"/>
              </w:rPr>
              <w:t>—</w:t>
            </w:r>
          </w:p>
        </w:tc>
      </w:tr>
      <w:tr w14:paraId="1D3B4F3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6EA02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D86A2">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142F9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3410D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48FC5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6841C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589DE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35EC83">
            <w:pPr>
              <w:jc w:val="center"/>
            </w:pPr>
            <w:r>
              <w:rPr>
                <w:rFonts w:ascii="宋体" w:hAnsi="宋体" w:eastAsia="宋体"/>
                <w:sz w:val="16"/>
              </w:rPr>
              <w:t>—</w:t>
            </w:r>
          </w:p>
        </w:tc>
      </w:tr>
      <w:tr w14:paraId="268318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65EE8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E5C3A">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11E41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D410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19CD7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D92C9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8CB8D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BF6F8A">
            <w:pPr>
              <w:jc w:val="center"/>
            </w:pPr>
            <w:r>
              <w:rPr>
                <w:rFonts w:ascii="宋体" w:hAnsi="宋体" w:eastAsia="宋体"/>
                <w:sz w:val="16"/>
              </w:rPr>
              <w:t>—</w:t>
            </w:r>
          </w:p>
        </w:tc>
      </w:tr>
      <w:tr w14:paraId="3306F0C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680A6C">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5247643">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72C19E">
            <w:pPr>
              <w:jc w:val="center"/>
            </w:pPr>
            <w:r>
              <w:rPr>
                <w:rFonts w:ascii="宋体" w:hAnsi="宋体" w:eastAsia="宋体"/>
                <w:sz w:val="16"/>
              </w:rPr>
              <w:t>实际完成情况</w:t>
            </w:r>
          </w:p>
        </w:tc>
      </w:tr>
      <w:tr w14:paraId="2D8C4E1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C876D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020B296">
            <w:pPr>
              <w:jc w:val="both"/>
            </w:pPr>
            <w:r>
              <w:rPr>
                <w:rFonts w:ascii="宋体" w:hAnsi="宋体" w:eastAsia="宋体"/>
                <w:sz w:val="16"/>
              </w:rPr>
              <w:t>根据项目实施方案实施本项目，项目实施内容：保障2所幼儿园64人在校期间正常学习，按照每人每年516元标准进行补助。通过项目实施，维持幼儿园正常运转、在教学活动和后勤服务等方面开支的费用。学前教育补助保教费,可以让孩子,尤其是贫困家庭孩子接受学前教育。</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3FDEAD">
            <w:pPr>
              <w:jc w:val="both"/>
            </w:pPr>
            <w:r>
              <w:rPr>
                <w:rFonts w:ascii="宋体" w:hAnsi="宋体" w:eastAsia="宋体"/>
                <w:sz w:val="16"/>
              </w:rPr>
              <w:t>截至目前，该项目已完成民丰县安迪尔乡中心幼儿园1所学前教育阶段学校，受补助学生人数43人，通过项目的实施，提升学生身体素质，减轻学生家庭负担，促进教育公平。</w:t>
            </w:r>
          </w:p>
        </w:tc>
      </w:tr>
      <w:tr w14:paraId="2BD19A9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02ECD3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A9CBD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48224">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D1442F">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C50D5">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F706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309C4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A1C91A">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E05ED0">
            <w:pPr>
              <w:jc w:val="center"/>
            </w:pPr>
            <w:r>
              <w:rPr>
                <w:rFonts w:ascii="宋体" w:hAnsi="宋体" w:eastAsia="宋体"/>
                <w:sz w:val="16"/>
              </w:rPr>
              <w:t>偏差原因分析及改进措施</w:t>
            </w:r>
          </w:p>
        </w:tc>
      </w:tr>
      <w:tr w14:paraId="277DEE1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2D91E1">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725643">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3A5DFB">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8E0FE9">
            <w:pPr>
              <w:jc w:val="center"/>
            </w:pPr>
            <w:r>
              <w:rPr>
                <w:rFonts w:ascii="宋体" w:hAnsi="宋体" w:eastAsia="宋体"/>
                <w:sz w:val="16"/>
              </w:rPr>
              <w:t>保障幼儿园数量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3A1E0F">
            <w:pPr>
              <w:jc w:val="center"/>
            </w:pPr>
            <w:r>
              <w:rPr>
                <w:rFonts w:ascii="宋体" w:hAnsi="宋体" w:eastAsia="宋体"/>
                <w:sz w:val="16"/>
              </w:rPr>
              <w:t>=2所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E0CF4B">
            <w:pPr>
              <w:jc w:val="center"/>
            </w:pPr>
            <w:r>
              <w:rPr>
                <w:rFonts w:ascii="宋体" w:hAnsi="宋体" w:eastAsia="宋体"/>
                <w:sz w:val="16"/>
              </w:rPr>
              <w:t>=2所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625B5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D6291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EF7824">
            <w:pPr>
              <w:jc w:val="center"/>
            </w:pPr>
          </w:p>
        </w:tc>
      </w:tr>
      <w:tr w14:paraId="192154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86809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17D3D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BEA49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74455A">
            <w:pPr>
              <w:jc w:val="center"/>
            </w:pPr>
            <w:r>
              <w:rPr>
                <w:rFonts w:ascii="宋体" w:hAnsi="宋体" w:eastAsia="宋体"/>
                <w:sz w:val="16"/>
              </w:rPr>
              <w:t>保障幼儿人数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E6F14">
            <w:pPr>
              <w:jc w:val="center"/>
            </w:pPr>
            <w:r>
              <w:rPr>
                <w:rFonts w:ascii="宋体" w:hAnsi="宋体" w:eastAsia="宋体"/>
                <w:sz w:val="16"/>
              </w:rPr>
              <w:t>&gt;=64人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D6106A">
            <w:pPr>
              <w:jc w:val="center"/>
            </w:pPr>
            <w:r>
              <w:rPr>
                <w:rFonts w:ascii="宋体" w:hAnsi="宋体" w:eastAsia="宋体"/>
                <w:sz w:val="16"/>
              </w:rPr>
              <w:t>=43人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9B578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7157F2">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07DA6B">
            <w:pPr>
              <w:jc w:val="center"/>
            </w:pPr>
            <w:r>
              <w:rPr>
                <w:rFonts w:ascii="宋体" w:hAnsi="宋体" w:eastAsia="宋体"/>
                <w:sz w:val="16"/>
              </w:rPr>
              <w:t>原因：人数按实际需求存在变动，人数减少。措施：加强年初预算精准度。</w:t>
            </w:r>
          </w:p>
        </w:tc>
      </w:tr>
      <w:tr w14:paraId="3C50381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D5EE4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5E502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ECBF2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B0F282">
            <w:pPr>
              <w:jc w:val="center"/>
            </w:pPr>
            <w:r>
              <w:rPr>
                <w:rFonts w:ascii="宋体" w:hAnsi="宋体" w:eastAsia="宋体"/>
                <w:sz w:val="16"/>
              </w:rPr>
              <w:t>学生伙食补助天数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9C701">
            <w:pPr>
              <w:jc w:val="center"/>
            </w:pPr>
            <w:r>
              <w:rPr>
                <w:rFonts w:ascii="宋体" w:hAnsi="宋体" w:eastAsia="宋体"/>
                <w:sz w:val="16"/>
              </w:rPr>
              <w:t>&gt;=220天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4968B7">
            <w:pPr>
              <w:jc w:val="center"/>
            </w:pPr>
            <w:r>
              <w:rPr>
                <w:rFonts w:ascii="宋体" w:hAnsi="宋体" w:eastAsia="宋体"/>
                <w:sz w:val="16"/>
              </w:rPr>
              <w:t>=220天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1319F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45290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7BDB07">
            <w:pPr>
              <w:jc w:val="center"/>
            </w:pPr>
          </w:p>
        </w:tc>
      </w:tr>
      <w:tr w14:paraId="2A52C71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37A49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FE04B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8961C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76AC42">
            <w:pPr>
              <w:jc w:val="center"/>
            </w:pPr>
            <w:r>
              <w:rPr>
                <w:rFonts w:ascii="宋体" w:hAnsi="宋体" w:eastAsia="宋体"/>
                <w:sz w:val="16"/>
              </w:rPr>
              <w:t>补助发放覆盖率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C749C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E3510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3B1D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3145A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707068">
            <w:pPr>
              <w:jc w:val="center"/>
            </w:pPr>
          </w:p>
        </w:tc>
      </w:tr>
      <w:tr w14:paraId="6306083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D089C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B363A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94C318">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9137C">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DC2661">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6788E4">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E0952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401B9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E1C01B">
            <w:pPr>
              <w:jc w:val="center"/>
            </w:pPr>
          </w:p>
        </w:tc>
      </w:tr>
      <w:tr w14:paraId="01C1603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2FD99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8C694B">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36DEC0">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6829E">
            <w:pPr>
              <w:jc w:val="center"/>
            </w:pPr>
            <w:r>
              <w:rPr>
                <w:rFonts w:ascii="宋体" w:hAnsi="宋体" w:eastAsia="宋体"/>
                <w:sz w:val="16"/>
              </w:rPr>
              <w:t>人均补助成本数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16AD4E">
            <w:pPr>
              <w:jc w:val="center"/>
            </w:pPr>
            <w:r>
              <w:rPr>
                <w:rFonts w:ascii="宋体" w:hAnsi="宋体" w:eastAsia="宋体"/>
                <w:sz w:val="16"/>
              </w:rPr>
              <w:t>&lt;=516元/年/人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C8343B">
            <w:pPr>
              <w:jc w:val="center"/>
            </w:pPr>
            <w:r>
              <w:rPr>
                <w:rFonts w:ascii="宋体" w:hAnsi="宋体" w:eastAsia="宋体"/>
                <w:sz w:val="16"/>
              </w:rPr>
              <w:t>=516元/年/人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39D88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1C5B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4B999C">
            <w:pPr>
              <w:jc w:val="center"/>
            </w:pPr>
          </w:p>
        </w:tc>
      </w:tr>
      <w:tr w14:paraId="34886D1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B8990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E905EC">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26079">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6BD72">
            <w:pPr>
              <w:jc w:val="center"/>
            </w:pPr>
            <w:r>
              <w:rPr>
                <w:rFonts w:ascii="宋体" w:hAnsi="宋体" w:eastAsia="宋体"/>
                <w:sz w:val="16"/>
              </w:rPr>
              <w:t>减轻学前教育困难家庭幼儿生活费负担</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8803C7">
            <w:pPr>
              <w:jc w:val="center"/>
            </w:pPr>
            <w:r>
              <w:rPr>
                <w:rFonts w:ascii="宋体" w:hAnsi="宋体" w:eastAsia="宋体"/>
                <w:sz w:val="16"/>
              </w:rPr>
              <w:t>有效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FB1032">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DBA11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AC6D2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C87F60">
            <w:pPr>
              <w:jc w:val="center"/>
            </w:pPr>
          </w:p>
        </w:tc>
      </w:tr>
      <w:tr w14:paraId="217AE6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5995E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39F1D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6FC10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DF4953">
            <w:pPr>
              <w:jc w:val="center"/>
            </w:pPr>
            <w:r>
              <w:rPr>
                <w:rFonts w:ascii="宋体" w:hAnsi="宋体" w:eastAsia="宋体"/>
                <w:sz w:val="16"/>
              </w:rPr>
              <w:t>受益幼儿园学生满意度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2F074A">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F4E788">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15E00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392D3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0FB31">
            <w:pPr>
              <w:jc w:val="center"/>
            </w:pPr>
          </w:p>
        </w:tc>
      </w:tr>
      <w:tr w14:paraId="04BA21ED">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B105F3">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01FE97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1FBC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2DC438">
            <w:pPr>
              <w:jc w:val="center"/>
            </w:pPr>
            <w:r>
              <w:rPr>
                <w:rFonts w:ascii="宋体" w:hAnsi="宋体" w:eastAsia="宋体"/>
                <w:sz w:val="16"/>
              </w:rPr>
              <w:t>91.8分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3070BAC"/>
        </w:tc>
      </w:tr>
    </w:tbl>
    <w:p w14:paraId="1AA6DD24">
      <w:r>
        <w:br w:type="page"/>
      </w:r>
    </w:p>
    <w:p w14:paraId="55DCD84E">
      <w:pPr>
        <w:spacing w:line="640" w:lineRule="exact"/>
        <w:ind w:firstLine="640"/>
        <w:jc w:val="both"/>
        <w:outlineLvl w:val="2"/>
      </w:pPr>
      <w:r>
        <w:rPr>
          <w:rFonts w:ascii="黑体" w:hAnsi="黑体" w:eastAsia="黑体"/>
          <w:sz w:val="32"/>
        </w:rPr>
        <w:t>十二、其他需说明的事项</w:t>
      </w:r>
    </w:p>
    <w:p w14:paraId="6EAC9FC2">
      <w:pPr>
        <w:spacing w:line="580" w:lineRule="exact"/>
        <w:ind w:firstLine="640"/>
        <w:jc w:val="both"/>
      </w:pPr>
      <w:r>
        <w:rPr>
          <w:rFonts w:ascii="仿宋_GB2312" w:hAnsi="仿宋_GB2312" w:eastAsia="仿宋_GB2312"/>
          <w:b w:val="0"/>
          <w:sz w:val="32"/>
        </w:rPr>
        <w:t>本单位无其他需说明的事项。</w:t>
      </w:r>
    </w:p>
    <w:p w14:paraId="181388A3">
      <w:r>
        <w:br w:type="page"/>
      </w:r>
    </w:p>
    <w:p w14:paraId="23D8BBB7">
      <w:pPr>
        <w:spacing w:line="240" w:lineRule="auto"/>
        <w:jc w:val="center"/>
        <w:outlineLvl w:val="1"/>
      </w:pPr>
      <w:r>
        <w:rPr>
          <w:rFonts w:ascii="黑体" w:hAnsi="黑体" w:eastAsia="黑体"/>
          <w:sz w:val="32"/>
        </w:rPr>
        <w:t>第三部分 专业名词解释</w:t>
      </w:r>
    </w:p>
    <w:p w14:paraId="690EA38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14B730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9DA7A6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CDD4A0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8ECA96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C4051A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619A6A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E84147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E80DE1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3F92E4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5B6B6B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7FE2DD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B1C887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B7475B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5B7C645">
      <w:r>
        <w:br w:type="page"/>
      </w:r>
    </w:p>
    <w:p w14:paraId="1E48A11A">
      <w:pPr>
        <w:spacing w:line="240" w:lineRule="auto"/>
        <w:jc w:val="center"/>
        <w:outlineLvl w:val="1"/>
      </w:pPr>
      <w:r>
        <w:rPr>
          <w:rFonts w:ascii="黑体" w:hAnsi="黑体" w:eastAsia="黑体"/>
          <w:sz w:val="32"/>
        </w:rPr>
        <w:t>第四部分 部门决算报表（见附表）</w:t>
      </w:r>
    </w:p>
    <w:p w14:paraId="16030D1F">
      <w:pPr>
        <w:spacing w:line="240" w:lineRule="auto"/>
        <w:ind w:firstLine="640"/>
        <w:jc w:val="both"/>
      </w:pPr>
      <w:r>
        <w:rPr>
          <w:rFonts w:ascii="仿宋_GB2312" w:hAnsi="仿宋_GB2312" w:eastAsia="仿宋_GB2312"/>
          <w:b w:val="0"/>
          <w:sz w:val="32"/>
        </w:rPr>
        <w:t>一、《收入支出决算总表》</w:t>
      </w:r>
    </w:p>
    <w:p w14:paraId="0F1A93FC">
      <w:pPr>
        <w:spacing w:line="240" w:lineRule="auto"/>
        <w:ind w:firstLine="640"/>
        <w:jc w:val="both"/>
      </w:pPr>
      <w:r>
        <w:rPr>
          <w:rFonts w:ascii="仿宋_GB2312" w:hAnsi="仿宋_GB2312" w:eastAsia="仿宋_GB2312"/>
          <w:b w:val="0"/>
          <w:sz w:val="32"/>
        </w:rPr>
        <w:t>二、《收入决算表》</w:t>
      </w:r>
    </w:p>
    <w:p w14:paraId="0646B079">
      <w:pPr>
        <w:spacing w:line="240" w:lineRule="auto"/>
        <w:ind w:firstLine="640"/>
        <w:jc w:val="both"/>
      </w:pPr>
      <w:r>
        <w:rPr>
          <w:rFonts w:ascii="仿宋_GB2312" w:hAnsi="仿宋_GB2312" w:eastAsia="仿宋_GB2312"/>
          <w:b w:val="0"/>
          <w:sz w:val="32"/>
        </w:rPr>
        <w:t>三、《支出决算表》</w:t>
      </w:r>
    </w:p>
    <w:p w14:paraId="477B5388">
      <w:pPr>
        <w:spacing w:line="240" w:lineRule="auto"/>
        <w:ind w:firstLine="640"/>
        <w:jc w:val="both"/>
      </w:pPr>
      <w:r>
        <w:rPr>
          <w:rFonts w:ascii="仿宋_GB2312" w:hAnsi="仿宋_GB2312" w:eastAsia="仿宋_GB2312"/>
          <w:b w:val="0"/>
          <w:sz w:val="32"/>
        </w:rPr>
        <w:t>四、《财政拨款收入支出决算总表》</w:t>
      </w:r>
    </w:p>
    <w:p w14:paraId="34518B65">
      <w:pPr>
        <w:spacing w:line="240" w:lineRule="auto"/>
        <w:ind w:firstLine="640"/>
        <w:jc w:val="both"/>
      </w:pPr>
      <w:r>
        <w:rPr>
          <w:rFonts w:ascii="仿宋_GB2312" w:hAnsi="仿宋_GB2312" w:eastAsia="仿宋_GB2312"/>
          <w:b w:val="0"/>
          <w:sz w:val="32"/>
        </w:rPr>
        <w:t>五、《一般公共预算财政拨款支出决算表》</w:t>
      </w:r>
    </w:p>
    <w:p w14:paraId="76AFF4C3">
      <w:pPr>
        <w:spacing w:line="240" w:lineRule="auto"/>
        <w:ind w:firstLine="640"/>
        <w:jc w:val="both"/>
      </w:pPr>
      <w:r>
        <w:rPr>
          <w:rFonts w:ascii="仿宋_GB2312" w:hAnsi="仿宋_GB2312" w:eastAsia="仿宋_GB2312"/>
          <w:b w:val="0"/>
          <w:sz w:val="32"/>
        </w:rPr>
        <w:t>六、《一般公共预算财政拨款基本支出决算表》</w:t>
      </w:r>
    </w:p>
    <w:p w14:paraId="5E74C7DC">
      <w:pPr>
        <w:spacing w:line="240" w:lineRule="auto"/>
        <w:ind w:firstLine="640"/>
        <w:jc w:val="both"/>
      </w:pPr>
      <w:r>
        <w:rPr>
          <w:rFonts w:ascii="仿宋_GB2312" w:hAnsi="仿宋_GB2312" w:eastAsia="仿宋_GB2312"/>
          <w:b w:val="0"/>
          <w:sz w:val="32"/>
        </w:rPr>
        <w:t>七、《政府性基金预算财政拨款收入支出决算表》</w:t>
      </w:r>
    </w:p>
    <w:p w14:paraId="7C32EA9F">
      <w:pPr>
        <w:spacing w:line="240" w:lineRule="auto"/>
        <w:ind w:firstLine="640"/>
        <w:jc w:val="both"/>
      </w:pPr>
      <w:r>
        <w:rPr>
          <w:rFonts w:ascii="仿宋_GB2312" w:hAnsi="仿宋_GB2312" w:eastAsia="仿宋_GB2312"/>
          <w:b w:val="0"/>
          <w:sz w:val="32"/>
        </w:rPr>
        <w:t>八、《国有资本经营预算财政拨款收入支出决算表》</w:t>
      </w:r>
    </w:p>
    <w:p w14:paraId="3BFF47D8">
      <w:pPr>
        <w:spacing w:line="240" w:lineRule="auto"/>
        <w:ind w:firstLine="640"/>
        <w:jc w:val="both"/>
      </w:pPr>
      <w:r>
        <w:rPr>
          <w:rFonts w:ascii="仿宋_GB2312" w:hAnsi="仿宋_GB2312" w:eastAsia="仿宋_GB2312"/>
          <w:b w:val="0"/>
          <w:sz w:val="32"/>
        </w:rPr>
        <w:t>九、《财政拨款“三公”经费支出决算表》</w:t>
      </w:r>
    </w:p>
    <w:p w14:paraId="5AE91DB4">
      <w:pPr>
        <w:spacing w:line="240" w:lineRule="auto"/>
        <w:ind w:firstLine="640"/>
        <w:jc w:val="both"/>
      </w:pPr>
    </w:p>
    <w:p w14:paraId="100E00A1">
      <w:pPr>
        <w:spacing w:line="240" w:lineRule="auto"/>
        <w:ind w:firstLine="640"/>
        <w:jc w:val="both"/>
      </w:pPr>
    </w:p>
    <w:p w14:paraId="2C73E381">
      <w:pPr>
        <w:spacing w:line="240" w:lineRule="auto"/>
        <w:ind w:firstLine="640"/>
        <w:jc w:val="both"/>
      </w:pPr>
    </w:p>
    <w:p w14:paraId="790A27CB">
      <w:pPr>
        <w:spacing w:line="240" w:lineRule="auto"/>
        <w:ind w:firstLine="640"/>
        <w:jc w:val="both"/>
      </w:pPr>
    </w:p>
    <w:p w14:paraId="4CC65E0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7511D2"/>
    <w:rsid w:val="61A46A97"/>
    <w:rsid w:val="62DD7D21"/>
    <w:rsid w:val="65D82014"/>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4420</Words>
  <Characters>5032</Characters>
  <Lines>0</Lines>
  <Paragraphs>0</Paragraphs>
  <TotalTime>1</TotalTime>
  <ScaleCrop>false</ScaleCrop>
  <LinksUpToDate>false</LinksUpToDate>
  <CharactersWithSpaces>5176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2025-09-25T03:12:09Z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