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8096D9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民丰县商务和工业信息化局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268114">
      <w:r>
        <w:br w:type="page"/>
      </w:r>
    </w:p>
    <w:p w14:paraId="0C39A77D">
      <w:pPr>
        <w:spacing w:line="640" w:lineRule="exact"/>
        <w:jc w:val="center"/>
        <w:outlineLvl w:val="1"/>
      </w:pPr>
      <w:r>
        <w:rPr>
          <w:rFonts w:ascii="黑体" w:hAnsi="黑体" w:eastAsia="黑体"/>
          <w:sz w:val="32"/>
        </w:rPr>
        <w:t>第一部分 单位概况</w:t>
      </w:r>
    </w:p>
    <w:p w14:paraId="78DC0BC8">
      <w:pPr>
        <w:spacing w:line="640" w:lineRule="exact"/>
        <w:ind w:firstLine="640"/>
        <w:jc w:val="both"/>
        <w:outlineLvl w:val="2"/>
      </w:pPr>
      <w:r>
        <w:rPr>
          <w:rFonts w:ascii="黑体" w:hAnsi="黑体" w:eastAsia="黑体"/>
          <w:sz w:val="32"/>
        </w:rPr>
        <w:t>一、主要职能</w:t>
      </w:r>
    </w:p>
    <w:p w14:paraId="4B8272DE">
      <w:pPr>
        <w:spacing w:line="580" w:lineRule="exact"/>
        <w:ind w:firstLine="640"/>
        <w:jc w:val="both"/>
      </w:pPr>
      <w:r>
        <w:rPr>
          <w:rFonts w:ascii="仿宋_GB2312" w:hAnsi="仿宋_GB2312" w:eastAsia="仿宋_GB2312"/>
          <w:sz w:val="32"/>
        </w:rPr>
        <w:t>（一）贯彻执行中央、自治区、地区工业和信息化、商务、招</w:t>
      </w:r>
      <w:r>
        <w:rPr>
          <w:rFonts w:hint="eastAsia" w:ascii="仿宋_GB2312" w:hAnsi="仿宋_GB2312" w:eastAsia="仿宋_GB2312"/>
          <w:sz w:val="32"/>
          <w:lang w:eastAsia="zh-CN"/>
        </w:rPr>
        <w:t>商引资</w:t>
      </w:r>
      <w:r>
        <w:rPr>
          <w:rFonts w:ascii="仿宋_GB2312" w:hAnsi="仿宋_GB2312" w:eastAsia="仿宋_GB2312"/>
          <w:sz w:val="32"/>
        </w:rPr>
        <w:t>的法律法规和方针政策，研究拟定全县工业和信息化、商务、招</w:t>
      </w:r>
      <w:r>
        <w:rPr>
          <w:rFonts w:hint="eastAsia" w:ascii="仿宋_GB2312" w:hAnsi="仿宋_GB2312" w:eastAsia="仿宋_GB2312"/>
          <w:sz w:val="32"/>
          <w:lang w:eastAsia="zh-CN"/>
        </w:rPr>
        <w:t>商引资</w:t>
      </w:r>
      <w:r>
        <w:rPr>
          <w:rFonts w:ascii="仿宋_GB2312" w:hAnsi="仿宋_GB2312" w:eastAsia="仿宋_GB2312"/>
          <w:sz w:val="32"/>
        </w:rPr>
        <w:t>领域有关政策、发展规划、年度计划并组织实施和监督检查，会同有关部门做好招</w:t>
      </w:r>
      <w:r>
        <w:rPr>
          <w:rFonts w:hint="eastAsia" w:ascii="仿宋_GB2312" w:hAnsi="仿宋_GB2312" w:eastAsia="仿宋_GB2312"/>
          <w:sz w:val="32"/>
          <w:lang w:eastAsia="zh-CN"/>
        </w:rPr>
        <w:t>商引资</w:t>
      </w:r>
      <w:r>
        <w:rPr>
          <w:rFonts w:ascii="仿宋_GB2312" w:hAnsi="仿宋_GB2312" w:eastAsia="仿宋_GB2312"/>
          <w:sz w:val="32"/>
        </w:rPr>
        <w:t>计划分解、指导、协调和落实工作，制定县招</w:t>
      </w:r>
      <w:r>
        <w:rPr>
          <w:rFonts w:hint="eastAsia" w:ascii="仿宋_GB2312" w:hAnsi="仿宋_GB2312" w:eastAsia="仿宋_GB2312"/>
          <w:sz w:val="32"/>
          <w:lang w:eastAsia="zh-CN"/>
        </w:rPr>
        <w:t>商引资</w:t>
      </w:r>
      <w:r>
        <w:rPr>
          <w:rFonts w:ascii="仿宋_GB2312" w:hAnsi="仿宋_GB2312" w:eastAsia="仿宋_GB2312"/>
          <w:sz w:val="32"/>
        </w:rPr>
        <w:t>考核办法和奖励办法；提出新型工业化、信息化发展战略和政策建议；协调解决工业化和信息化进程中的重大问题；推进信息化和工业化融合；推进国防科技工业和军民结合产业发展。</w:t>
      </w:r>
    </w:p>
    <w:p w14:paraId="6EE94231">
      <w:pPr>
        <w:spacing w:line="580" w:lineRule="exact"/>
        <w:ind w:firstLine="640"/>
        <w:jc w:val="both"/>
      </w:pPr>
      <w:r>
        <w:rPr>
          <w:rFonts w:ascii="仿宋_GB2312" w:hAnsi="仿宋_GB2312" w:eastAsia="仿宋_GB2312"/>
          <w:sz w:val="32"/>
        </w:rPr>
        <w:t>（二）根据自治区、地区产业政策，制定产业政策，并组织实施和监督检查；指导全县产业合理布局和结构调整，促进一、二、三产业协调发展；制定工业和信息产业优化布局、结构调整的政策措施并组织实施，组织协调重点产业调整和振兴规划的制定与实施；组织培育重点骨干企业，推进企业上市工作。</w:t>
      </w:r>
    </w:p>
    <w:p w14:paraId="4FF4364A">
      <w:pPr>
        <w:spacing w:line="580" w:lineRule="exact"/>
        <w:ind w:firstLine="640"/>
        <w:jc w:val="both"/>
      </w:pPr>
      <w:r>
        <w:rPr>
          <w:rFonts w:ascii="仿宋_GB2312" w:hAnsi="仿宋_GB2312" w:eastAsia="仿宋_GB2312"/>
          <w:sz w:val="32"/>
        </w:rPr>
        <w:t>（三）监测分析国民经济运行态势，调节工业经济日常运行；制定经济运行调控目标、政策措施并组织实施；收集、整理分析和发布经济信息，进行预测预警和信息引导；组织协调解决经济运行中的重大问题并提出政策建议；负责全县能源保障和重要物资供需平衡有关工作；组织制定并实施现代物流业发展的相关政策措施；负责交通运输综合协调、经济运行应急管理、产业安全和国防动员有关工作。</w:t>
      </w:r>
    </w:p>
    <w:p w14:paraId="0E4EBCFD">
      <w:pPr>
        <w:spacing w:line="580" w:lineRule="exact"/>
        <w:ind w:firstLine="640"/>
        <w:jc w:val="both"/>
      </w:pPr>
      <w:r>
        <w:rPr>
          <w:rFonts w:ascii="仿宋_GB2312" w:hAnsi="仿宋_GB2312" w:eastAsia="仿宋_GB2312"/>
          <w:sz w:val="32"/>
        </w:rPr>
        <w:t>（四）负责全县工业和信息化领域各行业的管理，组织拟定行业专项规划、计划、技术规范和标准并组织实施；拟定行业规划和行业政策。</w:t>
      </w:r>
    </w:p>
    <w:p w14:paraId="550B9FE7">
      <w:pPr>
        <w:spacing w:line="580" w:lineRule="exact"/>
        <w:ind w:firstLine="640"/>
        <w:jc w:val="both"/>
      </w:pPr>
      <w:r>
        <w:rPr>
          <w:rFonts w:ascii="仿宋_GB2312" w:hAnsi="仿宋_GB2312" w:eastAsia="仿宋_GB2312"/>
          <w:sz w:val="32"/>
        </w:rPr>
        <w:t>（五）负责全县工业、信息产业及信息化建设的技术改造、投资工作；制定并组织实施技术改造、投资的有关政策措施；研究和规划技术改造项</w:t>
      </w:r>
      <w:r>
        <w:rPr>
          <w:rFonts w:hint="eastAsia" w:ascii="仿宋_GB2312" w:hAnsi="仿宋_GB2312" w:eastAsia="仿宋_GB2312"/>
          <w:sz w:val="32"/>
          <w:lang w:eastAsia="zh-CN"/>
        </w:rPr>
        <w:t>目的</w:t>
      </w:r>
      <w:r>
        <w:rPr>
          <w:rFonts w:ascii="仿宋_GB2312" w:hAnsi="仿宋_GB2312" w:eastAsia="仿宋_GB2312"/>
          <w:sz w:val="32"/>
        </w:rPr>
        <w:t>投资方向和布局，引导企业、金融机构及社会资金的投向；负责技术改造、投资项目审核上报、核准、备案工作；负责重点技术改造项目招投标活动的监督管理。</w:t>
      </w:r>
    </w:p>
    <w:p w14:paraId="4D169588">
      <w:pPr>
        <w:spacing w:line="580" w:lineRule="exact"/>
        <w:ind w:firstLine="640"/>
        <w:jc w:val="both"/>
      </w:pPr>
      <w:r>
        <w:rPr>
          <w:rFonts w:ascii="仿宋_GB2312" w:hAnsi="仿宋_GB2312" w:eastAsia="仿宋_GB2312"/>
          <w:sz w:val="32"/>
        </w:rPr>
        <w:t>（六）组织制定工业和信息化领域技术进步及自主创新的政策措施，推动技术创新和产学研相结合，推进相关科研成果产业化；制定高技术产业中涉及生物医药、新材料、信息产业等规划、政策和标准并组织实施，推动新兴产业发展；负责县域重大产业技术开发项目；组织实施新产品开发、新技术推广及鉴定、奖励工作。</w:t>
      </w:r>
    </w:p>
    <w:p w14:paraId="1B20F4BB">
      <w:pPr>
        <w:spacing w:line="580" w:lineRule="exact"/>
        <w:ind w:firstLine="640"/>
        <w:jc w:val="both"/>
      </w:pPr>
      <w:r>
        <w:rPr>
          <w:rFonts w:ascii="仿宋_GB2312" w:hAnsi="仿宋_GB2312" w:eastAsia="仿宋_GB2312"/>
          <w:sz w:val="32"/>
        </w:rPr>
        <w:t>（七）推进工业和信息化领域体制改革和管理创新；负责对全县各类</w:t>
      </w:r>
      <w:r>
        <w:rPr>
          <w:rFonts w:hint="eastAsia" w:ascii="仿宋_GB2312" w:hAnsi="仿宋_GB2312" w:eastAsia="仿宋_GB2312"/>
          <w:sz w:val="32"/>
          <w:lang w:eastAsia="zh-CN"/>
        </w:rPr>
        <w:t>经济成分</w:t>
      </w:r>
      <w:r>
        <w:rPr>
          <w:rFonts w:ascii="仿宋_GB2312" w:hAnsi="仿宋_GB2312" w:eastAsia="仿宋_GB2312"/>
          <w:sz w:val="32"/>
        </w:rPr>
        <w:t>企业的宏观指导和服务，组织推进大企业大集团战略的实施；制定促进中小企业发展和非国有经济发展的相关政策措施，指导中小企业改革与发展，推动建立完善服务体系及信用担保体系，协调解决有关重大问题；负责工业和信息化领域人员的培训，会同有关部门实施企业智力引进工作；负责组织协调企业改制和减轻企业负担工作。</w:t>
      </w:r>
    </w:p>
    <w:p w14:paraId="6F43800D">
      <w:pPr>
        <w:spacing w:line="580" w:lineRule="exact"/>
        <w:ind w:firstLine="640"/>
        <w:jc w:val="both"/>
      </w:pPr>
      <w:r>
        <w:rPr>
          <w:rFonts w:ascii="仿宋_GB2312" w:hAnsi="仿宋_GB2312" w:eastAsia="仿宋_GB2312"/>
          <w:sz w:val="32"/>
        </w:rPr>
        <w:t>（八）负责工业节能减排综合协调和监督管理工作，制定能源资源节约和综合利用规划、政策、措施并组织实施；推进循环经济发展；组织协调清洁生产和节能环保产业发展工作；负责工业节能执法工作。</w:t>
      </w:r>
    </w:p>
    <w:p w14:paraId="6C9E7808">
      <w:pPr>
        <w:spacing w:line="580" w:lineRule="exact"/>
        <w:ind w:firstLine="640"/>
        <w:jc w:val="both"/>
      </w:pPr>
      <w:r>
        <w:rPr>
          <w:rFonts w:ascii="仿宋_GB2312" w:hAnsi="仿宋_GB2312" w:eastAsia="仿宋_GB2312"/>
          <w:sz w:val="32"/>
        </w:rPr>
        <w:t>（九）负责国防科技工业的管理与协调；负责民爆行业管理；对民用爆炸物品生产、销售依法实施许可和监督管理。</w:t>
      </w:r>
    </w:p>
    <w:p w14:paraId="63AA30EB">
      <w:pPr>
        <w:spacing w:line="580" w:lineRule="exact"/>
        <w:ind w:firstLine="640"/>
        <w:jc w:val="both"/>
      </w:pPr>
      <w:r>
        <w:rPr>
          <w:rFonts w:ascii="仿宋_GB2312" w:hAnsi="仿宋_GB2312" w:eastAsia="仿宋_GB2312"/>
          <w:sz w:val="32"/>
        </w:rPr>
        <w:t>（十）指导电力行业规章，组织执行行业技术规范和标准；负责权限范围内的电力行政执法、监督和行政许可；参与电力体制改革工作；负责制定年度电力行业运行调控目标；组织协调解决电力生产、运营和供应中的重大问题；负责保障重点用电，指导电力调度工作。</w:t>
      </w:r>
    </w:p>
    <w:p w14:paraId="22A551EC">
      <w:pPr>
        <w:spacing w:line="580" w:lineRule="exact"/>
        <w:ind w:firstLine="640"/>
        <w:jc w:val="both"/>
      </w:pPr>
      <w:r>
        <w:rPr>
          <w:rFonts w:ascii="仿宋_GB2312" w:hAnsi="仿宋_GB2312" w:eastAsia="仿宋_GB2312"/>
          <w:sz w:val="32"/>
        </w:rPr>
        <w:t>（十一）统筹推进全县信息化工作；指导、协调经济社会各领域信息技术的推广应用工作；组织协调重点信息化工程；推进跨行业、跨部门面向社会服务的互联互通及重要信息资源开发利用和共享，协调通信业有关工作；对信息服务市场进行监督管理；推进信息化知识、技能的普及教育。</w:t>
      </w:r>
    </w:p>
    <w:p w14:paraId="5455CF3E">
      <w:pPr>
        <w:spacing w:line="580" w:lineRule="exact"/>
        <w:ind w:firstLine="640"/>
        <w:jc w:val="both"/>
      </w:pPr>
      <w:r>
        <w:rPr>
          <w:rFonts w:ascii="仿宋_GB2312" w:hAnsi="仿宋_GB2312" w:eastAsia="仿宋_GB2312"/>
          <w:sz w:val="32"/>
        </w:rPr>
        <w:t>（十二）组织指导全县电子信息产业的发展；组织协调电子信息产业重大专项实施；对电子信息产品市场进行监督管理；负责归口管理、指导、协调电子政务建设和应用工作。</w:t>
      </w:r>
    </w:p>
    <w:p w14:paraId="09F02E65">
      <w:pPr>
        <w:spacing w:line="580" w:lineRule="exact"/>
        <w:ind w:firstLine="640"/>
        <w:jc w:val="both"/>
      </w:pPr>
      <w:r>
        <w:rPr>
          <w:rFonts w:ascii="仿宋_GB2312" w:hAnsi="仿宋_GB2312" w:eastAsia="仿宋_GB2312"/>
          <w:sz w:val="32"/>
        </w:rPr>
        <w:t>（十三）组织指导经济和信息化领域对外经济技术合作、交流及招</w:t>
      </w:r>
      <w:r>
        <w:rPr>
          <w:rFonts w:hint="eastAsia" w:ascii="仿宋_GB2312" w:hAnsi="仿宋_GB2312" w:eastAsia="仿宋_GB2312"/>
          <w:sz w:val="32"/>
          <w:lang w:eastAsia="zh-CN"/>
        </w:rPr>
        <w:t>商引资</w:t>
      </w:r>
      <w:r>
        <w:rPr>
          <w:rFonts w:ascii="仿宋_GB2312" w:hAnsi="仿宋_GB2312" w:eastAsia="仿宋_GB2312"/>
          <w:sz w:val="32"/>
        </w:rPr>
        <w:t>工作；联系经济和信息化领域社会团体组织，指导其改革与调整；指导有关行业协会的工作。</w:t>
      </w:r>
    </w:p>
    <w:p w14:paraId="2E6E5698">
      <w:pPr>
        <w:spacing w:line="580" w:lineRule="exact"/>
        <w:ind w:firstLine="640"/>
        <w:jc w:val="both"/>
      </w:pPr>
      <w:r>
        <w:rPr>
          <w:rFonts w:ascii="仿宋_GB2312" w:hAnsi="仿宋_GB2312" w:eastAsia="仿宋_GB2312"/>
          <w:sz w:val="32"/>
        </w:rPr>
        <w:t>（十四）组织指导全县石油、天然气、新能源和可再生能源有关行业规划的制定、实施行业管理，负责石油化工项目，天然气民用、工业用项目的审核和组织实施。</w:t>
      </w:r>
    </w:p>
    <w:p w14:paraId="45A3CAE0">
      <w:pPr>
        <w:spacing w:line="580" w:lineRule="exact"/>
        <w:ind w:firstLine="640"/>
        <w:jc w:val="both"/>
      </w:pPr>
      <w:r>
        <w:rPr>
          <w:rFonts w:ascii="仿宋_GB2312" w:hAnsi="仿宋_GB2312" w:eastAsia="仿宋_GB2312"/>
          <w:sz w:val="32"/>
        </w:rPr>
        <w:t>（十五）组织指导全县手工羊毛地毯产业发展规划，组织制定并实施手工羊毛地毯产业发展的相关政策措施，组织协调手工羊毛地毯产业重点项目实施。</w:t>
      </w:r>
    </w:p>
    <w:p w14:paraId="21B51952">
      <w:pPr>
        <w:spacing w:line="580" w:lineRule="exact"/>
        <w:ind w:firstLine="640"/>
        <w:jc w:val="both"/>
      </w:pPr>
      <w:r>
        <w:rPr>
          <w:rFonts w:ascii="仿宋_GB2312" w:hAnsi="仿宋_GB2312" w:eastAsia="仿宋_GB2312"/>
          <w:sz w:val="32"/>
        </w:rPr>
        <w:t>（十六）负责推进流通产业结构调整，指导市场商业发展，负责商贸服务业行业管理，提出促进商贸中小企业发展的政策建议；推动流通标准化和连锁经营、商业特许经营、物流配送、电子商务等现代流通方式的发展；指导大宗商品批发市场规划和城市商业网点规划、商业体系建设的工作，推进有关农村市场体系建设。</w:t>
      </w:r>
    </w:p>
    <w:p w14:paraId="30465562">
      <w:pPr>
        <w:spacing w:line="580" w:lineRule="exact"/>
        <w:ind w:firstLine="640"/>
        <w:jc w:val="both"/>
      </w:pPr>
      <w:r>
        <w:rPr>
          <w:rFonts w:ascii="仿宋_GB2312" w:hAnsi="仿宋_GB2312" w:eastAsia="仿宋_GB2312"/>
          <w:sz w:val="32"/>
        </w:rPr>
        <w:t>（十七）承担组织实施重要消费品市场调控，建立健全生活必需品市场供应应急管理机制；监测分析市场运行、商品供求状况，调查分析商品价格信息，进行预测预警和信息引导，按分工负责重要商品储备管理和市场调控工作。</w:t>
      </w:r>
    </w:p>
    <w:p w14:paraId="4752CE43">
      <w:pPr>
        <w:spacing w:line="580" w:lineRule="exact"/>
        <w:ind w:firstLine="640"/>
        <w:jc w:val="both"/>
      </w:pPr>
      <w:r>
        <w:rPr>
          <w:rFonts w:ascii="仿宋_GB2312" w:hAnsi="仿宋_GB2312" w:eastAsia="仿宋_GB2312"/>
          <w:sz w:val="32"/>
        </w:rPr>
        <w:t>（十八）负责管理报废汽车更新、车辆回收（含拆解）、废旧金属回收、旧机动车辆交易等特种物资市场的监管；负责成品油批发、零售企业的经营管理、规范全县成品油流通秩序。</w:t>
      </w:r>
    </w:p>
    <w:p w14:paraId="24C6D80D">
      <w:pPr>
        <w:spacing w:line="580" w:lineRule="exact"/>
        <w:ind w:firstLine="640"/>
        <w:jc w:val="both"/>
      </w:pPr>
      <w:r>
        <w:rPr>
          <w:rFonts w:ascii="仿宋_GB2312" w:hAnsi="仿宋_GB2312" w:eastAsia="仿宋_GB2312"/>
          <w:sz w:val="32"/>
        </w:rPr>
        <w:t>（十九）负责招</w:t>
      </w:r>
      <w:r>
        <w:rPr>
          <w:rFonts w:hint="eastAsia" w:ascii="仿宋_GB2312" w:hAnsi="仿宋_GB2312" w:eastAsia="仿宋_GB2312"/>
          <w:sz w:val="32"/>
          <w:lang w:eastAsia="zh-CN"/>
        </w:rPr>
        <w:t>商引资</w:t>
      </w:r>
      <w:r>
        <w:rPr>
          <w:rFonts w:ascii="仿宋_GB2312" w:hAnsi="仿宋_GB2312" w:eastAsia="仿宋_GB2312"/>
          <w:sz w:val="32"/>
        </w:rPr>
        <w:t>项目的协调、审查、实施、管理、服务、上报、统计、汇总、总结等工作；负责项目库建设和管理，负责项目洽谈及综合协调服务；参与本县重大项目的洽谈工作，并受县或企业的委托，与投资者进行洽谈；负责全县有关招</w:t>
      </w:r>
      <w:r>
        <w:rPr>
          <w:rFonts w:hint="eastAsia" w:ascii="仿宋_GB2312" w:hAnsi="仿宋_GB2312" w:eastAsia="仿宋_GB2312"/>
          <w:sz w:val="32"/>
          <w:lang w:eastAsia="zh-CN"/>
        </w:rPr>
        <w:t>商引资</w:t>
      </w:r>
      <w:r>
        <w:rPr>
          <w:rFonts w:ascii="仿宋_GB2312" w:hAnsi="仿宋_GB2312" w:eastAsia="仿宋_GB2312"/>
          <w:sz w:val="32"/>
        </w:rPr>
        <w:t>项目政策规定的落实。</w:t>
      </w:r>
    </w:p>
    <w:p w14:paraId="2089EA0D">
      <w:pPr>
        <w:spacing w:line="580" w:lineRule="exact"/>
        <w:ind w:firstLine="640"/>
        <w:jc w:val="both"/>
      </w:pPr>
      <w:r>
        <w:rPr>
          <w:rFonts w:ascii="仿宋_GB2312" w:hAnsi="仿宋_GB2312" w:eastAsia="仿宋_GB2312"/>
          <w:sz w:val="32"/>
        </w:rPr>
        <w:t>（二十）负责组织全县各行业、各类企业参加全国和区域性的各种经济技术合作洽谈会和展销会。负责对县招</w:t>
      </w:r>
      <w:r>
        <w:rPr>
          <w:rFonts w:hint="eastAsia" w:ascii="仿宋_GB2312" w:hAnsi="仿宋_GB2312" w:eastAsia="仿宋_GB2312"/>
          <w:sz w:val="32"/>
          <w:lang w:eastAsia="zh-CN"/>
        </w:rPr>
        <w:t>商引资</w:t>
      </w:r>
      <w:r>
        <w:rPr>
          <w:rFonts w:ascii="仿宋_GB2312" w:hAnsi="仿宋_GB2312" w:eastAsia="仿宋_GB2312"/>
          <w:sz w:val="32"/>
        </w:rPr>
        <w:t>工作的调研和指导、对县招</w:t>
      </w:r>
      <w:r>
        <w:rPr>
          <w:rFonts w:hint="eastAsia" w:ascii="仿宋_GB2312" w:hAnsi="仿宋_GB2312" w:eastAsia="仿宋_GB2312"/>
          <w:sz w:val="32"/>
          <w:lang w:eastAsia="zh-CN"/>
        </w:rPr>
        <w:t>商引资</w:t>
      </w:r>
      <w:r>
        <w:rPr>
          <w:rFonts w:ascii="仿宋_GB2312" w:hAnsi="仿宋_GB2312" w:eastAsia="仿宋_GB2312"/>
          <w:sz w:val="32"/>
        </w:rPr>
        <w:t>工作及时进行督察并协调有关部门解决存在的问题。协助县有关部门到外地开展招商推荐会；协调有关单位推进和发展区域经济联合与协作，开展有关招</w:t>
      </w:r>
      <w:r>
        <w:rPr>
          <w:rFonts w:hint="eastAsia" w:ascii="仿宋_GB2312" w:hAnsi="仿宋_GB2312" w:eastAsia="仿宋_GB2312"/>
          <w:sz w:val="32"/>
          <w:lang w:eastAsia="zh-CN"/>
        </w:rPr>
        <w:t>商引资</w:t>
      </w:r>
      <w:r>
        <w:rPr>
          <w:rFonts w:ascii="仿宋_GB2312" w:hAnsi="仿宋_GB2312" w:eastAsia="仿宋_GB2312"/>
          <w:sz w:val="32"/>
        </w:rPr>
        <w:t>的衔接落实、跟踪服务、协调联络工作；对经济技术协作项目跟踪提供相应的协调服务。</w:t>
      </w:r>
    </w:p>
    <w:p w14:paraId="5415E642">
      <w:pPr>
        <w:spacing w:line="580" w:lineRule="exact"/>
        <w:ind w:firstLine="640"/>
        <w:jc w:val="both"/>
      </w:pPr>
      <w:r>
        <w:rPr>
          <w:rFonts w:ascii="仿宋_GB2312" w:hAnsi="仿宋_GB2312" w:eastAsia="仿宋_GB2312"/>
          <w:sz w:val="32"/>
        </w:rPr>
        <w:t>（二十一）承办县委、县人民政府及上级业务部门交办的其他工作。</w:t>
      </w:r>
    </w:p>
    <w:p w14:paraId="339B71D6">
      <w:pPr>
        <w:spacing w:line="640" w:lineRule="exact"/>
        <w:ind w:firstLine="640"/>
        <w:jc w:val="both"/>
        <w:outlineLvl w:val="2"/>
      </w:pPr>
      <w:r>
        <w:rPr>
          <w:rFonts w:ascii="黑体" w:hAnsi="黑体" w:eastAsia="黑体"/>
          <w:sz w:val="32"/>
        </w:rPr>
        <w:t>二、机构设置及人员情况</w:t>
      </w:r>
    </w:p>
    <w:p w14:paraId="22E704CB">
      <w:pPr>
        <w:spacing w:line="580" w:lineRule="exact"/>
        <w:ind w:firstLine="640"/>
        <w:jc w:val="both"/>
      </w:pPr>
      <w:r>
        <w:rPr>
          <w:rFonts w:ascii="仿宋_GB2312" w:hAnsi="仿宋_GB2312" w:eastAsia="仿宋_GB2312"/>
          <w:sz w:val="32"/>
        </w:rPr>
        <w:t>民丰县商务和工业信息化局2024年度，实有人数19人，其中：在职人员14人，减少3人；离休人员0人，增加0人；退休人员5人,增加0人。</w:t>
      </w:r>
    </w:p>
    <w:p w14:paraId="75A3BAE9">
      <w:pPr>
        <w:spacing w:line="580" w:lineRule="exact"/>
        <w:ind w:firstLine="640"/>
        <w:jc w:val="both"/>
      </w:pPr>
      <w:r>
        <w:rPr>
          <w:rFonts w:ascii="仿宋_GB2312" w:hAnsi="仿宋_GB2312" w:eastAsia="仿宋_GB2312"/>
          <w:sz w:val="32"/>
        </w:rPr>
        <w:t>民丰县商务和工业信息化局无下属预算单位，下设2个科室，分别是：办公室、财务室。</w:t>
      </w:r>
    </w:p>
    <w:p w14:paraId="0C34F009">
      <w:r>
        <w:br w:type="page"/>
      </w:r>
    </w:p>
    <w:p w14:paraId="0AA9C149">
      <w:pPr>
        <w:spacing w:line="240" w:lineRule="auto"/>
        <w:jc w:val="center"/>
        <w:outlineLvl w:val="1"/>
      </w:pPr>
      <w:r>
        <w:rPr>
          <w:rFonts w:ascii="黑体" w:hAnsi="黑体" w:eastAsia="黑体"/>
          <w:sz w:val="32"/>
        </w:rPr>
        <w:t>第二部分 部门决算情况说明</w:t>
      </w:r>
    </w:p>
    <w:p w14:paraId="5FAD5B04">
      <w:pPr>
        <w:spacing w:line="640" w:lineRule="exact"/>
        <w:ind w:firstLine="640"/>
        <w:jc w:val="both"/>
        <w:outlineLvl w:val="2"/>
      </w:pPr>
      <w:r>
        <w:rPr>
          <w:rFonts w:ascii="黑体" w:hAnsi="黑体" w:eastAsia="黑体"/>
          <w:sz w:val="32"/>
        </w:rPr>
        <w:t>一、收入支出决算总体情况说明</w:t>
      </w:r>
    </w:p>
    <w:p w14:paraId="6A6FB891">
      <w:pPr>
        <w:spacing w:line="580" w:lineRule="exact"/>
        <w:ind w:firstLine="640"/>
        <w:jc w:val="both"/>
      </w:pPr>
      <w:r>
        <w:rPr>
          <w:rFonts w:ascii="仿宋_GB2312" w:hAnsi="仿宋_GB2312" w:eastAsia="仿宋_GB2312"/>
          <w:b/>
          <w:sz w:val="32"/>
        </w:rPr>
        <w:t>2024年度收入总计858.93万元，</w:t>
      </w:r>
      <w:r>
        <w:rPr>
          <w:rFonts w:ascii="仿宋_GB2312" w:hAnsi="仿宋_GB2312" w:eastAsia="仿宋_GB2312"/>
          <w:b w:val="0"/>
          <w:sz w:val="32"/>
        </w:rPr>
        <w:t>其中：本年收入合计858.93万元，使用非财政拨款结余（含专用结余）0.00万元，年初结转和结余0.00万元。</w:t>
      </w:r>
    </w:p>
    <w:p w14:paraId="34D74D9D">
      <w:pPr>
        <w:spacing w:line="580" w:lineRule="exact"/>
        <w:ind w:firstLine="640"/>
        <w:jc w:val="both"/>
      </w:pPr>
      <w:r>
        <w:rPr>
          <w:rFonts w:ascii="仿宋_GB2312" w:hAnsi="仿宋_GB2312" w:eastAsia="仿宋_GB2312"/>
          <w:b/>
          <w:sz w:val="32"/>
        </w:rPr>
        <w:t>2024年度支出总计858.93万元，</w:t>
      </w:r>
      <w:r>
        <w:rPr>
          <w:rFonts w:ascii="仿宋_GB2312" w:hAnsi="仿宋_GB2312" w:eastAsia="仿宋_GB2312"/>
          <w:b w:val="0"/>
          <w:sz w:val="32"/>
        </w:rPr>
        <w:t>其中：本年支出合计858.93万元，结余分配0.00万元，年末结转和结余0.00万元。</w:t>
      </w:r>
    </w:p>
    <w:p w14:paraId="503BDC9C">
      <w:pPr>
        <w:spacing w:line="580" w:lineRule="exact"/>
        <w:ind w:firstLine="640"/>
        <w:jc w:val="both"/>
      </w:pPr>
      <w:r>
        <w:rPr>
          <w:rFonts w:ascii="仿宋_GB2312" w:hAnsi="仿宋_GB2312" w:eastAsia="仿宋_GB2312"/>
          <w:b w:val="0"/>
          <w:sz w:val="32"/>
        </w:rPr>
        <w:t>收入支出总体与上年相比，增加203.81万元，增长31.11%，主要原因是：本年增加财政拨付存量资金用于2024年产业发展扶持资金项目招商引资、产业发展扶持资金项目补贴、津和直航企业补助资金、2023年产业发展、2023年天津招商引资、2023年</w:t>
      </w:r>
      <w:r>
        <w:rPr>
          <w:rFonts w:hint="eastAsia" w:ascii="仿宋_GB2312" w:hAnsi="仿宋_GB2312" w:eastAsia="仿宋_GB2312"/>
          <w:b w:val="0"/>
          <w:sz w:val="32"/>
          <w:lang w:eastAsia="zh-CN"/>
        </w:rPr>
        <w:t>电子</w:t>
      </w:r>
      <w:r>
        <w:rPr>
          <w:rFonts w:ascii="仿宋_GB2312" w:hAnsi="仿宋_GB2312" w:eastAsia="仿宋_GB2312"/>
          <w:b w:val="0"/>
          <w:sz w:val="32"/>
        </w:rPr>
        <w:t>商务运营补贴、2024年电子商务运营补贴、2023年产业发展扶持资金、津和思路站施工图费等项目经费，导致相关经费增加。</w:t>
      </w:r>
    </w:p>
    <w:p w14:paraId="13915742">
      <w:pPr>
        <w:spacing w:line="640" w:lineRule="exact"/>
        <w:ind w:firstLine="640"/>
        <w:jc w:val="both"/>
        <w:outlineLvl w:val="2"/>
      </w:pPr>
      <w:r>
        <w:rPr>
          <w:rFonts w:ascii="黑体" w:hAnsi="黑体" w:eastAsia="黑体"/>
          <w:sz w:val="32"/>
        </w:rPr>
        <w:t>二、收入决算情况说明</w:t>
      </w:r>
    </w:p>
    <w:p w14:paraId="536FEE1F">
      <w:pPr>
        <w:spacing w:line="580" w:lineRule="exact"/>
        <w:ind w:firstLine="640"/>
        <w:jc w:val="both"/>
      </w:pPr>
      <w:r>
        <w:rPr>
          <w:rFonts w:ascii="仿宋_GB2312" w:hAnsi="仿宋_GB2312" w:eastAsia="仿宋_GB2312"/>
          <w:b/>
          <w:sz w:val="32"/>
        </w:rPr>
        <w:t>本年收入858.93万元，</w:t>
      </w:r>
      <w:r>
        <w:rPr>
          <w:rFonts w:ascii="仿宋_GB2312" w:hAnsi="仿宋_GB2312" w:eastAsia="仿宋_GB2312"/>
          <w:b w:val="0"/>
          <w:sz w:val="32"/>
        </w:rPr>
        <w:t>其中：财政拨款收入377.60万元，占43.96%；上级补助收入0.00万元，占0.00%；事业收入0.00万元，占0.00%；经营收入0.00万元，占0.00%；附属单位上缴收入0.00万元，占0.00%；其他收入481.33万元，占56.04%。</w:t>
      </w:r>
    </w:p>
    <w:p w14:paraId="78B2B51D">
      <w:pPr>
        <w:spacing w:line="640" w:lineRule="exact"/>
        <w:ind w:firstLine="640"/>
        <w:jc w:val="both"/>
        <w:outlineLvl w:val="2"/>
      </w:pPr>
      <w:r>
        <w:rPr>
          <w:rFonts w:ascii="黑体" w:hAnsi="黑体" w:eastAsia="黑体"/>
          <w:sz w:val="32"/>
        </w:rPr>
        <w:t>三、支出决算情况说明</w:t>
      </w:r>
    </w:p>
    <w:p w14:paraId="4CEC5F0F">
      <w:pPr>
        <w:spacing w:line="580" w:lineRule="exact"/>
        <w:ind w:firstLine="640"/>
        <w:jc w:val="both"/>
      </w:pPr>
      <w:r>
        <w:rPr>
          <w:rFonts w:ascii="仿宋_GB2312" w:hAnsi="仿宋_GB2312" w:eastAsia="仿宋_GB2312"/>
          <w:b/>
          <w:sz w:val="32"/>
        </w:rPr>
        <w:t>本年支出858.93万元，</w:t>
      </w:r>
      <w:r>
        <w:rPr>
          <w:rFonts w:ascii="仿宋_GB2312" w:hAnsi="仿宋_GB2312" w:eastAsia="仿宋_GB2312"/>
          <w:b w:val="0"/>
          <w:sz w:val="32"/>
        </w:rPr>
        <w:t>其中：基本支出357.55万元，占41.63%；项目支出501.38万元，占58.37%；上缴上级支出0.00万元，占0.00%；经营支出0.00万元，占0.00%；对附属单位补助支出0.00万元，占0.00%。</w:t>
      </w:r>
    </w:p>
    <w:p w14:paraId="7F97DE7C">
      <w:pPr>
        <w:spacing w:line="640" w:lineRule="exact"/>
        <w:ind w:firstLine="640"/>
        <w:jc w:val="both"/>
        <w:outlineLvl w:val="2"/>
      </w:pPr>
      <w:r>
        <w:rPr>
          <w:rFonts w:ascii="黑体" w:hAnsi="黑体" w:eastAsia="黑体"/>
          <w:sz w:val="32"/>
        </w:rPr>
        <w:t>四、财政拨款收入支出决算总体情况说明</w:t>
      </w:r>
    </w:p>
    <w:p w14:paraId="50F306DD">
      <w:pPr>
        <w:spacing w:line="580" w:lineRule="exact"/>
        <w:ind w:firstLine="640"/>
        <w:jc w:val="both"/>
      </w:pPr>
      <w:r>
        <w:rPr>
          <w:rFonts w:ascii="仿宋_GB2312" w:hAnsi="仿宋_GB2312" w:eastAsia="仿宋_GB2312"/>
          <w:b/>
          <w:sz w:val="32"/>
        </w:rPr>
        <w:t>2024年度财政拨款收入总计377.60万元，</w:t>
      </w:r>
      <w:r>
        <w:rPr>
          <w:rFonts w:ascii="仿宋_GB2312" w:hAnsi="仿宋_GB2312" w:eastAsia="仿宋_GB2312"/>
          <w:b w:val="0"/>
          <w:sz w:val="32"/>
        </w:rPr>
        <w:t>其中：年初财政拨款结转和结余0.00万元，本年财政拨款收入377.60万元。</w:t>
      </w:r>
      <w:r>
        <w:rPr>
          <w:rFonts w:ascii="仿宋_GB2312" w:hAnsi="仿宋_GB2312" w:eastAsia="仿宋_GB2312"/>
          <w:b/>
          <w:sz w:val="32"/>
        </w:rPr>
        <w:t>财政拨款支出总计377.60万元，</w:t>
      </w:r>
      <w:r>
        <w:rPr>
          <w:rFonts w:ascii="仿宋_GB2312" w:hAnsi="仿宋_GB2312" w:eastAsia="仿宋_GB2312"/>
          <w:b w:val="0"/>
          <w:sz w:val="32"/>
        </w:rPr>
        <w:t>其中：年末财政拨款结转和结余0.00万元，本年财政拨款支出377.60万元。</w:t>
      </w:r>
    </w:p>
    <w:p w14:paraId="14ACF61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减少173.86万元，下降31.53%，主要原因是：本年无新增死亡人员，死亡抚恤金支出减少，减少园区基础设施给水工程项目经费，导致相关经费减少。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年初预算数389.11万元，决算数377.60万元，预决算差异率-2.96%，主要原因是：本年在职人员减少，年中调减人员经费，导致预决算存在差异。</w:t>
      </w:r>
    </w:p>
    <w:p w14:paraId="20FB52B5">
      <w:pPr>
        <w:spacing w:line="640" w:lineRule="exact"/>
        <w:ind w:firstLine="640"/>
        <w:jc w:val="both"/>
        <w:outlineLvl w:val="2"/>
      </w:pPr>
      <w:r>
        <w:rPr>
          <w:rFonts w:ascii="黑体" w:hAnsi="黑体" w:eastAsia="黑体"/>
          <w:sz w:val="32"/>
        </w:rPr>
        <w:t>五、一般公共预算财政拨款支出决算情况说明</w:t>
      </w:r>
    </w:p>
    <w:p w14:paraId="578DF7A6">
      <w:pPr>
        <w:spacing w:line="640" w:lineRule="exact"/>
        <w:ind w:firstLine="640"/>
        <w:jc w:val="both"/>
        <w:outlineLvl w:val="3"/>
      </w:pPr>
      <w:r>
        <w:rPr>
          <w:rFonts w:ascii="楷体_GB2312" w:hAnsi="楷体_GB2312" w:eastAsia="楷体_GB2312"/>
          <w:b/>
          <w:sz w:val="32"/>
        </w:rPr>
        <w:t>（一）一般公共预算财政拨款支出决算总体情况</w:t>
      </w:r>
    </w:p>
    <w:p w14:paraId="29B7411B">
      <w:pPr>
        <w:spacing w:line="580" w:lineRule="exact"/>
        <w:ind w:firstLine="640"/>
        <w:jc w:val="both"/>
      </w:pPr>
      <w:r>
        <w:rPr>
          <w:rFonts w:ascii="仿宋_GB2312" w:hAnsi="仿宋_GB2312" w:eastAsia="仿宋_GB2312"/>
          <w:b/>
          <w:sz w:val="32"/>
        </w:rPr>
        <w:t>2024年度一般公共预算财政拨款支出377.60万元，</w:t>
      </w:r>
      <w:r>
        <w:rPr>
          <w:rFonts w:ascii="仿宋_GB2312" w:hAnsi="仿宋_GB2312" w:eastAsia="仿宋_GB2312"/>
          <w:b w:val="0"/>
          <w:sz w:val="32"/>
        </w:rPr>
        <w:t>占本年支出合计的43.96%。</w:t>
      </w:r>
      <w:r>
        <w:rPr>
          <w:rFonts w:ascii="仿宋_GB2312" w:hAnsi="仿宋_GB2312" w:eastAsia="仿宋_GB2312"/>
          <w:b/>
          <w:sz w:val="32"/>
        </w:rPr>
        <w:t>与上年相比，</w:t>
      </w:r>
      <w:r>
        <w:rPr>
          <w:rFonts w:ascii="仿宋_GB2312" w:hAnsi="仿宋_GB2312" w:eastAsia="仿宋_GB2312"/>
          <w:b w:val="0"/>
          <w:sz w:val="32"/>
        </w:rPr>
        <w:t>减少59.07万元，下降13.53%，主要原因是：本年无新增死亡人员，死亡抚恤金支出减少。</w:t>
      </w:r>
      <w:r>
        <w:rPr>
          <w:rFonts w:ascii="仿宋_GB2312" w:hAnsi="仿宋_GB2312" w:eastAsia="仿宋_GB2312"/>
          <w:b/>
          <w:sz w:val="32"/>
        </w:rPr>
        <w:t>与年初预算相比,</w:t>
      </w:r>
      <w:r>
        <w:rPr>
          <w:rFonts w:ascii="仿宋_GB2312" w:hAnsi="仿宋_GB2312" w:eastAsia="仿宋_GB2312"/>
          <w:b w:val="0"/>
          <w:sz w:val="32"/>
        </w:rPr>
        <w:t>年初预算数389.11万元，决算数377.60万元，预决算差异率-2.96%，主要原因是：本年在职人员减少，年中调减人员经费，导致预决算存在差异。</w:t>
      </w:r>
    </w:p>
    <w:p w14:paraId="6F388506">
      <w:pPr>
        <w:spacing w:line="640" w:lineRule="exact"/>
        <w:ind w:firstLine="640"/>
        <w:jc w:val="both"/>
        <w:outlineLvl w:val="3"/>
      </w:pPr>
      <w:r>
        <w:rPr>
          <w:rFonts w:ascii="楷体_GB2312" w:hAnsi="楷体_GB2312" w:eastAsia="楷体_GB2312"/>
          <w:b/>
          <w:sz w:val="32"/>
        </w:rPr>
        <w:t>（二）一般公共预算财政拨款支出决算结构情况</w:t>
      </w:r>
    </w:p>
    <w:p w14:paraId="63420046">
      <w:pPr>
        <w:spacing w:line="580" w:lineRule="exact"/>
        <w:ind w:firstLine="640"/>
        <w:jc w:val="both"/>
      </w:pPr>
      <w:r>
        <w:rPr>
          <w:rFonts w:ascii="仿宋_GB2312" w:hAnsi="仿宋_GB2312" w:eastAsia="仿宋_GB2312"/>
          <w:b w:val="0"/>
          <w:sz w:val="32"/>
        </w:rPr>
        <w:t>1.社会保障和就业支出(类)65.75万元,占17.41%。</w:t>
      </w:r>
    </w:p>
    <w:p w14:paraId="660D324B">
      <w:pPr>
        <w:spacing w:line="580" w:lineRule="exact"/>
        <w:ind w:firstLine="640"/>
        <w:jc w:val="both"/>
      </w:pPr>
      <w:r>
        <w:rPr>
          <w:rFonts w:ascii="仿宋_GB2312" w:hAnsi="仿宋_GB2312" w:eastAsia="仿宋_GB2312"/>
          <w:b w:val="0"/>
          <w:sz w:val="32"/>
        </w:rPr>
        <w:t>2.卫生健康支出(类)19.06万元,占5.05%。</w:t>
      </w:r>
    </w:p>
    <w:p w14:paraId="677CE005">
      <w:pPr>
        <w:spacing w:line="580" w:lineRule="exact"/>
        <w:ind w:firstLine="640"/>
        <w:jc w:val="both"/>
      </w:pPr>
      <w:r>
        <w:rPr>
          <w:rFonts w:ascii="仿宋_GB2312" w:hAnsi="仿宋_GB2312" w:eastAsia="仿宋_GB2312"/>
          <w:b w:val="0"/>
          <w:sz w:val="32"/>
        </w:rPr>
        <w:t>3.农林水支出(类)10.90万元,占2.89%。</w:t>
      </w:r>
    </w:p>
    <w:p w14:paraId="1B5FB53E">
      <w:pPr>
        <w:spacing w:line="580" w:lineRule="exact"/>
        <w:ind w:firstLine="640"/>
        <w:jc w:val="both"/>
      </w:pPr>
      <w:r>
        <w:rPr>
          <w:rFonts w:ascii="仿宋_GB2312" w:hAnsi="仿宋_GB2312" w:eastAsia="仿宋_GB2312"/>
          <w:b w:val="0"/>
          <w:sz w:val="32"/>
        </w:rPr>
        <w:t>4.资源勘探工业信息等支出(类)238.88万元,占63.26%。</w:t>
      </w:r>
    </w:p>
    <w:p w14:paraId="101BF28E">
      <w:pPr>
        <w:spacing w:line="580" w:lineRule="exact"/>
        <w:ind w:firstLine="640"/>
        <w:jc w:val="both"/>
      </w:pPr>
      <w:r>
        <w:rPr>
          <w:rFonts w:ascii="仿宋_GB2312" w:hAnsi="仿宋_GB2312" w:eastAsia="仿宋_GB2312"/>
          <w:b w:val="0"/>
          <w:sz w:val="32"/>
        </w:rPr>
        <w:t>5.商业服务业等支出(类)20.40万元,占5.40%。</w:t>
      </w:r>
    </w:p>
    <w:p w14:paraId="4C205543">
      <w:pPr>
        <w:spacing w:line="580" w:lineRule="exact"/>
        <w:ind w:firstLine="640"/>
        <w:jc w:val="both"/>
      </w:pPr>
      <w:r>
        <w:rPr>
          <w:rFonts w:ascii="仿宋_GB2312" w:hAnsi="仿宋_GB2312" w:eastAsia="仿宋_GB2312"/>
          <w:b w:val="0"/>
          <w:sz w:val="32"/>
        </w:rPr>
        <w:t>6.住房保障支出(类)22.61万元,占5.99%。</w:t>
      </w:r>
    </w:p>
    <w:p w14:paraId="4ABF95F0">
      <w:pPr>
        <w:spacing w:line="640" w:lineRule="exact"/>
        <w:ind w:firstLine="640"/>
        <w:jc w:val="both"/>
        <w:outlineLvl w:val="3"/>
      </w:pPr>
      <w:r>
        <w:rPr>
          <w:rFonts w:ascii="楷体_GB2312" w:hAnsi="楷体_GB2312" w:eastAsia="楷体_GB2312"/>
          <w:b/>
          <w:sz w:val="32"/>
        </w:rPr>
        <w:t>（三）一般公共预算财政拨款支出决算具体情况</w:t>
      </w:r>
    </w:p>
    <w:p w14:paraId="5C77D0F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4.97万元，比上年决算增加4.97万元，增长100.00%,主要原因是：本年功能科目调整，行政单位离退休上年度在主科目列支，本年单独列支，导致经费较上年增加。</w:t>
      </w:r>
    </w:p>
    <w:p w14:paraId="234A072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29.90万元，比上年决算减少0.07万元，下降0.23%,主要原因是：本年在职人员减少，单位基本养老保险缴费较上年减少。</w:t>
      </w:r>
    </w:p>
    <w:p w14:paraId="11ED5CB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30.88万元，比上年决算增加22.16万元，增长254.13%,主要原因是：2024年10月份开始缴纳在职职工职业年金单位部分，职业年金缴费支出增加。</w:t>
      </w:r>
    </w:p>
    <w:p w14:paraId="7477F8DB">
      <w:pPr>
        <w:spacing w:line="580" w:lineRule="exact"/>
        <w:ind w:firstLine="640"/>
        <w:jc w:val="both"/>
      </w:pPr>
      <w:r>
        <w:rPr>
          <w:rFonts w:ascii="仿宋_GB2312" w:hAnsi="仿宋_GB2312" w:eastAsia="仿宋_GB2312"/>
          <w:b w:val="0"/>
          <w:sz w:val="32"/>
        </w:rPr>
        <w:t>4.卫生健康支出(类)行政事业单位医疗(款)行政单位医疗(项):支出决算数为12.14万元，比上年决算增加12.14万元，增长100.00%,主要原因是：本年功能科目调整，行政单位医疗支出上年度在主科目列支，本年单独列支，导致经费较上年增加。</w:t>
      </w:r>
    </w:p>
    <w:p w14:paraId="251DED68">
      <w:pPr>
        <w:spacing w:line="580" w:lineRule="exact"/>
        <w:ind w:firstLine="640"/>
        <w:jc w:val="both"/>
      </w:pPr>
      <w:r>
        <w:rPr>
          <w:rFonts w:ascii="仿宋_GB2312" w:hAnsi="仿宋_GB2312" w:eastAsia="仿宋_GB2312"/>
          <w:b w:val="0"/>
          <w:sz w:val="32"/>
        </w:rPr>
        <w:t>5.卫生健康支出(类)行政事业单位医疗(款)公务员医疗补助(项):支出决算数为6.22万元，比上年决算增加6.22万元，增长100.00%,主要原因是：本年功能科目调整，公务员医疗补助上年度在主科目列支，本年单独列支，导致经费较上年增加。</w:t>
      </w:r>
    </w:p>
    <w:p w14:paraId="373836E3">
      <w:pPr>
        <w:spacing w:line="580" w:lineRule="exact"/>
        <w:ind w:firstLine="640"/>
        <w:jc w:val="both"/>
      </w:pPr>
      <w:r>
        <w:rPr>
          <w:rFonts w:ascii="仿宋_GB2312" w:hAnsi="仿宋_GB2312" w:eastAsia="仿宋_GB2312"/>
          <w:b w:val="0"/>
          <w:sz w:val="32"/>
        </w:rPr>
        <w:t>6.卫生健康支出(类)行政事业单位医疗(款)其他行政事业单位医疗支出(项):支出决算数为0.70万元，比上年决算增加0.70万元，增长100.00%,主要原因是：本年功能科目调整，其他行政事业单位医疗支出上年度在主科目列支，本年单独列支，导致经费较上年增加。</w:t>
      </w:r>
    </w:p>
    <w:p w14:paraId="3578ECCA">
      <w:pPr>
        <w:spacing w:line="580" w:lineRule="exact"/>
        <w:ind w:firstLine="640"/>
        <w:jc w:val="both"/>
      </w:pPr>
      <w:r>
        <w:rPr>
          <w:rFonts w:ascii="仿宋_GB2312" w:hAnsi="仿宋_GB2312" w:eastAsia="仿宋_GB2312"/>
          <w:b w:val="0"/>
          <w:sz w:val="32"/>
        </w:rPr>
        <w:t>7.农林水支出(类)农村综合改革(款)对村级公益事业建设的补助(项):支出决算数为10.90万元，比上年决算减少1.06万元，下降8.86%,主要原因是：本年减少自治区为民办实事工作经费，导致相关经费减少。</w:t>
      </w:r>
    </w:p>
    <w:p w14:paraId="52C8E719">
      <w:pPr>
        <w:spacing w:line="580" w:lineRule="exact"/>
        <w:ind w:firstLine="640"/>
        <w:jc w:val="both"/>
      </w:pPr>
      <w:r>
        <w:rPr>
          <w:rFonts w:ascii="仿宋_GB2312" w:hAnsi="仿宋_GB2312" w:eastAsia="仿宋_GB2312"/>
          <w:b w:val="0"/>
          <w:sz w:val="32"/>
        </w:rPr>
        <w:t>8.资源勘探工业信息等支出(类)工业和信息产业监管(款)行政运行(项):支出决算数为238.88万元，比上年决算减少125.64万元，下降34.47%,主要原因是：本年无新增死亡人员，死亡抚恤金支出减少，本年功能科目调整，</w:t>
      </w:r>
      <w:r>
        <w:rPr>
          <w:rFonts w:hint="eastAsia" w:ascii="仿宋_GB2312" w:hAnsi="仿宋_GB2312" w:eastAsia="仿宋_GB2312"/>
          <w:b w:val="0"/>
          <w:sz w:val="32"/>
          <w:lang w:val="en-US" w:eastAsia="zh-CN"/>
        </w:rPr>
        <w:t>行政</w:t>
      </w:r>
      <w:r>
        <w:rPr>
          <w:rFonts w:ascii="仿宋_GB2312" w:hAnsi="仿宋_GB2312" w:eastAsia="仿宋_GB2312"/>
          <w:b w:val="0"/>
          <w:sz w:val="32"/>
        </w:rPr>
        <w:t>单位离退休、住房公积金、行政单位医疗、其他行政事业单位医疗上年度在主科目列支，本年单独列支，导致相关经费减少。</w:t>
      </w:r>
    </w:p>
    <w:p w14:paraId="08FFC0E2">
      <w:pPr>
        <w:spacing w:line="580" w:lineRule="exact"/>
        <w:ind w:firstLine="640"/>
        <w:jc w:val="both"/>
      </w:pPr>
      <w:r>
        <w:rPr>
          <w:rFonts w:ascii="仿宋_GB2312" w:hAnsi="仿宋_GB2312" w:eastAsia="仿宋_GB2312"/>
          <w:b w:val="0"/>
          <w:sz w:val="32"/>
        </w:rPr>
        <w:t>9.商业服务业等支出(类)涉外发展服务支出(款)其他涉外发展服务支出(项):支出决算数为0.00万元，比上年决算减少14.00万元，下降100.00%,主要原因是：本年减少中央外经贸发展资金项目经费，导致相关经费减少。</w:t>
      </w:r>
    </w:p>
    <w:p w14:paraId="2214D859">
      <w:pPr>
        <w:spacing w:line="580" w:lineRule="exact"/>
        <w:ind w:firstLine="640"/>
        <w:jc w:val="both"/>
      </w:pPr>
      <w:r>
        <w:rPr>
          <w:rFonts w:ascii="仿宋_GB2312" w:hAnsi="仿宋_GB2312" w:eastAsia="仿宋_GB2312"/>
          <w:b w:val="0"/>
          <w:sz w:val="32"/>
        </w:rPr>
        <w:t>10.商业服务业等支出(类)其他商业服务业等支出(款)其他商业服务业等支出(项):支出决算数为20.40万元，比上年决算增加12.90万元，增长172.00%,主要原因是：本年增加2024年服务业发展资金项目经费，导致相关经费增加。</w:t>
      </w:r>
    </w:p>
    <w:p w14:paraId="7F1AB0B8">
      <w:pPr>
        <w:spacing w:line="580" w:lineRule="exact"/>
        <w:ind w:firstLine="640"/>
        <w:jc w:val="both"/>
      </w:pPr>
      <w:r>
        <w:rPr>
          <w:rFonts w:ascii="仿宋_GB2312" w:hAnsi="仿宋_GB2312" w:eastAsia="仿宋_GB2312"/>
          <w:b w:val="0"/>
          <w:sz w:val="32"/>
        </w:rPr>
        <w:t>11.住房保障支出(类)住房改革支出(款)住房公积金(项):支出决算数为22.61万元，比上年决算增加22.61万元，增长100.00%,主要原因是：本年功能科目调整，住房公积金上年度在主科目列支，本年单独列支，导致经费较上年增加。</w:t>
      </w:r>
    </w:p>
    <w:p w14:paraId="7C86E09C">
      <w:pPr>
        <w:spacing w:line="640" w:lineRule="exact"/>
        <w:ind w:firstLine="640"/>
        <w:jc w:val="both"/>
        <w:outlineLvl w:val="2"/>
      </w:pPr>
      <w:r>
        <w:rPr>
          <w:rFonts w:ascii="黑体" w:hAnsi="黑体" w:eastAsia="黑体"/>
          <w:sz w:val="32"/>
        </w:rPr>
        <w:t>六、一般公共预算财政拨款基本支出决算情况说明</w:t>
      </w:r>
    </w:p>
    <w:p w14:paraId="45B540F5">
      <w:pPr>
        <w:spacing w:line="580" w:lineRule="exact"/>
        <w:ind w:firstLine="640"/>
        <w:jc w:val="both"/>
      </w:pPr>
      <w:r>
        <w:rPr>
          <w:rFonts w:ascii="仿宋_GB2312" w:hAnsi="仿宋_GB2312" w:eastAsia="仿宋_GB2312"/>
          <w:b w:val="0"/>
          <w:sz w:val="32"/>
        </w:rPr>
        <w:t>2024年度一般公共预算财政拨款基本支出346.30万元，其中：</w:t>
      </w:r>
      <w:r>
        <w:rPr>
          <w:rFonts w:ascii="仿宋_GB2312" w:hAnsi="仿宋_GB2312" w:eastAsia="仿宋_GB2312"/>
          <w:b/>
          <w:sz w:val="32"/>
        </w:rPr>
        <w:t>人员经费339.98万元，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705DA06F">
      <w:pPr>
        <w:spacing w:line="580" w:lineRule="exact"/>
        <w:ind w:firstLine="640"/>
        <w:jc w:val="both"/>
      </w:pPr>
      <w:r>
        <w:rPr>
          <w:rFonts w:ascii="仿宋_GB2312" w:hAnsi="仿宋_GB2312" w:eastAsia="仿宋_GB2312"/>
          <w:b/>
          <w:sz w:val="32"/>
        </w:rPr>
        <w:t>公用经费6.31万元，</w:t>
      </w:r>
      <w:r>
        <w:rPr>
          <w:rFonts w:ascii="仿宋_GB2312" w:hAnsi="仿宋_GB2312" w:eastAsia="仿宋_GB2312"/>
          <w:b w:val="0"/>
          <w:sz w:val="32"/>
        </w:rPr>
        <w:t>包括：办公费、水费、电费、邮电费、差旅费、公务用车运行维护费。</w:t>
      </w:r>
    </w:p>
    <w:p w14:paraId="3DDD33A6">
      <w:pPr>
        <w:spacing w:line="640" w:lineRule="exact"/>
        <w:ind w:firstLine="640"/>
        <w:jc w:val="both"/>
        <w:outlineLvl w:val="2"/>
      </w:pPr>
      <w:r>
        <w:rPr>
          <w:rFonts w:ascii="黑体" w:hAnsi="黑体" w:eastAsia="黑体"/>
          <w:sz w:val="32"/>
        </w:rPr>
        <w:t>七、政府性基金预算财政拨款收入支出决算情况说明</w:t>
      </w:r>
    </w:p>
    <w:p w14:paraId="4637EB89">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561CB42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减少114.79万元，下降100.00%，主要原因是：本年减少园区基础设施给水工程项目经费，导致相关经费减少。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年初预算数0.00万元，决算数0.00万元，预决算差异率0.00%，主要原因是：本年未安排政府性基金项目资金。</w:t>
      </w:r>
    </w:p>
    <w:p w14:paraId="0B5523D8">
      <w:pPr>
        <w:spacing w:line="580" w:lineRule="exact"/>
        <w:ind w:firstLine="640"/>
        <w:jc w:val="both"/>
      </w:pPr>
      <w:r>
        <w:rPr>
          <w:rFonts w:ascii="仿宋_GB2312" w:hAnsi="仿宋_GB2312" w:eastAsia="仿宋_GB2312"/>
          <w:b w:val="0"/>
          <w:sz w:val="32"/>
        </w:rPr>
        <w:t>政府性基金预算财政拨款支出0.00万元。</w:t>
      </w:r>
    </w:p>
    <w:p w14:paraId="53414BB0">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114.79万元，下降100.00%,主要原因是：本年减少园区基础设施给水工程项目经费，导致相关经费减少。</w:t>
      </w:r>
    </w:p>
    <w:p w14:paraId="110236DA">
      <w:pPr>
        <w:spacing w:line="640" w:lineRule="exact"/>
        <w:ind w:firstLine="640"/>
        <w:jc w:val="both"/>
        <w:outlineLvl w:val="2"/>
      </w:pPr>
      <w:r>
        <w:rPr>
          <w:rFonts w:ascii="黑体" w:hAnsi="黑体" w:eastAsia="黑体"/>
          <w:sz w:val="32"/>
        </w:rPr>
        <w:t>八、国有资本经营预算财政拨款收入支出决算情况说明</w:t>
      </w:r>
    </w:p>
    <w:p w14:paraId="0DB9B53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4932F3C">
      <w:pPr>
        <w:spacing w:line="640" w:lineRule="exact"/>
        <w:ind w:firstLine="640"/>
        <w:jc w:val="both"/>
        <w:outlineLvl w:val="2"/>
      </w:pPr>
      <w:r>
        <w:rPr>
          <w:rFonts w:ascii="黑体" w:hAnsi="黑体" w:eastAsia="黑体"/>
          <w:sz w:val="32"/>
        </w:rPr>
        <w:t>九、财政拨款“三公”经费支出决算情况说明</w:t>
      </w:r>
    </w:p>
    <w:p w14:paraId="7F6561B5">
      <w:pPr>
        <w:spacing w:line="580" w:lineRule="exact"/>
        <w:ind w:firstLine="640"/>
        <w:jc w:val="both"/>
      </w:pPr>
      <w:r>
        <w:rPr>
          <w:rFonts w:ascii="仿宋_GB2312" w:hAnsi="仿宋_GB2312" w:eastAsia="仿宋_GB2312"/>
          <w:b/>
          <w:sz w:val="32"/>
        </w:rPr>
        <w:t>2024年度财政拨款“三公”经费支出1.49万元，</w:t>
      </w:r>
      <w:r>
        <w:rPr>
          <w:rFonts w:ascii="仿宋_GB2312" w:hAnsi="仿宋_GB2312" w:eastAsia="仿宋_GB2312"/>
          <w:b w:val="0"/>
          <w:sz w:val="32"/>
        </w:rPr>
        <w:t>比上年增加0.39万元，增长35.45%，主要原因是：本单位公务用车日渐老化，车辆维修费成本增加。其中：因公出国（境）费支出0.00万元，占0.00%，比上年增加0.00万元，增长0.00%，主要原因是：2023年与2024年均未安排因公出国（境）费支出。公务用车购置及运行维护费支出1.49万元，占100.00%，比上年增加0.39万元，增长35.45%，主要原因是：本单位公务用车日渐老化，车辆维修费成本增加。公务接待费支出0.00万元，占0.00%，比上年增加0.00万元，增长0.00%，主要原因是：2023年与2024年均未安排公务接待费支出。</w:t>
      </w:r>
    </w:p>
    <w:p w14:paraId="0478AD04">
      <w:pPr>
        <w:spacing w:line="580" w:lineRule="exact"/>
        <w:ind w:firstLine="640"/>
        <w:jc w:val="both"/>
      </w:pPr>
      <w:r>
        <w:rPr>
          <w:rFonts w:ascii="仿宋_GB2312" w:hAnsi="仿宋_GB2312" w:eastAsia="仿宋_GB2312"/>
          <w:b/>
          <w:sz w:val="32"/>
        </w:rPr>
        <w:t>具体情况如下：</w:t>
      </w:r>
    </w:p>
    <w:p w14:paraId="6805BDC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CF5F58B">
      <w:pPr>
        <w:spacing w:line="580" w:lineRule="exact"/>
        <w:ind w:firstLine="640"/>
        <w:jc w:val="both"/>
      </w:pPr>
      <w:r>
        <w:rPr>
          <w:rFonts w:ascii="仿宋_GB2312" w:hAnsi="仿宋_GB2312" w:eastAsia="仿宋_GB2312"/>
          <w:b w:val="0"/>
          <w:sz w:val="32"/>
        </w:rPr>
        <w:t>公务用车购置及运行维护费1.49万元，其中：公务用车购置费0.00万元，公务用车运行维护费1.49万元。公务用车运行维护费开支内容包括车辆加油费、维修费、保险费。公务用车购置数0辆，公务用车保有量1辆。国有资产占用情况中固定资产车辆0辆，与公务用车保有量差异原因是：2024年11月因使用年限到期无维修价值，已进行报废。</w:t>
      </w:r>
    </w:p>
    <w:p w14:paraId="77C6505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5C7FA7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1.49万元，决算数1.49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1.49万元，决算数1.49万元，预决算差异率0.00%，主要原因是：严格按照预算执行，预决算无差异。公务接待费全年预算数0.00万元，决算数0.00万元，预决算差异率0.00%，主要原因是：本单位无公务接待费。</w:t>
      </w:r>
    </w:p>
    <w:p w14:paraId="47EDEBBC">
      <w:pPr>
        <w:spacing w:line="640" w:lineRule="exact"/>
        <w:ind w:firstLine="640"/>
        <w:jc w:val="both"/>
        <w:outlineLvl w:val="2"/>
      </w:pPr>
      <w:r>
        <w:rPr>
          <w:rFonts w:ascii="黑体" w:hAnsi="黑体" w:eastAsia="黑体"/>
          <w:sz w:val="32"/>
        </w:rPr>
        <w:t>十、其他重要事项的情况说明</w:t>
      </w:r>
    </w:p>
    <w:p w14:paraId="6021BB2A">
      <w:pPr>
        <w:spacing w:line="640" w:lineRule="exact"/>
        <w:ind w:firstLine="640"/>
        <w:jc w:val="both"/>
        <w:outlineLvl w:val="3"/>
      </w:pPr>
      <w:r>
        <w:rPr>
          <w:rFonts w:ascii="楷体_GB2312" w:hAnsi="楷体_GB2312" w:eastAsia="楷体_GB2312"/>
          <w:b/>
          <w:sz w:val="32"/>
        </w:rPr>
        <w:t>（一）机关运行经费及公用经费支出情况</w:t>
      </w:r>
    </w:p>
    <w:p w14:paraId="60768399">
      <w:pPr>
        <w:spacing w:line="580" w:lineRule="exact"/>
        <w:ind w:firstLine="640"/>
        <w:jc w:val="both"/>
      </w:pPr>
      <w:r>
        <w:rPr>
          <w:rFonts w:ascii="仿宋_GB2312" w:hAnsi="仿宋_GB2312" w:eastAsia="仿宋_GB2312"/>
          <w:b w:val="0"/>
          <w:sz w:val="32"/>
        </w:rPr>
        <w:t>2024年度民丰县商务和工业信息化局（行政单位和参照公务员法管理事业单位）机关运行经费支出6.31万元，比上年减少9.48万元，下降60.04%，主要原因是：本年减少差旅费等经费，导致机关运行经费减少。</w:t>
      </w:r>
    </w:p>
    <w:p w14:paraId="0B936A36">
      <w:pPr>
        <w:spacing w:line="640" w:lineRule="exact"/>
        <w:ind w:firstLine="640"/>
        <w:jc w:val="both"/>
        <w:outlineLvl w:val="3"/>
      </w:pPr>
      <w:r>
        <w:rPr>
          <w:rFonts w:ascii="楷体_GB2312" w:hAnsi="楷体_GB2312" w:eastAsia="楷体_GB2312"/>
          <w:b/>
          <w:sz w:val="32"/>
        </w:rPr>
        <w:t>（二）政府采购情况</w:t>
      </w:r>
    </w:p>
    <w:p w14:paraId="7687D7B1">
      <w:pPr>
        <w:spacing w:line="580" w:lineRule="exact"/>
        <w:ind w:firstLine="640"/>
        <w:jc w:val="both"/>
      </w:pPr>
      <w:r>
        <w:rPr>
          <w:rFonts w:ascii="仿宋_GB2312" w:hAnsi="仿宋_GB2312" w:eastAsia="仿宋_GB2312"/>
          <w:b w:val="0"/>
          <w:sz w:val="32"/>
        </w:rPr>
        <w:t>2024年度政府采购支出总额244.55万元，其中：政府采购货物支出15.56万元、政府采购工程支出0.00万元、政府采购服务支出229.00万元。</w:t>
      </w:r>
    </w:p>
    <w:p w14:paraId="5FF307FC">
      <w:pPr>
        <w:spacing w:line="580" w:lineRule="exact"/>
        <w:ind w:firstLine="640"/>
        <w:jc w:val="both"/>
      </w:pPr>
      <w:r>
        <w:rPr>
          <w:rFonts w:ascii="仿宋_GB2312" w:hAnsi="仿宋_GB2312" w:eastAsia="仿宋_GB2312"/>
          <w:b w:val="0"/>
          <w:sz w:val="32"/>
        </w:rPr>
        <w:t>授予中小企业合同金额244.55万元，占政府采购支出总额的100.00%，其中：授予小微企业合同金额244.55万元，占政府采购支出总额的100.00%。</w:t>
      </w:r>
    </w:p>
    <w:p w14:paraId="6582DD88">
      <w:pPr>
        <w:spacing w:line="640" w:lineRule="exact"/>
        <w:ind w:firstLine="640"/>
        <w:jc w:val="both"/>
        <w:outlineLvl w:val="3"/>
      </w:pPr>
      <w:r>
        <w:rPr>
          <w:rFonts w:ascii="楷体_GB2312" w:hAnsi="楷体_GB2312" w:eastAsia="楷体_GB2312"/>
          <w:b/>
          <w:sz w:val="32"/>
        </w:rPr>
        <w:t>（三）国有资产占用情况说明</w:t>
      </w:r>
    </w:p>
    <w:p w14:paraId="7332994D">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B357323">
      <w:pPr>
        <w:spacing w:line="640" w:lineRule="exact"/>
        <w:ind w:firstLine="640"/>
        <w:jc w:val="both"/>
        <w:outlineLvl w:val="2"/>
      </w:pPr>
      <w:r>
        <w:rPr>
          <w:rFonts w:ascii="黑体" w:hAnsi="黑体" w:eastAsia="黑体"/>
          <w:sz w:val="32"/>
        </w:rPr>
        <w:t>十一、预算绩效的情况说明</w:t>
      </w:r>
    </w:p>
    <w:p w14:paraId="635B358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858.93万元，实际执行总额858.93万元；预算绩效评价项目8个，全年预算数2,763.51万元，全年执行数517.64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具体附整体支出绩效自评表，项目支出绩效自评表和评价报告。</w:t>
      </w:r>
    </w:p>
    <w:p w14:paraId="0DE8659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E5C026B">
        <w:tblPrEx>
          <w:tblCellMar>
            <w:top w:w="0" w:type="dxa"/>
            <w:left w:w="108" w:type="dxa"/>
            <w:bottom w:w="0" w:type="dxa"/>
            <w:right w:w="108" w:type="dxa"/>
          </w:tblCellMar>
        </w:tblPrEx>
        <w:tc>
          <w:tcPr>
            <w:tcW w:w="8847" w:type="dxa"/>
            <w:gridSpan w:val="9"/>
            <w:vAlign w:val="center"/>
          </w:tcPr>
          <w:p w14:paraId="74C73082">
            <w:pPr>
              <w:jc w:val="center"/>
            </w:pPr>
            <w:r>
              <w:rPr>
                <w:rFonts w:ascii="宋体" w:hAnsi="宋体" w:eastAsia="宋体"/>
                <w:sz w:val="24"/>
              </w:rPr>
              <w:t>单位整体支出绩效自评表</w:t>
            </w:r>
          </w:p>
        </w:tc>
      </w:tr>
      <w:tr w14:paraId="4F58D32A">
        <w:tblPrEx>
          <w:tblCellMar>
            <w:top w:w="0" w:type="dxa"/>
            <w:left w:w="108" w:type="dxa"/>
            <w:bottom w:w="0" w:type="dxa"/>
            <w:right w:w="108" w:type="dxa"/>
          </w:tblCellMar>
        </w:tblPrEx>
        <w:tc>
          <w:tcPr>
            <w:tcW w:w="8847" w:type="dxa"/>
            <w:gridSpan w:val="9"/>
            <w:vAlign w:val="center"/>
          </w:tcPr>
          <w:p w14:paraId="63642D29">
            <w:pPr>
              <w:jc w:val="center"/>
            </w:pPr>
            <w:r>
              <w:rPr>
                <w:rFonts w:ascii="宋体" w:hAnsi="宋体" w:eastAsia="宋体"/>
                <w:sz w:val="24"/>
              </w:rPr>
              <w:t>（2024年度）</w:t>
            </w:r>
          </w:p>
        </w:tc>
      </w:tr>
      <w:tr w14:paraId="0316185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E7E2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334717">
            <w:pPr>
              <w:jc w:val="center"/>
            </w:pPr>
            <w:r>
              <w:rPr>
                <w:rFonts w:ascii="宋体" w:hAnsi="宋体" w:eastAsia="宋体"/>
                <w:sz w:val="16"/>
              </w:rPr>
              <w:t>民丰县商务和工业信息化局</w:t>
            </w:r>
          </w:p>
        </w:tc>
      </w:tr>
      <w:tr w14:paraId="10F6943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4CAB6">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2A3B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1B0F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81A5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EE7C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D75F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F1F9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2256F">
            <w:pPr>
              <w:jc w:val="center"/>
            </w:pPr>
            <w:r>
              <w:rPr>
                <w:rFonts w:ascii="宋体" w:hAnsi="宋体" w:eastAsia="宋体"/>
                <w:sz w:val="16"/>
              </w:rPr>
              <w:t>得分</w:t>
            </w:r>
          </w:p>
        </w:tc>
      </w:tr>
      <w:tr w14:paraId="7D5CD3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524B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0EFBA">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FBB3A">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018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D92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82B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C57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A12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E57F0">
            <w:pPr>
              <w:jc w:val="center"/>
            </w:pPr>
            <w:r>
              <w:rPr>
                <w:rFonts w:ascii="宋体" w:hAnsi="宋体" w:eastAsia="宋体"/>
                <w:sz w:val="16"/>
              </w:rPr>
              <w:t>-</w:t>
            </w:r>
          </w:p>
        </w:tc>
      </w:tr>
      <w:tr w14:paraId="3521DE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74BE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0F9D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EC636">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B7C48">
            <w:pPr>
              <w:jc w:val="center"/>
            </w:pPr>
            <w:r>
              <w:rPr>
                <w:rFonts w:ascii="宋体" w:hAnsi="宋体" w:eastAsia="宋体"/>
                <w:sz w:val="16"/>
              </w:rPr>
              <w:t>409.12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51B88">
            <w:pPr>
              <w:jc w:val="center"/>
            </w:pPr>
            <w:r>
              <w:rPr>
                <w:rFonts w:ascii="宋体" w:hAnsi="宋体" w:eastAsia="宋体"/>
                <w:sz w:val="16"/>
              </w:rPr>
              <w:t>377.60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1C287">
            <w:pPr>
              <w:jc w:val="center"/>
            </w:pPr>
            <w:r>
              <w:rPr>
                <w:rFonts w:ascii="宋体" w:hAnsi="宋体" w:eastAsia="宋体"/>
                <w:sz w:val="16"/>
              </w:rPr>
              <w:t>377.60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9C3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8D4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7AC7A">
            <w:pPr>
              <w:jc w:val="center"/>
            </w:pPr>
            <w:r>
              <w:rPr>
                <w:rFonts w:ascii="宋体" w:hAnsi="宋体" w:eastAsia="宋体"/>
                <w:sz w:val="16"/>
              </w:rPr>
              <w:t>-</w:t>
            </w:r>
          </w:p>
        </w:tc>
      </w:tr>
      <w:tr w14:paraId="0613D9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AE74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3F9B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E746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4EC8D">
            <w:pPr>
              <w:jc w:val="center"/>
            </w:pPr>
            <w:r>
              <w:rPr>
                <w:rFonts w:ascii="宋体" w:hAnsi="宋体" w:eastAsia="宋体"/>
                <w:sz w:val="16"/>
              </w:rPr>
              <w:t>2,713.46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D1103">
            <w:pPr>
              <w:jc w:val="center"/>
            </w:pPr>
            <w:r>
              <w:rPr>
                <w:rFonts w:ascii="宋体" w:hAnsi="宋体" w:eastAsia="宋体"/>
                <w:sz w:val="16"/>
              </w:rPr>
              <w:t>481.33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B9345">
            <w:pPr>
              <w:jc w:val="center"/>
            </w:pPr>
            <w:r>
              <w:rPr>
                <w:rFonts w:ascii="宋体" w:hAnsi="宋体" w:eastAsia="宋体"/>
                <w:sz w:val="16"/>
              </w:rPr>
              <w:t>481.33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EF2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EDE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04CB7">
            <w:pPr>
              <w:jc w:val="center"/>
            </w:pPr>
            <w:r>
              <w:rPr>
                <w:rFonts w:ascii="宋体" w:hAnsi="宋体" w:eastAsia="宋体"/>
                <w:sz w:val="16"/>
              </w:rPr>
              <w:t>-</w:t>
            </w:r>
          </w:p>
        </w:tc>
      </w:tr>
      <w:tr w14:paraId="600B0A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905C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DB959">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ABA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DB165">
            <w:pPr>
              <w:jc w:val="center"/>
            </w:pPr>
            <w:r>
              <w:rPr>
                <w:rFonts w:ascii="宋体" w:hAnsi="宋体" w:eastAsia="宋体"/>
                <w:sz w:val="16"/>
              </w:rPr>
              <w:t>3,122.58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9FF15">
            <w:pPr>
              <w:jc w:val="center"/>
            </w:pPr>
            <w:r>
              <w:rPr>
                <w:rFonts w:ascii="宋体" w:hAnsi="宋体" w:eastAsia="宋体"/>
                <w:sz w:val="16"/>
              </w:rPr>
              <w:t>858.93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843F9">
            <w:pPr>
              <w:jc w:val="center"/>
            </w:pPr>
            <w:r>
              <w:rPr>
                <w:rFonts w:ascii="宋体" w:hAnsi="宋体" w:eastAsia="宋体"/>
                <w:sz w:val="16"/>
              </w:rPr>
              <w:t>858.93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6EC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48A4C">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7970C">
            <w:pPr>
              <w:jc w:val="center"/>
            </w:pPr>
            <w:r>
              <w:rPr>
                <w:rFonts w:ascii="宋体" w:hAnsi="宋体" w:eastAsia="宋体"/>
                <w:sz w:val="16"/>
              </w:rPr>
              <w:t>10</w:t>
            </w:r>
          </w:p>
        </w:tc>
      </w:tr>
      <w:tr w14:paraId="026693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D2CB9">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54EA40">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06E5CB">
            <w:pPr>
              <w:jc w:val="center"/>
            </w:pPr>
            <w:r>
              <w:rPr>
                <w:rFonts w:ascii="宋体" w:hAnsi="宋体" w:eastAsia="宋体"/>
                <w:sz w:val="16"/>
              </w:rPr>
              <w:t>实际完成情况</w:t>
            </w:r>
          </w:p>
        </w:tc>
      </w:tr>
      <w:tr w14:paraId="3750C4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5BB8C"/>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E3359D">
            <w:pPr>
              <w:jc w:val="both"/>
            </w:pPr>
            <w:r>
              <w:rPr>
                <w:rFonts w:ascii="宋体" w:hAnsi="宋体" w:eastAsia="宋体"/>
                <w:sz w:val="16"/>
              </w:rPr>
              <w:t>坚持以习近平新时代中国特色社会主义思想为指导，全面贯彻落实党的二十大精神，贯彻落实中央经济工作会议精神，贯彻落实习近平总书记视察新疆重要讲话重要指示精神，贯彻落实中央经济工作会议和第三次中央新疆工作座谈会精神，贯彻落实新时代党的治疆方略，贯彻落实自治区党委十届三次、五次、六次、七次全会精神，弘扬伟大建党精神，巩固党史</w:t>
            </w:r>
            <w:r>
              <w:rPr>
                <w:rFonts w:hint="eastAsia" w:ascii="宋体" w:hAnsi="宋体"/>
                <w:sz w:val="16"/>
                <w:lang w:eastAsia="zh-CN"/>
              </w:rPr>
              <w:t>主题</w:t>
            </w:r>
            <w:r>
              <w:rPr>
                <w:rFonts w:ascii="宋体" w:hAnsi="宋体" w:eastAsia="宋体"/>
                <w:sz w:val="16"/>
              </w:rPr>
              <w:t>教育</w:t>
            </w:r>
            <w:bookmarkStart w:id="0" w:name="_GoBack"/>
            <w:bookmarkEnd w:id="0"/>
            <w:r>
              <w:rPr>
                <w:rFonts w:ascii="宋体" w:hAnsi="宋体" w:eastAsia="宋体"/>
                <w:sz w:val="16"/>
              </w:rPr>
              <w:t>成效，坚持稳中求进工作总基调，完整准确全面贯彻新发展理念，充分发挥新疆资源优势和区位优势，坚定不移走优势资源转换道路，聚焦“八大产业集群”建设，培育壮大特色优势产业，大力推进新型工业化，全力恢复工业经济，构建现代工业产业体系，为奋力开展新疆社会稳定和长治久安新局面作出新贡献。</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3A6351">
            <w:pPr>
              <w:jc w:val="both"/>
            </w:pPr>
            <w:r>
              <w:rPr>
                <w:rFonts w:ascii="宋体" w:hAnsi="宋体" w:eastAsia="宋体"/>
                <w:sz w:val="16"/>
              </w:rPr>
              <w:t>截至2024年12月31日，</w:t>
            </w:r>
            <w:r>
              <w:rPr>
                <w:rFonts w:hint="eastAsia" w:ascii="宋体" w:hAnsi="宋体"/>
                <w:sz w:val="16"/>
                <w:lang w:eastAsia="zh-CN"/>
              </w:rPr>
              <w:t>本单位</w:t>
            </w:r>
            <w:r>
              <w:rPr>
                <w:rFonts w:ascii="宋体" w:hAnsi="宋体" w:eastAsia="宋体"/>
                <w:sz w:val="16"/>
              </w:rPr>
              <w:t>共计支出858.93万元，预算执行率100%。完成了参与或组织企业参加各地各类会展活动次数8次，引进、承接项目数量10个，帮扶带动企业5家。坚持稳中求进工作总基调，完整准确全面贯彻新发展理念，充分发挥新疆资源优势和区位优势，坚定不移走优势资源转换道路，聚焦“八大产业集群”建设，培育壮大特色优势产业，大力推进新型工业化，全力恢复工业经济，构建现代工业产业体系，为奋力开展新疆社会稳定和长治久安新局面作出新贡献。</w:t>
            </w:r>
          </w:p>
        </w:tc>
      </w:tr>
      <w:tr w14:paraId="77480D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4FC6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34A34">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51E8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18709">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3C06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1CAC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D33A5">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C5A87">
            <w:pPr>
              <w:jc w:val="center"/>
            </w:pPr>
            <w:r>
              <w:rPr>
                <w:rFonts w:ascii="宋体" w:hAnsi="宋体" w:eastAsia="宋体"/>
                <w:sz w:val="16"/>
              </w:rPr>
              <w:t>得分</w:t>
            </w:r>
          </w:p>
        </w:tc>
      </w:tr>
      <w:tr w14:paraId="205FA5E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2456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94D41">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97BBA">
            <w:pPr>
              <w:jc w:val="center"/>
            </w:pPr>
            <w:r>
              <w:rPr>
                <w:rFonts w:ascii="宋体" w:hAnsi="宋体" w:eastAsia="宋体"/>
                <w:sz w:val="16"/>
              </w:rPr>
              <w:t>参与或组织企业参加各地各类会展活动次数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65A31">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E3BE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025A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4D8AA">
            <w:pPr>
              <w:jc w:val="center"/>
            </w:pPr>
            <w:r>
              <w:rPr>
                <w:rFonts w:ascii="宋体" w:hAnsi="宋体" w:eastAsia="宋体"/>
                <w:sz w:val="16"/>
              </w:rPr>
              <w: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759B0">
            <w:pPr>
              <w:jc w:val="center"/>
            </w:pPr>
            <w:r>
              <w:rPr>
                <w:rFonts w:ascii="宋体" w:hAnsi="宋体" w:eastAsia="宋体"/>
                <w:sz w:val="16"/>
              </w:rPr>
              <w:t>30</w:t>
            </w:r>
          </w:p>
        </w:tc>
      </w:tr>
      <w:tr w14:paraId="7BD0B0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43DC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6AF6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6FBEF">
            <w:pPr>
              <w:jc w:val="center"/>
            </w:pPr>
            <w:r>
              <w:rPr>
                <w:rFonts w:ascii="宋体" w:hAnsi="宋体" w:eastAsia="宋体"/>
                <w:sz w:val="16"/>
              </w:rPr>
              <w:t>引进、承接项目数量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9862B">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8B72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6B8E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09D3C">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B56FC">
            <w:pPr>
              <w:jc w:val="center"/>
            </w:pPr>
            <w:r>
              <w:rPr>
                <w:rFonts w:ascii="宋体" w:hAnsi="宋体" w:eastAsia="宋体"/>
                <w:sz w:val="16"/>
              </w:rPr>
              <w:t>30</w:t>
            </w:r>
          </w:p>
        </w:tc>
      </w:tr>
      <w:tr w14:paraId="2474DA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B72F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51BC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8DC19">
            <w:pPr>
              <w:jc w:val="center"/>
            </w:pPr>
            <w:r>
              <w:rPr>
                <w:rFonts w:ascii="宋体" w:hAnsi="宋体" w:eastAsia="宋体"/>
                <w:sz w:val="16"/>
              </w:rPr>
              <w:t>帮扶带动企业数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D7E50">
            <w:pPr>
              <w:jc w:val="center"/>
            </w:pPr>
            <w:r>
              <w:rPr>
                <w:rFonts w:ascii="宋体" w:hAnsi="宋体" w:eastAsia="宋体"/>
                <w:sz w:val="16"/>
              </w:rPr>
              <w:t>&gt;=5家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D97C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A736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2EA2E">
            <w:pPr>
              <w:jc w:val="center"/>
            </w:pPr>
            <w:r>
              <w:rPr>
                <w:rFonts w:ascii="宋体" w:hAnsi="宋体" w:eastAsia="宋体"/>
                <w:sz w:val="16"/>
              </w:rPr>
              <w:t>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3BED8">
            <w:pPr>
              <w:jc w:val="center"/>
            </w:pPr>
            <w:r>
              <w:rPr>
                <w:rFonts w:ascii="宋体" w:hAnsi="宋体" w:eastAsia="宋体"/>
                <w:sz w:val="16"/>
              </w:rPr>
              <w:t>30</w:t>
            </w:r>
          </w:p>
        </w:tc>
      </w:tr>
    </w:tbl>
    <w:p w14:paraId="7BDFF86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3E370A0">
        <w:tblPrEx>
          <w:tblCellMar>
            <w:top w:w="0" w:type="dxa"/>
            <w:left w:w="108" w:type="dxa"/>
            <w:bottom w:w="0" w:type="dxa"/>
            <w:right w:w="108" w:type="dxa"/>
          </w:tblCellMar>
        </w:tblPrEx>
        <w:tc>
          <w:tcPr>
            <w:tcW w:w="8847" w:type="dxa"/>
            <w:gridSpan w:val="9"/>
            <w:vAlign w:val="center"/>
          </w:tcPr>
          <w:p w14:paraId="7E6D75AA">
            <w:pPr>
              <w:jc w:val="center"/>
            </w:pPr>
            <w:r>
              <w:rPr>
                <w:rFonts w:ascii="宋体" w:hAnsi="宋体" w:eastAsia="宋体"/>
                <w:sz w:val="24"/>
              </w:rPr>
              <w:t>项目支出绩效自评表</w:t>
            </w:r>
          </w:p>
        </w:tc>
      </w:tr>
      <w:tr w14:paraId="1727734E">
        <w:tblPrEx>
          <w:tblCellMar>
            <w:top w:w="0" w:type="dxa"/>
            <w:left w:w="108" w:type="dxa"/>
            <w:bottom w:w="0" w:type="dxa"/>
            <w:right w:w="108" w:type="dxa"/>
          </w:tblCellMar>
        </w:tblPrEx>
        <w:tc>
          <w:tcPr>
            <w:tcW w:w="8847" w:type="dxa"/>
            <w:gridSpan w:val="9"/>
            <w:vAlign w:val="center"/>
          </w:tcPr>
          <w:p w14:paraId="7DF1004E">
            <w:pPr>
              <w:jc w:val="center"/>
            </w:pPr>
            <w:r>
              <w:rPr>
                <w:rFonts w:ascii="宋体" w:hAnsi="宋体" w:eastAsia="宋体"/>
                <w:sz w:val="24"/>
              </w:rPr>
              <w:t>(2024年度)</w:t>
            </w:r>
          </w:p>
        </w:tc>
      </w:tr>
      <w:tr w14:paraId="2991143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8F21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A1A03E5">
            <w:pPr>
              <w:jc w:val="center"/>
            </w:pPr>
            <w:r>
              <w:rPr>
                <w:rFonts w:ascii="宋体" w:hAnsi="宋体" w:eastAsia="宋体"/>
                <w:sz w:val="16"/>
              </w:rPr>
              <w:t>2022年第一批纺织服装专项资金（结转）</w:t>
            </w:r>
          </w:p>
        </w:tc>
      </w:tr>
      <w:tr w14:paraId="06179D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80EC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40E531">
            <w:pPr>
              <w:jc w:val="center"/>
            </w:pPr>
            <w:r>
              <w:rPr>
                <w:rFonts w:ascii="宋体" w:hAnsi="宋体" w:eastAsia="宋体"/>
                <w:sz w:val="16"/>
              </w:rPr>
              <w:t>民丰县商务和工业信息化局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0CDD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70F0DD">
            <w:pPr>
              <w:jc w:val="center"/>
            </w:pPr>
            <w:r>
              <w:rPr>
                <w:rFonts w:ascii="宋体" w:hAnsi="宋体" w:eastAsia="宋体"/>
                <w:sz w:val="16"/>
              </w:rPr>
              <w:t>民丰县商务和工业信息化局</w:t>
            </w:r>
          </w:p>
        </w:tc>
      </w:tr>
      <w:tr w14:paraId="3D24A35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78D9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11DD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3211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5BD6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BA09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19A8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F7E6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06F07">
            <w:pPr>
              <w:jc w:val="center"/>
            </w:pPr>
            <w:r>
              <w:rPr>
                <w:rFonts w:ascii="宋体" w:hAnsi="宋体" w:eastAsia="宋体"/>
                <w:sz w:val="16"/>
              </w:rPr>
              <w:t>得分</w:t>
            </w:r>
          </w:p>
        </w:tc>
      </w:tr>
      <w:tr w14:paraId="60C6E2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BC1C5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935B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DC3AA">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17C31">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341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05D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6E055">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3D819">
            <w:pPr>
              <w:jc w:val="center"/>
            </w:pPr>
            <w:r>
              <w:rPr>
                <w:rFonts w:ascii="宋体" w:hAnsi="宋体" w:eastAsia="宋体"/>
                <w:sz w:val="16"/>
              </w:rPr>
              <w:t>0.00分</w:t>
            </w:r>
          </w:p>
        </w:tc>
      </w:tr>
      <w:tr w14:paraId="2375F4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B18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C002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8B1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ACA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521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E4C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8D3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2038E">
            <w:pPr>
              <w:jc w:val="center"/>
            </w:pPr>
            <w:r>
              <w:rPr>
                <w:rFonts w:ascii="宋体" w:hAnsi="宋体" w:eastAsia="宋体"/>
                <w:sz w:val="16"/>
              </w:rPr>
              <w:t>—</w:t>
            </w:r>
          </w:p>
        </w:tc>
      </w:tr>
      <w:tr w14:paraId="43C4A8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E17F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CB57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EF993">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70ED3">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615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7F3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5E7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A6205">
            <w:pPr>
              <w:jc w:val="center"/>
            </w:pPr>
            <w:r>
              <w:rPr>
                <w:rFonts w:ascii="宋体" w:hAnsi="宋体" w:eastAsia="宋体"/>
                <w:sz w:val="16"/>
              </w:rPr>
              <w:t>—</w:t>
            </w:r>
          </w:p>
        </w:tc>
      </w:tr>
      <w:tr w14:paraId="6469D7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6D478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93DF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5F4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DCF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F01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933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AF5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2308A">
            <w:pPr>
              <w:jc w:val="center"/>
            </w:pPr>
            <w:r>
              <w:rPr>
                <w:rFonts w:ascii="宋体" w:hAnsi="宋体" w:eastAsia="宋体"/>
                <w:sz w:val="16"/>
              </w:rPr>
              <w:t>—</w:t>
            </w:r>
          </w:p>
        </w:tc>
      </w:tr>
      <w:tr w14:paraId="1891F6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A5176">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547E4B">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6BE79C">
            <w:pPr>
              <w:jc w:val="center"/>
            </w:pPr>
            <w:r>
              <w:rPr>
                <w:rFonts w:ascii="宋体" w:hAnsi="宋体" w:eastAsia="宋体"/>
                <w:sz w:val="16"/>
              </w:rPr>
              <w:t>实际完成情况</w:t>
            </w:r>
          </w:p>
        </w:tc>
      </w:tr>
      <w:tr w14:paraId="709849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8FD85D"/>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3A75FD">
            <w:pPr>
              <w:jc w:val="both"/>
            </w:pPr>
            <w:r>
              <w:rPr>
                <w:rFonts w:ascii="宋体" w:hAnsi="宋体" w:eastAsia="宋体"/>
                <w:sz w:val="16"/>
              </w:rPr>
              <w:t>根据和地财建</w:t>
            </w:r>
            <w:r>
              <w:rPr>
                <w:rFonts w:hint="eastAsia" w:ascii="宋体" w:hAnsi="宋体"/>
                <w:sz w:val="16"/>
                <w:lang w:eastAsia="zh-CN"/>
              </w:rPr>
              <w:t>〔2022〕66号</w:t>
            </w:r>
            <w:r>
              <w:rPr>
                <w:rFonts w:ascii="宋体" w:hAnsi="宋体" w:eastAsia="宋体"/>
                <w:sz w:val="16"/>
              </w:rPr>
              <w:t>文件实施本项目。项目实施内容：主要用于对我县1家纺织服装企业发放补贴，补贴企业用电费用以及从金融机构取得的用于生产的贷款利息补贴。通过项目的实施，有效加快推进我县纺织服装企业快速发展，有效保障我县纺织服装产业持续健康发展。</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61559E">
            <w:pPr>
              <w:jc w:val="both"/>
            </w:pPr>
            <w:r>
              <w:rPr>
                <w:rFonts w:ascii="宋体" w:hAnsi="宋体" w:eastAsia="宋体"/>
                <w:sz w:val="16"/>
              </w:rPr>
              <w:t>截至2024年12月底，本项目预算安排20万元，实际支出0万元，预算执行率0%。目标都没有完成，主要原因是民丰县纺织服装企业少，基础差，一直没有企业申报该项目补贴资金。</w:t>
            </w:r>
          </w:p>
        </w:tc>
      </w:tr>
      <w:tr w14:paraId="69D43A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ECFF9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5F25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91F0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CE69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CCB9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343B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E305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7797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39145">
            <w:pPr>
              <w:jc w:val="center"/>
            </w:pPr>
            <w:r>
              <w:rPr>
                <w:rFonts w:ascii="宋体" w:hAnsi="宋体" w:eastAsia="宋体"/>
                <w:sz w:val="16"/>
              </w:rPr>
              <w:t>偏差原因分析及改进措施</w:t>
            </w:r>
          </w:p>
        </w:tc>
      </w:tr>
      <w:tr w14:paraId="6AF498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E097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F5C6C">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ADC4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7BA30">
            <w:pPr>
              <w:jc w:val="center"/>
            </w:pPr>
            <w:r>
              <w:rPr>
                <w:rFonts w:ascii="宋体" w:hAnsi="宋体" w:eastAsia="宋体"/>
                <w:sz w:val="16"/>
              </w:rPr>
              <w:t>发放补贴企业数量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9808B">
            <w:pPr>
              <w:jc w:val="center"/>
            </w:pPr>
            <w:r>
              <w:rPr>
                <w:rFonts w:ascii="宋体" w:hAnsi="宋体" w:eastAsia="宋体"/>
                <w:sz w:val="16"/>
              </w:rPr>
              <w:t>&gt;=1家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9ABD5">
            <w:pPr>
              <w:jc w:val="center"/>
            </w:pPr>
            <w:r>
              <w:rPr>
                <w:rFonts w:ascii="宋体" w:hAnsi="宋体" w:eastAsia="宋体"/>
                <w:sz w:val="16"/>
              </w:rPr>
              <w:t>=0家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760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2FA0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F9B67">
            <w:pPr>
              <w:jc w:val="center"/>
            </w:pPr>
            <w:r>
              <w:rPr>
                <w:rFonts w:ascii="宋体" w:hAnsi="宋体" w:eastAsia="宋体"/>
                <w:sz w:val="16"/>
              </w:rPr>
              <w:t>主要原因是民丰县纺织服装企业少，企业发展不稳定，一直没有企业申报该项目的补贴资金，导致资金拨付不出去。改进措施：加大宣传力度，吸引企业进行申报。</w:t>
            </w:r>
          </w:p>
        </w:tc>
      </w:tr>
      <w:tr w14:paraId="387561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82C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4DA5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9553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6F68F">
            <w:pPr>
              <w:jc w:val="center"/>
            </w:pPr>
            <w:r>
              <w:rPr>
                <w:rFonts w:ascii="宋体" w:hAnsi="宋体" w:eastAsia="宋体"/>
                <w:sz w:val="16"/>
              </w:rPr>
              <w:t>补助企业覆盖率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A39B6">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8FE2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324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64DC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92365">
            <w:pPr>
              <w:jc w:val="center"/>
            </w:pPr>
            <w:r>
              <w:rPr>
                <w:rFonts w:ascii="宋体" w:hAnsi="宋体" w:eastAsia="宋体"/>
                <w:sz w:val="16"/>
              </w:rPr>
              <w:t>主要原因是民丰县纺织服装企业少，企业发展不稳定，一直没有企业申报该项目的补贴资金，导致资金拨付不出去。改进措施：加大宣传力度，吸引企业进行申报。</w:t>
            </w:r>
          </w:p>
        </w:tc>
      </w:tr>
      <w:tr w14:paraId="7BE15C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0DA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51963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E002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3509E">
            <w:pPr>
              <w:jc w:val="center"/>
            </w:pPr>
            <w:r>
              <w:rPr>
                <w:rFonts w:ascii="宋体" w:hAnsi="宋体" w:eastAsia="宋体"/>
                <w:sz w:val="16"/>
              </w:rPr>
              <w:t>补贴发放及时率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81D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CC4D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AD0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2014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057B2">
            <w:pPr>
              <w:jc w:val="center"/>
            </w:pPr>
            <w:r>
              <w:rPr>
                <w:rFonts w:ascii="宋体" w:hAnsi="宋体" w:eastAsia="宋体"/>
                <w:sz w:val="16"/>
              </w:rPr>
              <w:t>主要原因是民丰县纺织服装企业少，企业发展不稳定，一直没有企业申报该项目的补贴资金，导致资金拨付不出去。改进措施：加大宣传力度，吸引企业进行申报。</w:t>
            </w:r>
          </w:p>
        </w:tc>
      </w:tr>
      <w:tr w14:paraId="109D4B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AB84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FD7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5B03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6B362">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BBEC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7918D">
            <w:pPr>
              <w:jc w:val="center"/>
            </w:pPr>
            <w:r>
              <w:rPr>
                <w:rFonts w:ascii="宋体" w:hAnsi="宋体" w:eastAsia="宋体"/>
                <w:sz w:val="16"/>
              </w:rPr>
              <w:t>=0年12月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2D6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DF3A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768B6">
            <w:pPr>
              <w:jc w:val="center"/>
            </w:pPr>
            <w:r>
              <w:rPr>
                <w:rFonts w:ascii="宋体" w:hAnsi="宋体" w:eastAsia="宋体"/>
                <w:sz w:val="16"/>
              </w:rPr>
              <w:t>主要原因是民丰县纺织服装企业少，企业发展不稳定，一直没有企业申报该项目的补贴资金，导致资金拨付不出去。改进措施：加大宣传力度，吸引企业进行申报。</w:t>
            </w:r>
          </w:p>
        </w:tc>
      </w:tr>
      <w:tr w14:paraId="6AD60A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C9E0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45655">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0BD6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55051">
            <w:pPr>
              <w:jc w:val="center"/>
            </w:pPr>
            <w:r>
              <w:rPr>
                <w:rFonts w:ascii="宋体" w:hAnsi="宋体" w:eastAsia="宋体"/>
                <w:sz w:val="16"/>
              </w:rPr>
              <w:t>补贴纺织服装企业成本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A0826">
            <w:pPr>
              <w:jc w:val="center"/>
            </w:pPr>
            <w:r>
              <w:rPr>
                <w:rFonts w:ascii="宋体" w:hAnsi="宋体" w:eastAsia="宋体"/>
                <w:sz w:val="16"/>
              </w:rPr>
              <w:t>&lt;=20万元/家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2B4F6">
            <w:pPr>
              <w:jc w:val="center"/>
            </w:pPr>
            <w:r>
              <w:rPr>
                <w:rFonts w:ascii="宋体" w:hAnsi="宋体" w:eastAsia="宋体"/>
                <w:sz w:val="16"/>
              </w:rPr>
              <w:t>=0万元/家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319B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16F0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C647A">
            <w:pPr>
              <w:jc w:val="center"/>
            </w:pPr>
            <w:r>
              <w:rPr>
                <w:rFonts w:ascii="宋体" w:hAnsi="宋体" w:eastAsia="宋体"/>
                <w:sz w:val="16"/>
              </w:rPr>
              <w:t>主要原因是民丰县纺织服装企业少，企业发展不稳定，一直没有企业申报该项目的补贴资金，导致资金拨付不出去。改进措施：加大宣传力度，吸引企业进行申报。</w:t>
            </w:r>
          </w:p>
        </w:tc>
      </w:tr>
      <w:tr w14:paraId="11051D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E28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B4F9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7D24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02AA8">
            <w:pPr>
              <w:jc w:val="center"/>
            </w:pPr>
            <w:r>
              <w:rPr>
                <w:rFonts w:ascii="宋体" w:hAnsi="宋体" w:eastAsia="宋体"/>
                <w:sz w:val="16"/>
              </w:rPr>
              <w:t>有效推进我县纺织服装企业发展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2B4AC">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BEE89">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C47B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D60B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1CBEF">
            <w:pPr>
              <w:jc w:val="center"/>
            </w:pPr>
            <w:r>
              <w:rPr>
                <w:rFonts w:ascii="宋体" w:hAnsi="宋体" w:eastAsia="宋体"/>
                <w:sz w:val="16"/>
              </w:rPr>
              <w:t>主要原因是民丰县纺织服装企业少，企业发展不稳定，一直没有企业申报该项目的补贴资金，导致资金拨付不出去。改进措施：加大宣传力度，吸引企业进行申报。</w:t>
            </w:r>
          </w:p>
        </w:tc>
      </w:tr>
      <w:tr w14:paraId="30AF2C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CCBD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8E8B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0BA4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49FAF">
            <w:pPr>
              <w:jc w:val="center"/>
            </w:pPr>
            <w:r>
              <w:rPr>
                <w:rFonts w:ascii="宋体" w:hAnsi="宋体" w:eastAsia="宋体"/>
                <w:sz w:val="16"/>
              </w:rPr>
              <w:t>补助企业满意度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817D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9FAB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E51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3653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6911D">
            <w:pPr>
              <w:jc w:val="center"/>
            </w:pPr>
            <w:r>
              <w:rPr>
                <w:rFonts w:ascii="宋体" w:hAnsi="宋体" w:eastAsia="宋体"/>
                <w:sz w:val="16"/>
              </w:rPr>
              <w:t>主要原因是民丰县纺织服装企业少，企业发展不稳定，一直没有企业申报该项目的补贴资金，导致资金拨付不出去。改进措施：加大宣传力度，吸引企业进行申报。</w:t>
            </w:r>
          </w:p>
        </w:tc>
      </w:tr>
      <w:tr w14:paraId="18D0F41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77E5E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AD9D2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81E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DEEB4">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09BAE5"/>
        </w:tc>
      </w:tr>
    </w:tbl>
    <w:p w14:paraId="7F72709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C7A308">
        <w:tc>
          <w:tcPr>
            <w:tcW w:w="8847" w:type="dxa"/>
            <w:gridSpan w:val="9"/>
            <w:vAlign w:val="center"/>
          </w:tcPr>
          <w:p w14:paraId="3C12B2FD">
            <w:pPr>
              <w:jc w:val="center"/>
            </w:pPr>
            <w:r>
              <w:rPr>
                <w:rFonts w:ascii="宋体" w:hAnsi="宋体" w:eastAsia="宋体"/>
                <w:sz w:val="24"/>
              </w:rPr>
              <w:t>项目支出绩效自评表</w:t>
            </w:r>
          </w:p>
        </w:tc>
      </w:tr>
      <w:tr w14:paraId="565C5854">
        <w:tblPrEx>
          <w:tblCellMar>
            <w:top w:w="0" w:type="dxa"/>
            <w:left w:w="108" w:type="dxa"/>
            <w:bottom w:w="0" w:type="dxa"/>
            <w:right w:w="108" w:type="dxa"/>
          </w:tblCellMar>
        </w:tblPrEx>
        <w:tc>
          <w:tcPr>
            <w:tcW w:w="8847" w:type="dxa"/>
            <w:gridSpan w:val="9"/>
            <w:vAlign w:val="center"/>
          </w:tcPr>
          <w:p w14:paraId="64DD7DC5">
            <w:pPr>
              <w:jc w:val="center"/>
            </w:pPr>
            <w:r>
              <w:rPr>
                <w:rFonts w:ascii="宋体" w:hAnsi="宋体" w:eastAsia="宋体"/>
                <w:sz w:val="24"/>
              </w:rPr>
              <w:t>(2024年度)</w:t>
            </w:r>
          </w:p>
        </w:tc>
      </w:tr>
      <w:tr w14:paraId="4E46D54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9F1A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A95311A">
            <w:pPr>
              <w:jc w:val="center"/>
            </w:pPr>
            <w:r>
              <w:rPr>
                <w:rFonts w:ascii="宋体" w:hAnsi="宋体" w:eastAsia="宋体"/>
                <w:sz w:val="16"/>
              </w:rPr>
              <w:t>2023年天津援疆招商引资项目</w:t>
            </w:r>
          </w:p>
        </w:tc>
      </w:tr>
      <w:tr w14:paraId="48619AB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8376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C980CA">
            <w:pPr>
              <w:jc w:val="center"/>
            </w:pPr>
            <w:r>
              <w:rPr>
                <w:rFonts w:ascii="宋体" w:hAnsi="宋体" w:eastAsia="宋体"/>
                <w:sz w:val="16"/>
              </w:rPr>
              <w:t>民丰县商务和工业信息化局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F96D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428036">
            <w:pPr>
              <w:jc w:val="center"/>
            </w:pPr>
            <w:r>
              <w:rPr>
                <w:rFonts w:ascii="宋体" w:hAnsi="宋体" w:eastAsia="宋体"/>
                <w:sz w:val="16"/>
              </w:rPr>
              <w:t>民丰县商务和工业信息化局</w:t>
            </w:r>
          </w:p>
        </w:tc>
      </w:tr>
      <w:tr w14:paraId="4C60748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6C0D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E420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5748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1F60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0E0D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2067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D034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E78EF">
            <w:pPr>
              <w:jc w:val="center"/>
            </w:pPr>
            <w:r>
              <w:rPr>
                <w:rFonts w:ascii="宋体" w:hAnsi="宋体" w:eastAsia="宋体"/>
                <w:sz w:val="16"/>
              </w:rPr>
              <w:t>得分</w:t>
            </w:r>
          </w:p>
        </w:tc>
      </w:tr>
      <w:tr w14:paraId="362A89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B4B6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35C5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C75A6">
            <w:pPr>
              <w:jc w:val="center"/>
            </w:pPr>
            <w:r>
              <w:rPr>
                <w:rFonts w:ascii="宋体" w:hAnsi="宋体" w:eastAsia="宋体"/>
                <w:sz w:val="16"/>
              </w:rPr>
              <w:t>18.38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33087">
            <w:pPr>
              <w:jc w:val="center"/>
            </w:pPr>
            <w:r>
              <w:rPr>
                <w:rFonts w:ascii="宋体" w:hAnsi="宋体" w:eastAsia="宋体"/>
                <w:sz w:val="16"/>
              </w:rPr>
              <w:t>18.38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C6E31">
            <w:pPr>
              <w:jc w:val="center"/>
            </w:pPr>
            <w:r>
              <w:rPr>
                <w:rFonts w:ascii="宋体" w:hAnsi="宋体" w:eastAsia="宋体"/>
                <w:sz w:val="16"/>
              </w:rPr>
              <w:t>18.38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5CF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8565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DD67E">
            <w:pPr>
              <w:jc w:val="center"/>
            </w:pPr>
            <w:r>
              <w:rPr>
                <w:rFonts w:ascii="宋体" w:hAnsi="宋体" w:eastAsia="宋体"/>
                <w:sz w:val="16"/>
              </w:rPr>
              <w:t>10.00分</w:t>
            </w:r>
          </w:p>
        </w:tc>
      </w:tr>
      <w:tr w14:paraId="38569F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BEB76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D73D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9F2FB">
            <w:pPr>
              <w:jc w:val="center"/>
            </w:pPr>
            <w:r>
              <w:rPr>
                <w:rFonts w:ascii="宋体" w:hAnsi="宋体" w:eastAsia="宋体"/>
                <w:sz w:val="16"/>
              </w:rPr>
              <w:t>18.38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F561B">
            <w:pPr>
              <w:jc w:val="center"/>
            </w:pPr>
            <w:r>
              <w:rPr>
                <w:rFonts w:ascii="宋体" w:hAnsi="宋体" w:eastAsia="宋体"/>
                <w:sz w:val="16"/>
              </w:rPr>
              <w:t>18.38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1121F">
            <w:pPr>
              <w:jc w:val="center"/>
            </w:pPr>
            <w:r>
              <w:rPr>
                <w:rFonts w:ascii="宋体" w:hAnsi="宋体" w:eastAsia="宋体"/>
                <w:sz w:val="16"/>
              </w:rPr>
              <w:t>18.38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53A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32E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8FE51">
            <w:pPr>
              <w:jc w:val="center"/>
            </w:pPr>
            <w:r>
              <w:rPr>
                <w:rFonts w:ascii="宋体" w:hAnsi="宋体" w:eastAsia="宋体"/>
                <w:sz w:val="16"/>
              </w:rPr>
              <w:t>—</w:t>
            </w:r>
          </w:p>
        </w:tc>
      </w:tr>
      <w:tr w14:paraId="5AE78A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8C62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E39C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1B5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311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22A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6EF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9BD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83EAC">
            <w:pPr>
              <w:jc w:val="center"/>
            </w:pPr>
            <w:r>
              <w:rPr>
                <w:rFonts w:ascii="宋体" w:hAnsi="宋体" w:eastAsia="宋体"/>
                <w:sz w:val="16"/>
              </w:rPr>
              <w:t>—</w:t>
            </w:r>
          </w:p>
        </w:tc>
      </w:tr>
      <w:tr w14:paraId="054AF9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F8688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F473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80B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568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9E4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9B3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B580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A9E5E">
            <w:pPr>
              <w:jc w:val="center"/>
            </w:pPr>
            <w:r>
              <w:rPr>
                <w:rFonts w:ascii="宋体" w:hAnsi="宋体" w:eastAsia="宋体"/>
                <w:sz w:val="16"/>
              </w:rPr>
              <w:t>—</w:t>
            </w:r>
          </w:p>
        </w:tc>
      </w:tr>
      <w:tr w14:paraId="5F0680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A51D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33DB3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3BDC8D">
            <w:pPr>
              <w:jc w:val="center"/>
            </w:pPr>
            <w:r>
              <w:rPr>
                <w:rFonts w:ascii="宋体" w:hAnsi="宋体" w:eastAsia="宋体"/>
                <w:sz w:val="16"/>
              </w:rPr>
              <w:t>实际完成情况</w:t>
            </w:r>
          </w:p>
        </w:tc>
      </w:tr>
      <w:tr w14:paraId="73DB89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9683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45FEF2">
            <w:pPr>
              <w:jc w:val="both"/>
            </w:pPr>
            <w:r>
              <w:rPr>
                <w:rFonts w:ascii="宋体" w:hAnsi="宋体" w:eastAsia="宋体"/>
                <w:sz w:val="16"/>
              </w:rPr>
              <w:t>根据项目实施方案实施本项目。项目实施内容：该项目资金主要用于报销外出开展招</w:t>
            </w:r>
            <w:r>
              <w:rPr>
                <w:rFonts w:hint="eastAsia" w:ascii="宋体" w:hAnsi="宋体"/>
                <w:sz w:val="16"/>
                <w:lang w:eastAsia="zh-CN"/>
              </w:rPr>
              <w:t>商引资</w:t>
            </w:r>
            <w:r>
              <w:rPr>
                <w:rFonts w:ascii="宋体" w:hAnsi="宋体" w:eastAsia="宋体"/>
                <w:sz w:val="16"/>
              </w:rPr>
              <w:t>和参加展会的差旅费，支付接待招商客商的接待费，装修地区民丰县招</w:t>
            </w:r>
            <w:r>
              <w:rPr>
                <w:rFonts w:hint="eastAsia" w:ascii="宋体" w:hAnsi="宋体"/>
                <w:sz w:val="16"/>
                <w:lang w:eastAsia="zh-CN"/>
              </w:rPr>
              <w:t>商引资</w:t>
            </w:r>
            <w:r>
              <w:rPr>
                <w:rFonts w:ascii="宋体" w:hAnsi="宋体" w:eastAsia="宋体"/>
                <w:sz w:val="16"/>
              </w:rPr>
              <w:t>服务中心，招</w:t>
            </w:r>
            <w:r>
              <w:rPr>
                <w:rFonts w:hint="eastAsia" w:ascii="宋体" w:hAnsi="宋体"/>
                <w:sz w:val="16"/>
                <w:lang w:eastAsia="zh-CN"/>
              </w:rPr>
              <w:t>商引资</w:t>
            </w:r>
            <w:r>
              <w:rPr>
                <w:rFonts w:ascii="宋体" w:hAnsi="宋体" w:eastAsia="宋体"/>
                <w:sz w:val="16"/>
              </w:rPr>
              <w:t>宣传费用等招商活动支出。通过项目实施，进一步优化了我县的招</w:t>
            </w:r>
            <w:r>
              <w:rPr>
                <w:rFonts w:hint="eastAsia" w:ascii="宋体" w:hAnsi="宋体"/>
                <w:sz w:val="16"/>
                <w:lang w:eastAsia="zh-CN"/>
              </w:rPr>
              <w:t>商引资</w:t>
            </w:r>
            <w:r>
              <w:rPr>
                <w:rFonts w:ascii="宋体" w:hAnsi="宋体" w:eastAsia="宋体"/>
                <w:sz w:val="16"/>
              </w:rPr>
              <w:t>营商环境，吸引更多企业来考察和投资。</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E81878">
            <w:pPr>
              <w:jc w:val="both"/>
            </w:pPr>
            <w:r>
              <w:rPr>
                <w:rFonts w:ascii="宋体" w:hAnsi="宋体" w:eastAsia="宋体"/>
                <w:sz w:val="16"/>
              </w:rPr>
              <w:t>截至2024年12月底，本项目预算安排18.38万元，实际支出18.38万元，预算执行率100%。项目已经完成装修招</w:t>
            </w:r>
            <w:r>
              <w:rPr>
                <w:rFonts w:hint="eastAsia" w:ascii="宋体" w:hAnsi="宋体"/>
                <w:sz w:val="16"/>
                <w:lang w:eastAsia="zh-CN"/>
              </w:rPr>
              <w:t>商引资</w:t>
            </w:r>
            <w:r>
              <w:rPr>
                <w:rFonts w:ascii="宋体" w:hAnsi="宋体" w:eastAsia="宋体"/>
                <w:sz w:val="16"/>
              </w:rPr>
              <w:t>服务中心1个，外出开展招</w:t>
            </w:r>
            <w:r>
              <w:rPr>
                <w:rFonts w:hint="eastAsia" w:ascii="宋体" w:hAnsi="宋体"/>
                <w:sz w:val="16"/>
                <w:lang w:eastAsia="zh-CN"/>
              </w:rPr>
              <w:t>商引资</w:t>
            </w:r>
            <w:r>
              <w:rPr>
                <w:rFonts w:ascii="宋体" w:hAnsi="宋体" w:eastAsia="宋体"/>
                <w:sz w:val="16"/>
              </w:rPr>
              <w:t>活动5次，参加各类展会3次，资金使用合规率100%，资金拨付及时率100%，有效增强招商活动对我县企业影响力，招</w:t>
            </w:r>
            <w:r>
              <w:rPr>
                <w:rFonts w:hint="eastAsia" w:ascii="宋体" w:hAnsi="宋体"/>
                <w:sz w:val="16"/>
                <w:lang w:eastAsia="zh-CN"/>
              </w:rPr>
              <w:t>商引资</w:t>
            </w:r>
            <w:r>
              <w:rPr>
                <w:rFonts w:ascii="宋体" w:hAnsi="宋体" w:eastAsia="宋体"/>
                <w:sz w:val="16"/>
              </w:rPr>
              <w:t>落地企业的满意度100%。通过项目实施，进一步优化了我县的招</w:t>
            </w:r>
            <w:r>
              <w:rPr>
                <w:rFonts w:hint="eastAsia" w:ascii="宋体" w:hAnsi="宋体"/>
                <w:sz w:val="16"/>
                <w:lang w:eastAsia="zh-CN"/>
              </w:rPr>
              <w:t>商引资</w:t>
            </w:r>
            <w:r>
              <w:rPr>
                <w:rFonts w:ascii="宋体" w:hAnsi="宋体" w:eastAsia="宋体"/>
                <w:sz w:val="16"/>
              </w:rPr>
              <w:t>营商环境，吸引更多企业来考察和投资。</w:t>
            </w:r>
            <w:r>
              <w:rPr>
                <w:rFonts w:ascii="宋体" w:hAnsi="宋体" w:eastAsia="宋体"/>
                <w:sz w:val="16"/>
              </w:rPr>
              <w:br w:type="textWrapping"/>
            </w:r>
          </w:p>
        </w:tc>
      </w:tr>
      <w:tr w14:paraId="5BAC50F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CC9E1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B87B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AB57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C678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18E4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5DB2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7277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4CEF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0936F">
            <w:pPr>
              <w:jc w:val="center"/>
            </w:pPr>
            <w:r>
              <w:rPr>
                <w:rFonts w:ascii="宋体" w:hAnsi="宋体" w:eastAsia="宋体"/>
                <w:sz w:val="16"/>
              </w:rPr>
              <w:t>偏差原因分析及改进措施</w:t>
            </w:r>
          </w:p>
        </w:tc>
      </w:tr>
      <w:tr w14:paraId="7C8299A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94CE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FC8E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21D5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76D83">
            <w:pPr>
              <w:jc w:val="center"/>
            </w:pPr>
            <w:r>
              <w:rPr>
                <w:rFonts w:ascii="宋体" w:hAnsi="宋体" w:eastAsia="宋体"/>
                <w:sz w:val="16"/>
              </w:rPr>
              <w:t>装修招商引资服务中心数量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6937A">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E0852">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DA0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FB4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11B78">
            <w:pPr>
              <w:jc w:val="center"/>
            </w:pPr>
          </w:p>
        </w:tc>
      </w:tr>
      <w:tr w14:paraId="5AA8EB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14BC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92D6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2E41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EA33A">
            <w:pPr>
              <w:jc w:val="center"/>
            </w:pPr>
            <w:r>
              <w:rPr>
                <w:rFonts w:ascii="宋体" w:hAnsi="宋体" w:eastAsia="宋体"/>
                <w:sz w:val="16"/>
              </w:rPr>
              <w:t>外出开展招商引资活动次数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6B90E">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B7E82">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363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F16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198CF">
            <w:pPr>
              <w:jc w:val="center"/>
            </w:pPr>
          </w:p>
        </w:tc>
      </w:tr>
      <w:tr w14:paraId="1CA75D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4F3E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085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420B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2C80E">
            <w:pPr>
              <w:jc w:val="center"/>
            </w:pPr>
            <w:r>
              <w:rPr>
                <w:rFonts w:ascii="宋体" w:hAnsi="宋体" w:eastAsia="宋体"/>
                <w:sz w:val="16"/>
              </w:rPr>
              <w:t>参加各类展会次数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22837">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FD033">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E35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9E3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66D4D">
            <w:pPr>
              <w:jc w:val="center"/>
            </w:pPr>
          </w:p>
        </w:tc>
      </w:tr>
      <w:tr w14:paraId="49B8F4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74B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F01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B105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14453">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880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BEE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C8E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1EC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EE714">
            <w:pPr>
              <w:jc w:val="center"/>
            </w:pPr>
          </w:p>
        </w:tc>
      </w:tr>
      <w:tr w14:paraId="65D3E5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CF98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8F9D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3DBD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6001F">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6F0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B1F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51A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FC6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657F4">
            <w:pPr>
              <w:jc w:val="center"/>
            </w:pPr>
          </w:p>
        </w:tc>
      </w:tr>
      <w:tr w14:paraId="58E14F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2505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A58A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36F5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973A5">
            <w:pPr>
              <w:jc w:val="center"/>
            </w:pPr>
            <w:r>
              <w:rPr>
                <w:rFonts w:ascii="宋体" w:hAnsi="宋体" w:eastAsia="宋体"/>
                <w:sz w:val="16"/>
              </w:rPr>
              <w:t>有效增强招商活动对我县企业影响力的可持续性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0B079">
            <w:pPr>
              <w:jc w:val="center"/>
            </w:pPr>
            <w:r>
              <w:rPr>
                <w:rFonts w:ascii="宋体" w:hAnsi="宋体" w:eastAsia="宋体"/>
                <w:sz w:val="16"/>
              </w:rPr>
              <w:t>有效增强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2F87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E7E0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4FF14">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D461E">
            <w:pPr>
              <w:jc w:val="center"/>
            </w:pPr>
          </w:p>
        </w:tc>
      </w:tr>
      <w:tr w14:paraId="2009E2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0896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9483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DF88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AB7BC">
            <w:pPr>
              <w:jc w:val="center"/>
            </w:pPr>
            <w:r>
              <w:rPr>
                <w:rFonts w:ascii="宋体" w:hAnsi="宋体" w:eastAsia="宋体"/>
                <w:sz w:val="16"/>
              </w:rPr>
              <w:t>招商引资落地企业的满意度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E163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F05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433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941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5CD72">
            <w:pPr>
              <w:jc w:val="center"/>
            </w:pPr>
          </w:p>
        </w:tc>
      </w:tr>
      <w:tr w14:paraId="1F82C08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A9ACE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436C9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DA3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1EC35">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5967AC7"/>
        </w:tc>
      </w:tr>
    </w:tbl>
    <w:p w14:paraId="0CF7505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F16A812">
        <w:tblPrEx>
          <w:tblCellMar>
            <w:top w:w="0" w:type="dxa"/>
            <w:left w:w="108" w:type="dxa"/>
            <w:bottom w:w="0" w:type="dxa"/>
            <w:right w:w="108" w:type="dxa"/>
          </w:tblCellMar>
        </w:tblPrEx>
        <w:tc>
          <w:tcPr>
            <w:tcW w:w="8847" w:type="dxa"/>
            <w:gridSpan w:val="9"/>
            <w:vAlign w:val="center"/>
          </w:tcPr>
          <w:p w14:paraId="6168A2EA">
            <w:pPr>
              <w:jc w:val="center"/>
            </w:pPr>
            <w:r>
              <w:rPr>
                <w:rFonts w:ascii="宋体" w:hAnsi="宋体" w:eastAsia="宋体"/>
                <w:sz w:val="24"/>
              </w:rPr>
              <w:t>项目支出绩效自评表</w:t>
            </w:r>
          </w:p>
        </w:tc>
      </w:tr>
      <w:tr w14:paraId="48149F84">
        <w:tblPrEx>
          <w:tblCellMar>
            <w:top w:w="0" w:type="dxa"/>
            <w:left w:w="108" w:type="dxa"/>
            <w:bottom w:w="0" w:type="dxa"/>
            <w:right w:w="108" w:type="dxa"/>
          </w:tblCellMar>
        </w:tblPrEx>
        <w:tc>
          <w:tcPr>
            <w:tcW w:w="8847" w:type="dxa"/>
            <w:gridSpan w:val="9"/>
            <w:vAlign w:val="center"/>
          </w:tcPr>
          <w:p w14:paraId="67B23973">
            <w:pPr>
              <w:jc w:val="center"/>
            </w:pPr>
            <w:r>
              <w:rPr>
                <w:rFonts w:ascii="宋体" w:hAnsi="宋体" w:eastAsia="宋体"/>
                <w:sz w:val="24"/>
              </w:rPr>
              <w:t>(2024年度)</w:t>
            </w:r>
          </w:p>
        </w:tc>
      </w:tr>
      <w:tr w14:paraId="5B91C6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0F77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72BC71">
            <w:pPr>
              <w:jc w:val="center"/>
            </w:pPr>
            <w:r>
              <w:rPr>
                <w:rFonts w:ascii="宋体" w:hAnsi="宋体" w:eastAsia="宋体"/>
                <w:sz w:val="16"/>
              </w:rPr>
              <w:t>2024年度服务业发展资金</w:t>
            </w:r>
          </w:p>
        </w:tc>
      </w:tr>
      <w:tr w14:paraId="706FCE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B369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88A039">
            <w:pPr>
              <w:jc w:val="center"/>
            </w:pPr>
            <w:r>
              <w:rPr>
                <w:rFonts w:ascii="宋体" w:hAnsi="宋体" w:eastAsia="宋体"/>
                <w:sz w:val="16"/>
              </w:rPr>
              <w:t>民丰县商务和工业信息化局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BACD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E98777">
            <w:pPr>
              <w:jc w:val="center"/>
            </w:pPr>
            <w:r>
              <w:rPr>
                <w:rFonts w:ascii="宋体" w:hAnsi="宋体" w:eastAsia="宋体"/>
                <w:sz w:val="16"/>
              </w:rPr>
              <w:t>民丰县商务和工业信息化局</w:t>
            </w:r>
          </w:p>
        </w:tc>
      </w:tr>
      <w:tr w14:paraId="72038F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F22B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97BC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BDD5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5381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FAF2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9C6C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E425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5BA91">
            <w:pPr>
              <w:jc w:val="center"/>
            </w:pPr>
            <w:r>
              <w:rPr>
                <w:rFonts w:ascii="宋体" w:hAnsi="宋体" w:eastAsia="宋体"/>
                <w:sz w:val="16"/>
              </w:rPr>
              <w:t>得分</w:t>
            </w:r>
          </w:p>
        </w:tc>
      </w:tr>
      <w:tr w14:paraId="10EBB8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C06FD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7EA0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A06A2">
            <w:pPr>
              <w:jc w:val="center"/>
            </w:pPr>
            <w:r>
              <w:rPr>
                <w:rFonts w:ascii="宋体" w:hAnsi="宋体" w:eastAsia="宋体"/>
                <w:sz w:val="16"/>
              </w:rPr>
              <w:t>6.40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C136C">
            <w:pPr>
              <w:jc w:val="center"/>
            </w:pPr>
            <w:r>
              <w:rPr>
                <w:rFonts w:ascii="宋体" w:hAnsi="宋体" w:eastAsia="宋体"/>
                <w:sz w:val="16"/>
              </w:rPr>
              <w:t>6.40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98386">
            <w:pPr>
              <w:jc w:val="center"/>
            </w:pPr>
            <w:r>
              <w:rPr>
                <w:rFonts w:ascii="宋体" w:hAnsi="宋体" w:eastAsia="宋体"/>
                <w:sz w:val="16"/>
              </w:rPr>
              <w:t>6.40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B09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82A1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8AE3E">
            <w:pPr>
              <w:jc w:val="center"/>
            </w:pPr>
            <w:r>
              <w:rPr>
                <w:rFonts w:ascii="宋体" w:hAnsi="宋体" w:eastAsia="宋体"/>
                <w:sz w:val="16"/>
              </w:rPr>
              <w:t>10.00分</w:t>
            </w:r>
          </w:p>
        </w:tc>
      </w:tr>
      <w:tr w14:paraId="6622F6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CBE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03BB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C9C93">
            <w:pPr>
              <w:jc w:val="center"/>
            </w:pPr>
            <w:r>
              <w:rPr>
                <w:rFonts w:ascii="宋体" w:hAnsi="宋体" w:eastAsia="宋体"/>
                <w:sz w:val="16"/>
              </w:rPr>
              <w:t>6.40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DD192">
            <w:pPr>
              <w:jc w:val="center"/>
            </w:pPr>
            <w:r>
              <w:rPr>
                <w:rFonts w:ascii="宋体" w:hAnsi="宋体" w:eastAsia="宋体"/>
                <w:sz w:val="16"/>
              </w:rPr>
              <w:t>6.40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38749">
            <w:pPr>
              <w:jc w:val="center"/>
            </w:pPr>
            <w:r>
              <w:rPr>
                <w:rFonts w:ascii="宋体" w:hAnsi="宋体" w:eastAsia="宋体"/>
                <w:sz w:val="16"/>
              </w:rPr>
              <w:t>6.40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D34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6A5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14463">
            <w:pPr>
              <w:jc w:val="center"/>
            </w:pPr>
            <w:r>
              <w:rPr>
                <w:rFonts w:ascii="宋体" w:hAnsi="宋体" w:eastAsia="宋体"/>
                <w:sz w:val="16"/>
              </w:rPr>
              <w:t>—</w:t>
            </w:r>
          </w:p>
        </w:tc>
      </w:tr>
      <w:tr w14:paraId="04F78A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EDEE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263E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A7F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201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A61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E1F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468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B031C">
            <w:pPr>
              <w:jc w:val="center"/>
            </w:pPr>
            <w:r>
              <w:rPr>
                <w:rFonts w:ascii="宋体" w:hAnsi="宋体" w:eastAsia="宋体"/>
                <w:sz w:val="16"/>
              </w:rPr>
              <w:t>—</w:t>
            </w:r>
          </w:p>
        </w:tc>
      </w:tr>
      <w:tr w14:paraId="0863D0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FF51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D8C3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7E5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32C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CC8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812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E73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17B6D">
            <w:pPr>
              <w:jc w:val="center"/>
            </w:pPr>
            <w:r>
              <w:rPr>
                <w:rFonts w:ascii="宋体" w:hAnsi="宋体" w:eastAsia="宋体"/>
                <w:sz w:val="16"/>
              </w:rPr>
              <w:t>—</w:t>
            </w:r>
          </w:p>
        </w:tc>
      </w:tr>
      <w:tr w14:paraId="5910E5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7996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B4627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24533B">
            <w:pPr>
              <w:jc w:val="center"/>
            </w:pPr>
            <w:r>
              <w:rPr>
                <w:rFonts w:ascii="宋体" w:hAnsi="宋体" w:eastAsia="宋体"/>
                <w:sz w:val="16"/>
              </w:rPr>
              <w:t>实际完成情况</w:t>
            </w:r>
          </w:p>
        </w:tc>
      </w:tr>
      <w:tr w14:paraId="68A206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48C6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8376B9">
            <w:pPr>
              <w:jc w:val="both"/>
            </w:pPr>
            <w:r>
              <w:rPr>
                <w:rFonts w:ascii="宋体" w:hAnsi="宋体" w:eastAsia="宋体"/>
                <w:sz w:val="16"/>
              </w:rPr>
              <w:t>根据项目实施方案实施本项目。项目实施内容：计划建设改造一批县级物流配送中心、乡镇商贸中心和快递物流站点，促进物流效率提升、流通成本降低，县域物流配送中心新增改造一个，升级改造站点4个，补贴1家企业。通过项目实施，促进农民增收效果，快递进村速度有效提升，围绕地方特色产业，打造一批县域现代流通供应链，促进工业品下乡和农产品进城更加畅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7EDC88">
            <w:pPr>
              <w:jc w:val="both"/>
            </w:pPr>
            <w:r>
              <w:rPr>
                <w:rFonts w:ascii="宋体" w:hAnsi="宋体" w:eastAsia="宋体"/>
                <w:sz w:val="16"/>
              </w:rPr>
              <w:t>截至2024年12月底，本项目预算安排6.4万元，实际支出6.4万元，预算执行率100%。项目已经完成新增改造县域物流配送中心1个，升级改造站点4个，补贴企业1家，资金使用合规率100%，项目支付及时率100%，有效促进农民增收效果，有效提升快递进村速度，受益群众满意度100%。通过项目实施，促进农民增收效果，快递进村速度有效提升，围绕地方特色产业，打造一批县域现代流通供应链，促进工业品下乡和农产品进城更加畅通。</w:t>
            </w:r>
            <w:r>
              <w:rPr>
                <w:rFonts w:ascii="宋体" w:hAnsi="宋体" w:eastAsia="宋体"/>
                <w:sz w:val="16"/>
              </w:rPr>
              <w:br w:type="textWrapping"/>
            </w:r>
          </w:p>
        </w:tc>
      </w:tr>
      <w:tr w14:paraId="782D75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87463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AA65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53E7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4E31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94F5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7CCC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EE9B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A17F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4EBAA">
            <w:pPr>
              <w:jc w:val="center"/>
            </w:pPr>
            <w:r>
              <w:rPr>
                <w:rFonts w:ascii="宋体" w:hAnsi="宋体" w:eastAsia="宋体"/>
                <w:sz w:val="16"/>
              </w:rPr>
              <w:t>偏差原因分析及改进措施</w:t>
            </w:r>
          </w:p>
        </w:tc>
      </w:tr>
      <w:tr w14:paraId="17AADD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7486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DC9E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B2BA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35048">
            <w:pPr>
              <w:jc w:val="center"/>
            </w:pPr>
            <w:r>
              <w:rPr>
                <w:rFonts w:ascii="宋体" w:hAnsi="宋体" w:eastAsia="宋体"/>
                <w:sz w:val="16"/>
              </w:rPr>
              <w:t>县域物流配送中心新增改造数量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FDF8F">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4AFB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9C3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BCC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1A948">
            <w:pPr>
              <w:jc w:val="center"/>
            </w:pPr>
          </w:p>
        </w:tc>
      </w:tr>
      <w:tr w14:paraId="5E064B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81AF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FC3F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2CC2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3A69A">
            <w:pPr>
              <w:jc w:val="center"/>
            </w:pPr>
            <w:r>
              <w:rPr>
                <w:rFonts w:ascii="宋体" w:hAnsi="宋体" w:eastAsia="宋体"/>
                <w:sz w:val="16"/>
              </w:rPr>
              <w:t>升级改造站点数量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018F5">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EC40F">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6A6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628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AC561">
            <w:pPr>
              <w:jc w:val="center"/>
            </w:pPr>
          </w:p>
        </w:tc>
      </w:tr>
      <w:tr w14:paraId="7E733B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C770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5DE2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E4F4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ADE25">
            <w:pPr>
              <w:jc w:val="center"/>
            </w:pPr>
            <w:r>
              <w:rPr>
                <w:rFonts w:ascii="宋体" w:hAnsi="宋体" w:eastAsia="宋体"/>
                <w:sz w:val="16"/>
              </w:rPr>
              <w:t>补贴企业数量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95A9A">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6B262">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42B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346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FA277">
            <w:pPr>
              <w:jc w:val="center"/>
            </w:pPr>
          </w:p>
        </w:tc>
      </w:tr>
      <w:tr w14:paraId="1397F0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A7FB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5086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9508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D9D1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05C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5DA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9ED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B8F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2480B">
            <w:pPr>
              <w:jc w:val="center"/>
            </w:pPr>
          </w:p>
        </w:tc>
      </w:tr>
      <w:tr w14:paraId="247139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786B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BA25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EBBA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FEDE1">
            <w:pPr>
              <w:jc w:val="center"/>
            </w:pPr>
            <w:r>
              <w:rPr>
                <w:rFonts w:ascii="宋体" w:hAnsi="宋体" w:eastAsia="宋体"/>
                <w:sz w:val="16"/>
              </w:rPr>
              <w:t>项目及时支付率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EB8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C4E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923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917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93E04">
            <w:pPr>
              <w:jc w:val="center"/>
            </w:pPr>
          </w:p>
        </w:tc>
      </w:tr>
      <w:tr w14:paraId="571438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16A1A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AC6BA">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B43B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EA768">
            <w:pPr>
              <w:jc w:val="center"/>
            </w:pPr>
            <w:r>
              <w:rPr>
                <w:rFonts w:ascii="宋体" w:hAnsi="宋体" w:eastAsia="宋体"/>
                <w:sz w:val="16"/>
              </w:rPr>
              <w:t>促进农民增收效果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E70F0">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8D2F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C502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1E5A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DF811">
            <w:pPr>
              <w:jc w:val="center"/>
            </w:pPr>
          </w:p>
        </w:tc>
      </w:tr>
      <w:tr w14:paraId="5170BC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361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A9E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5DE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AC033">
            <w:pPr>
              <w:jc w:val="center"/>
            </w:pPr>
            <w:r>
              <w:rPr>
                <w:rFonts w:ascii="宋体" w:hAnsi="宋体" w:eastAsia="宋体"/>
                <w:sz w:val="16"/>
              </w:rPr>
              <w:t>快递进村速度有效提升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CA784">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C59F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AB3E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9045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F0248">
            <w:pPr>
              <w:jc w:val="center"/>
            </w:pPr>
          </w:p>
        </w:tc>
      </w:tr>
      <w:tr w14:paraId="09F047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350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5CE3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F6CB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C749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2780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910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8DE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B17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D4D31">
            <w:pPr>
              <w:jc w:val="center"/>
            </w:pPr>
          </w:p>
        </w:tc>
      </w:tr>
      <w:tr w14:paraId="2D597EF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72BBB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F6BE1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BBB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2AF72">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2956C4E"/>
        </w:tc>
      </w:tr>
    </w:tbl>
    <w:p w14:paraId="22C0E93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D9D05B">
        <w:tblPrEx>
          <w:tblCellMar>
            <w:top w:w="0" w:type="dxa"/>
            <w:left w:w="108" w:type="dxa"/>
            <w:bottom w:w="0" w:type="dxa"/>
            <w:right w:w="108" w:type="dxa"/>
          </w:tblCellMar>
        </w:tblPrEx>
        <w:tc>
          <w:tcPr>
            <w:tcW w:w="8847" w:type="dxa"/>
            <w:gridSpan w:val="9"/>
            <w:vAlign w:val="center"/>
          </w:tcPr>
          <w:p w14:paraId="103C59DB">
            <w:pPr>
              <w:jc w:val="center"/>
            </w:pPr>
            <w:r>
              <w:rPr>
                <w:rFonts w:ascii="宋体" w:hAnsi="宋体" w:eastAsia="宋体"/>
                <w:sz w:val="24"/>
              </w:rPr>
              <w:t>项目支出绩效自评表</w:t>
            </w:r>
          </w:p>
        </w:tc>
      </w:tr>
      <w:tr w14:paraId="651F8A0E">
        <w:tblPrEx>
          <w:tblCellMar>
            <w:top w:w="0" w:type="dxa"/>
            <w:left w:w="108" w:type="dxa"/>
            <w:bottom w:w="0" w:type="dxa"/>
            <w:right w:w="108" w:type="dxa"/>
          </w:tblCellMar>
        </w:tblPrEx>
        <w:tc>
          <w:tcPr>
            <w:tcW w:w="8847" w:type="dxa"/>
            <w:gridSpan w:val="9"/>
            <w:vAlign w:val="center"/>
          </w:tcPr>
          <w:p w14:paraId="7D6BD478">
            <w:pPr>
              <w:jc w:val="center"/>
            </w:pPr>
            <w:r>
              <w:rPr>
                <w:rFonts w:ascii="宋体" w:hAnsi="宋体" w:eastAsia="宋体"/>
                <w:sz w:val="24"/>
              </w:rPr>
              <w:t>(2024年度)</w:t>
            </w:r>
          </w:p>
        </w:tc>
      </w:tr>
      <w:tr w14:paraId="6E77B20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279E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81CA26">
            <w:pPr>
              <w:jc w:val="center"/>
            </w:pPr>
            <w:r>
              <w:rPr>
                <w:rFonts w:ascii="宋体" w:hAnsi="宋体" w:eastAsia="宋体"/>
                <w:sz w:val="16"/>
              </w:rPr>
              <w:t>2024年度服务业发展资金（第二批）</w:t>
            </w:r>
          </w:p>
        </w:tc>
      </w:tr>
      <w:tr w14:paraId="2669385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FD17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5286CD">
            <w:pPr>
              <w:jc w:val="center"/>
            </w:pPr>
            <w:r>
              <w:rPr>
                <w:rFonts w:ascii="宋体" w:hAnsi="宋体" w:eastAsia="宋体"/>
                <w:sz w:val="16"/>
              </w:rPr>
              <w:t>民丰县商务和工业信息化局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41A2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A9D46F">
            <w:pPr>
              <w:jc w:val="center"/>
            </w:pPr>
            <w:r>
              <w:rPr>
                <w:rFonts w:ascii="宋体" w:hAnsi="宋体" w:eastAsia="宋体"/>
                <w:sz w:val="16"/>
              </w:rPr>
              <w:t>民丰县商务和工业信息化局</w:t>
            </w:r>
          </w:p>
        </w:tc>
      </w:tr>
      <w:tr w14:paraId="70A19BC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70B8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2CF9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0475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330A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9571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5CBF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36DE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C67FC">
            <w:pPr>
              <w:jc w:val="center"/>
            </w:pPr>
            <w:r>
              <w:rPr>
                <w:rFonts w:ascii="宋体" w:hAnsi="宋体" w:eastAsia="宋体"/>
                <w:sz w:val="16"/>
              </w:rPr>
              <w:t>得分</w:t>
            </w:r>
          </w:p>
        </w:tc>
      </w:tr>
      <w:tr w14:paraId="1F5E95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DB4F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6CD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56004">
            <w:pPr>
              <w:jc w:val="center"/>
            </w:pPr>
            <w:r>
              <w:rPr>
                <w:rFonts w:ascii="宋体" w:hAnsi="宋体" w:eastAsia="宋体"/>
                <w:sz w:val="16"/>
              </w:rPr>
              <w:t>23.64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667DD">
            <w:pPr>
              <w:jc w:val="center"/>
            </w:pPr>
            <w:r>
              <w:rPr>
                <w:rFonts w:ascii="宋体" w:hAnsi="宋体" w:eastAsia="宋体"/>
                <w:sz w:val="16"/>
              </w:rPr>
              <w:t>23.64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D20A7">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99A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DCB18">
            <w:pPr>
              <w:jc w:val="center"/>
            </w:pPr>
            <w:r>
              <w:rPr>
                <w:rFonts w:ascii="宋体" w:hAnsi="宋体" w:eastAsia="宋体"/>
                <w:sz w:val="16"/>
              </w:rPr>
              <w:t xml:space="preserve">59.22%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BFFE1">
            <w:pPr>
              <w:jc w:val="center"/>
            </w:pPr>
            <w:r>
              <w:rPr>
                <w:rFonts w:ascii="宋体" w:hAnsi="宋体" w:eastAsia="宋体"/>
                <w:sz w:val="16"/>
              </w:rPr>
              <w:t>0.00分</w:t>
            </w:r>
          </w:p>
        </w:tc>
      </w:tr>
      <w:tr w14:paraId="5AA32D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ED80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4C9E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FB122">
            <w:pPr>
              <w:jc w:val="center"/>
            </w:pPr>
            <w:r>
              <w:rPr>
                <w:rFonts w:ascii="宋体" w:hAnsi="宋体" w:eastAsia="宋体"/>
                <w:sz w:val="16"/>
              </w:rPr>
              <w:t>23.64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C34D3">
            <w:pPr>
              <w:jc w:val="center"/>
            </w:pPr>
            <w:r>
              <w:rPr>
                <w:rFonts w:ascii="宋体" w:hAnsi="宋体" w:eastAsia="宋体"/>
                <w:sz w:val="16"/>
              </w:rPr>
              <w:t>23.64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ACBAE">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68B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25C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30F12">
            <w:pPr>
              <w:jc w:val="center"/>
            </w:pPr>
            <w:r>
              <w:rPr>
                <w:rFonts w:ascii="宋体" w:hAnsi="宋体" w:eastAsia="宋体"/>
                <w:sz w:val="16"/>
              </w:rPr>
              <w:t>—</w:t>
            </w:r>
          </w:p>
        </w:tc>
      </w:tr>
      <w:tr w14:paraId="2AB278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635AB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5D78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113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E99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57F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793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67C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EEDCF">
            <w:pPr>
              <w:jc w:val="center"/>
            </w:pPr>
            <w:r>
              <w:rPr>
                <w:rFonts w:ascii="宋体" w:hAnsi="宋体" w:eastAsia="宋体"/>
                <w:sz w:val="16"/>
              </w:rPr>
              <w:t>—</w:t>
            </w:r>
          </w:p>
        </w:tc>
      </w:tr>
      <w:tr w14:paraId="65A122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3CBC6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CCE9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294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045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589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2D1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65C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68B12">
            <w:pPr>
              <w:jc w:val="center"/>
            </w:pPr>
            <w:r>
              <w:rPr>
                <w:rFonts w:ascii="宋体" w:hAnsi="宋体" w:eastAsia="宋体"/>
                <w:sz w:val="16"/>
              </w:rPr>
              <w:t>—</w:t>
            </w:r>
          </w:p>
        </w:tc>
      </w:tr>
      <w:tr w14:paraId="1C6367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49DF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41D89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2C1E37">
            <w:pPr>
              <w:jc w:val="center"/>
            </w:pPr>
            <w:r>
              <w:rPr>
                <w:rFonts w:ascii="宋体" w:hAnsi="宋体" w:eastAsia="宋体"/>
                <w:sz w:val="16"/>
              </w:rPr>
              <w:t>实际完成情况</w:t>
            </w:r>
          </w:p>
        </w:tc>
      </w:tr>
      <w:tr w14:paraId="13902E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AEDD4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3FAF47">
            <w:pPr>
              <w:jc w:val="both"/>
            </w:pPr>
            <w:r>
              <w:rPr>
                <w:rFonts w:ascii="宋体" w:hAnsi="宋体" w:eastAsia="宋体"/>
                <w:sz w:val="16"/>
              </w:rPr>
              <w:t>根据项目实施方案实施本项目。项目实施内容：建设改造1个县域家电家具回收中转站，有效提升县域再生资源聚集和中转能力，计划改造县域旧家电家具回收中转站1个，改造建设办公室2个，搭架家电储存棚1座。通过项目实施，填补了民丰县没有废旧家电家具回收中转站的空白，完善了以旧换新回收网络体系建设和家电家具以旧换新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4AEBD6">
            <w:pPr>
              <w:jc w:val="both"/>
            </w:pPr>
            <w:r>
              <w:rPr>
                <w:rFonts w:ascii="宋体" w:hAnsi="宋体" w:eastAsia="宋体"/>
                <w:sz w:val="16"/>
              </w:rPr>
              <w:t>截至2024年12月底，本项目预算安排23.64万元，实际支出14万元，预算执行率59.22%。项目已经完成改造县域旧家电家具回收中转站1个，改造建设办公室2间，搭架家电储存棚1座，项目验收合格率100%，项目及时完成率100%，项目完成时间2024年11月，有效完善以旧换新回收网络体系建设，受益企业满意度100%，通过项目实施，达到了有效提升县域再生资源聚集和中转能力，填补了民丰县没有废旧家电家具回收中转站的空白，完善了以旧换新回收网络体系建设和家电家具以旧换新工作。</w:t>
            </w:r>
            <w:r>
              <w:rPr>
                <w:rFonts w:ascii="宋体" w:hAnsi="宋体" w:eastAsia="宋体"/>
                <w:sz w:val="16"/>
              </w:rPr>
              <w:br w:type="textWrapping"/>
            </w:r>
          </w:p>
        </w:tc>
      </w:tr>
      <w:tr w14:paraId="2F81DA4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F319F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ABFA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3A56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C5A2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04D1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8B5F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AAB3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006A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0BBF6">
            <w:pPr>
              <w:jc w:val="center"/>
            </w:pPr>
            <w:r>
              <w:rPr>
                <w:rFonts w:ascii="宋体" w:hAnsi="宋体" w:eastAsia="宋体"/>
                <w:sz w:val="16"/>
              </w:rPr>
              <w:t>偏差原因分析及改进措施</w:t>
            </w:r>
          </w:p>
        </w:tc>
      </w:tr>
      <w:tr w14:paraId="47224F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5576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4D9C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BA81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4998A">
            <w:pPr>
              <w:jc w:val="center"/>
            </w:pPr>
            <w:r>
              <w:rPr>
                <w:rFonts w:ascii="宋体" w:hAnsi="宋体" w:eastAsia="宋体"/>
                <w:sz w:val="16"/>
              </w:rPr>
              <w:t>改造县域旧家电家具回收中转站数量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DD28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65791">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FF62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60ED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8C075">
            <w:pPr>
              <w:jc w:val="center"/>
            </w:pPr>
          </w:p>
        </w:tc>
      </w:tr>
      <w:tr w14:paraId="3079EC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ED6E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8DD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FEB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06989">
            <w:pPr>
              <w:jc w:val="center"/>
            </w:pPr>
            <w:r>
              <w:rPr>
                <w:rFonts w:ascii="宋体" w:hAnsi="宋体" w:eastAsia="宋体"/>
                <w:sz w:val="16"/>
              </w:rPr>
              <w:t>改造建设办公室数量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94CFF">
            <w:pPr>
              <w:jc w:val="center"/>
            </w:pPr>
            <w:r>
              <w:rPr>
                <w:rFonts w:ascii="宋体" w:hAnsi="宋体" w:eastAsia="宋体"/>
                <w:sz w:val="16"/>
              </w:rPr>
              <w:t>=2间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C0D2F">
            <w:pPr>
              <w:jc w:val="center"/>
            </w:pPr>
            <w:r>
              <w:rPr>
                <w:rFonts w:ascii="宋体" w:hAnsi="宋体" w:eastAsia="宋体"/>
                <w:sz w:val="16"/>
              </w:rPr>
              <w:t>=2间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8ED5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BEFD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FB086">
            <w:pPr>
              <w:jc w:val="center"/>
            </w:pPr>
          </w:p>
        </w:tc>
      </w:tr>
      <w:tr w14:paraId="1974DC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42B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99D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5E34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FB06F">
            <w:pPr>
              <w:jc w:val="center"/>
            </w:pPr>
            <w:r>
              <w:rPr>
                <w:rFonts w:ascii="宋体" w:hAnsi="宋体" w:eastAsia="宋体"/>
                <w:sz w:val="16"/>
              </w:rPr>
              <w:t>搭架家电储存棚数量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0536E">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393D5">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AC9D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0783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1458A">
            <w:pPr>
              <w:jc w:val="center"/>
            </w:pPr>
          </w:p>
        </w:tc>
      </w:tr>
      <w:tr w14:paraId="398070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DEF7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21D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EB9E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FB946">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B51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2C7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E352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429C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D81CE">
            <w:pPr>
              <w:jc w:val="center"/>
            </w:pPr>
          </w:p>
        </w:tc>
      </w:tr>
      <w:tr w14:paraId="61FA57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B04A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1E621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2BDC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74666">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A8B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491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6B6E3">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3CE4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CB991">
            <w:pPr>
              <w:jc w:val="center"/>
            </w:pPr>
          </w:p>
        </w:tc>
      </w:tr>
      <w:tr w14:paraId="521A75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CF1E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6111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C8FD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8A5FB">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EC8D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5B96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5E34B">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32303">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C0A54">
            <w:pPr>
              <w:jc w:val="center"/>
            </w:pPr>
          </w:p>
        </w:tc>
      </w:tr>
      <w:tr w14:paraId="3839DE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C0D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133B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1EC5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A1BFC">
            <w:pPr>
              <w:jc w:val="center"/>
            </w:pPr>
            <w:r>
              <w:rPr>
                <w:rFonts w:ascii="宋体" w:hAnsi="宋体" w:eastAsia="宋体"/>
                <w:sz w:val="16"/>
              </w:rPr>
              <w:t>完善了以旧换新回收网络体系建设和家电家具以旧换新工作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77AB4">
            <w:pPr>
              <w:jc w:val="center"/>
            </w:pPr>
            <w:r>
              <w:rPr>
                <w:rFonts w:ascii="宋体" w:hAnsi="宋体" w:eastAsia="宋体"/>
                <w:sz w:val="16"/>
              </w:rPr>
              <w:t>有效完善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C7BD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B4DF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6EA3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2F48D">
            <w:pPr>
              <w:jc w:val="center"/>
            </w:pPr>
          </w:p>
        </w:tc>
      </w:tr>
      <w:tr w14:paraId="472DC3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EF30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D74C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2F25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59539">
            <w:pPr>
              <w:jc w:val="center"/>
            </w:pPr>
            <w:r>
              <w:rPr>
                <w:rFonts w:ascii="宋体" w:hAnsi="宋体" w:eastAsia="宋体"/>
                <w:sz w:val="16"/>
              </w:rPr>
              <w:t>受益企业满意度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E0B8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A73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A68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CEC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3C34C">
            <w:pPr>
              <w:jc w:val="center"/>
            </w:pPr>
          </w:p>
        </w:tc>
      </w:tr>
      <w:tr w14:paraId="16B892E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28DBC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EF66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C56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0E901">
            <w:pPr>
              <w:jc w:val="center"/>
            </w:pPr>
            <w:r>
              <w:rPr>
                <w:rFonts w:ascii="宋体" w:hAnsi="宋体" w:eastAsia="宋体"/>
                <w:sz w:val="16"/>
              </w:rPr>
              <w:t>90分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C7A2CA"/>
        </w:tc>
      </w:tr>
    </w:tbl>
    <w:p w14:paraId="5D4B26D1">
      <w:r>
        <w:br w:type="page"/>
      </w:r>
    </w:p>
    <w:tbl>
      <w:tblPr>
        <w:tblStyle w:val="9"/>
        <w:tblW w:w="0" w:type="auto"/>
        <w:tblInd w:w="0" w:type="dxa"/>
        <w:tblLayout w:type="autofit"/>
        <w:tblCellMar>
          <w:top w:w="0" w:type="dxa"/>
          <w:left w:w="108" w:type="dxa"/>
          <w:bottom w:w="0" w:type="dxa"/>
          <w:right w:w="108" w:type="dxa"/>
        </w:tblCellMar>
      </w:tblPr>
      <w:tblGrid>
        <w:gridCol w:w="983"/>
        <w:gridCol w:w="635"/>
        <w:gridCol w:w="1150"/>
        <w:gridCol w:w="181"/>
        <w:gridCol w:w="983"/>
        <w:gridCol w:w="983"/>
        <w:gridCol w:w="983"/>
        <w:gridCol w:w="983"/>
        <w:gridCol w:w="983"/>
        <w:gridCol w:w="983"/>
      </w:tblGrid>
      <w:tr w14:paraId="24493ED6">
        <w:tblPrEx>
          <w:tblCellMar>
            <w:top w:w="0" w:type="dxa"/>
            <w:left w:w="108" w:type="dxa"/>
            <w:bottom w:w="0" w:type="dxa"/>
            <w:right w:w="108" w:type="dxa"/>
          </w:tblCellMar>
        </w:tblPrEx>
        <w:tc>
          <w:tcPr>
            <w:tcW w:w="8847" w:type="dxa"/>
            <w:gridSpan w:val="10"/>
            <w:vAlign w:val="center"/>
          </w:tcPr>
          <w:p w14:paraId="25C3E288">
            <w:pPr>
              <w:jc w:val="center"/>
            </w:pPr>
            <w:r>
              <w:rPr>
                <w:rFonts w:ascii="宋体" w:hAnsi="宋体" w:eastAsia="宋体"/>
                <w:sz w:val="24"/>
              </w:rPr>
              <w:t>项目支出绩效自评表</w:t>
            </w:r>
          </w:p>
        </w:tc>
      </w:tr>
      <w:tr w14:paraId="088C3FC9">
        <w:tblPrEx>
          <w:tblCellMar>
            <w:top w:w="0" w:type="dxa"/>
            <w:left w:w="108" w:type="dxa"/>
            <w:bottom w:w="0" w:type="dxa"/>
            <w:right w:w="108" w:type="dxa"/>
          </w:tblCellMar>
        </w:tblPrEx>
        <w:tc>
          <w:tcPr>
            <w:tcW w:w="8847" w:type="dxa"/>
            <w:gridSpan w:val="10"/>
            <w:vAlign w:val="center"/>
          </w:tcPr>
          <w:p w14:paraId="729F006B">
            <w:pPr>
              <w:jc w:val="center"/>
            </w:pPr>
            <w:r>
              <w:rPr>
                <w:rFonts w:ascii="宋体" w:hAnsi="宋体" w:eastAsia="宋体"/>
                <w:sz w:val="24"/>
              </w:rPr>
              <w:t>(2024年度)</w:t>
            </w:r>
          </w:p>
        </w:tc>
      </w:tr>
      <w:tr w14:paraId="22D99A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ADC48">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0450C20">
            <w:pPr>
              <w:jc w:val="center"/>
            </w:pPr>
            <w:r>
              <w:rPr>
                <w:rFonts w:ascii="宋体" w:hAnsi="宋体" w:eastAsia="宋体"/>
                <w:sz w:val="16"/>
              </w:rPr>
              <w:t>民丰县2023年产业发展资金项目</w:t>
            </w:r>
          </w:p>
        </w:tc>
      </w:tr>
      <w:tr w14:paraId="007BB96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00A7C">
            <w:pPr>
              <w:jc w:val="center"/>
            </w:pPr>
            <w:r>
              <w:rPr>
                <w:rFonts w:ascii="宋体" w:hAnsi="宋体" w:eastAsia="宋体"/>
                <w:sz w:val="16"/>
              </w:rPr>
              <w:t>主管部门</w:t>
            </w:r>
          </w:p>
        </w:tc>
        <w:tc>
          <w:tcPr>
            <w:tcW w:w="294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0BFC22">
            <w:pPr>
              <w:jc w:val="center"/>
            </w:pPr>
            <w:r>
              <w:rPr>
                <w:rFonts w:ascii="宋体" w:hAnsi="宋体" w:eastAsia="宋体"/>
                <w:sz w:val="16"/>
              </w:rPr>
              <w:t>民丰县商务和工业信息化局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4EBC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4123D7">
            <w:pPr>
              <w:jc w:val="center"/>
            </w:pPr>
            <w:r>
              <w:rPr>
                <w:rFonts w:ascii="宋体" w:hAnsi="宋体" w:eastAsia="宋体"/>
                <w:sz w:val="16"/>
              </w:rPr>
              <w:t>民丰县商务和工业信息化局</w:t>
            </w:r>
          </w:p>
        </w:tc>
      </w:tr>
      <w:tr w14:paraId="00CDA8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13958">
            <w:pPr>
              <w:jc w:val="center"/>
            </w:pPr>
            <w:r>
              <w:rPr>
                <w:rFonts w:ascii="宋体" w:hAnsi="宋体" w:eastAsia="宋体"/>
                <w:sz w:val="16"/>
              </w:rPr>
              <w:t>项目资金 （万元）</w:t>
            </w:r>
          </w:p>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A9B58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E32D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4E29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E3BD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E636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9682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0E5E4">
            <w:pPr>
              <w:jc w:val="center"/>
            </w:pPr>
            <w:r>
              <w:rPr>
                <w:rFonts w:ascii="宋体" w:hAnsi="宋体" w:eastAsia="宋体"/>
                <w:sz w:val="16"/>
              </w:rPr>
              <w:t>得分</w:t>
            </w:r>
          </w:p>
        </w:tc>
      </w:tr>
      <w:tr w14:paraId="5C05A2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951897"/>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4AF7E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CE213">
            <w:pPr>
              <w:jc w:val="center"/>
            </w:pPr>
            <w:r>
              <w:rPr>
                <w:rFonts w:ascii="宋体" w:hAnsi="宋体" w:eastAsia="宋体"/>
                <w:sz w:val="16"/>
              </w:rPr>
              <w:t>5.90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EAB84">
            <w:pPr>
              <w:jc w:val="center"/>
            </w:pPr>
            <w:r>
              <w:rPr>
                <w:rFonts w:ascii="宋体" w:hAnsi="宋体" w:eastAsia="宋体"/>
                <w:sz w:val="16"/>
              </w:rPr>
              <w:t>5.90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6AB33">
            <w:pPr>
              <w:jc w:val="center"/>
            </w:pPr>
            <w:r>
              <w:rPr>
                <w:rFonts w:ascii="宋体" w:hAnsi="宋体" w:eastAsia="宋体"/>
                <w:sz w:val="16"/>
              </w:rPr>
              <w:t>5.90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6BE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5131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B5E0F">
            <w:pPr>
              <w:jc w:val="center"/>
            </w:pPr>
            <w:r>
              <w:rPr>
                <w:rFonts w:ascii="宋体" w:hAnsi="宋体" w:eastAsia="宋体"/>
                <w:sz w:val="16"/>
              </w:rPr>
              <w:t>10.00分</w:t>
            </w:r>
          </w:p>
        </w:tc>
      </w:tr>
      <w:tr w14:paraId="5E42C1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B5538"/>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2CB7D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CBD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5C1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D28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3BD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95D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39704">
            <w:pPr>
              <w:jc w:val="center"/>
            </w:pPr>
            <w:r>
              <w:rPr>
                <w:rFonts w:ascii="宋体" w:hAnsi="宋体" w:eastAsia="宋体"/>
                <w:sz w:val="16"/>
              </w:rPr>
              <w:t>—</w:t>
            </w:r>
          </w:p>
        </w:tc>
      </w:tr>
      <w:tr w14:paraId="2216A8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A95230"/>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95DD7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244FF">
            <w:pPr>
              <w:jc w:val="center"/>
            </w:pPr>
            <w:r>
              <w:rPr>
                <w:rFonts w:ascii="宋体" w:hAnsi="宋体" w:eastAsia="宋体"/>
                <w:sz w:val="16"/>
              </w:rPr>
              <w:t>5.90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066B8">
            <w:pPr>
              <w:jc w:val="center"/>
            </w:pPr>
            <w:r>
              <w:rPr>
                <w:rFonts w:ascii="宋体" w:hAnsi="宋体" w:eastAsia="宋体"/>
                <w:sz w:val="16"/>
              </w:rPr>
              <w:t>5.90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E6F5E">
            <w:pPr>
              <w:jc w:val="center"/>
            </w:pPr>
            <w:r>
              <w:rPr>
                <w:rFonts w:ascii="宋体" w:hAnsi="宋体" w:eastAsia="宋体"/>
                <w:sz w:val="16"/>
              </w:rPr>
              <w:t>5.90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8D3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434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13534">
            <w:pPr>
              <w:jc w:val="center"/>
            </w:pPr>
            <w:r>
              <w:rPr>
                <w:rFonts w:ascii="宋体" w:hAnsi="宋体" w:eastAsia="宋体"/>
                <w:sz w:val="16"/>
              </w:rPr>
              <w:t>—</w:t>
            </w:r>
          </w:p>
        </w:tc>
      </w:tr>
      <w:tr w14:paraId="70530C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CD6B17"/>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34C11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90E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6CE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162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705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442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42D81">
            <w:pPr>
              <w:jc w:val="center"/>
            </w:pPr>
            <w:r>
              <w:rPr>
                <w:rFonts w:ascii="宋体" w:hAnsi="宋体" w:eastAsia="宋体"/>
                <w:sz w:val="16"/>
              </w:rPr>
              <w:t>—</w:t>
            </w:r>
          </w:p>
        </w:tc>
      </w:tr>
      <w:tr w14:paraId="7CCA91E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7A910">
            <w:pPr>
              <w:jc w:val="center"/>
            </w:pPr>
            <w:r>
              <w:rPr>
                <w:rFonts w:ascii="宋体" w:hAnsi="宋体" w:eastAsia="宋体"/>
                <w:sz w:val="16"/>
              </w:rPr>
              <w:t>年度总体目标</w:t>
            </w:r>
          </w:p>
        </w:tc>
        <w:tc>
          <w:tcPr>
            <w:tcW w:w="294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38DC7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BD5684">
            <w:pPr>
              <w:jc w:val="center"/>
            </w:pPr>
            <w:r>
              <w:rPr>
                <w:rFonts w:ascii="宋体" w:hAnsi="宋体" w:eastAsia="宋体"/>
                <w:sz w:val="16"/>
              </w:rPr>
              <w:t>实际完成情况</w:t>
            </w:r>
          </w:p>
        </w:tc>
      </w:tr>
      <w:tr w14:paraId="14087E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0880CE"/>
        </w:tc>
        <w:tc>
          <w:tcPr>
            <w:tcW w:w="294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94F2AB">
            <w:pPr>
              <w:jc w:val="both"/>
            </w:pPr>
            <w:r>
              <w:rPr>
                <w:rFonts w:ascii="宋体" w:hAnsi="宋体" w:eastAsia="宋体"/>
                <w:sz w:val="16"/>
              </w:rPr>
              <w:t>根据项目实施方案实施本项目。项目实施内容：对提出产业发展资金申请的13家企业,17个项目开展补贴资金发放审计。通过项目实施，确保产业发展资金发放的合规合法。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115BED">
            <w:pPr>
              <w:jc w:val="both"/>
            </w:pPr>
            <w:r>
              <w:rPr>
                <w:rFonts w:ascii="宋体" w:hAnsi="宋体" w:eastAsia="宋体"/>
                <w:sz w:val="16"/>
              </w:rPr>
              <w:t>截至2024年12月底，本项目预算安排5.9万元，实际支出5.9万元，预算执行率100%。项目已经完成审计发放补贴项目个数17个，发放补贴企业个数13家，审计报告的合法合规性100%，2024年12月完成，补贴资金发放的及时率100%，有效促进企业进步发展，受益企业的满意度100%，通过项目实施，确保产业发展资金发放的合规合法性，有效降低了企业的运营成本，促进企业发展。</w:t>
            </w:r>
          </w:p>
        </w:tc>
      </w:tr>
      <w:tr w14:paraId="636B93B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F208207"/>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53383EFC">
            <w:pPr>
              <w:jc w:val="center"/>
            </w:pPr>
            <w:r>
              <w:rPr>
                <w:rFonts w:ascii="宋体" w:hAnsi="宋体" w:eastAsia="宋体"/>
                <w:sz w:val="16"/>
              </w:rPr>
              <w:t>一级指标</w:t>
            </w:r>
          </w:p>
        </w:tc>
        <w:tc>
          <w:tcPr>
            <w:tcW w:w="1150" w:type="dxa"/>
            <w:tcBorders>
              <w:top w:val="single" w:color="auto" w:sz="10" w:space="0"/>
              <w:left w:val="single" w:color="auto" w:sz="10" w:space="0"/>
              <w:bottom w:val="single" w:color="auto" w:sz="10" w:space="0"/>
              <w:right w:val="single" w:color="auto" w:sz="10" w:space="0"/>
              <w:insideV w:val="single" w:sz="10" w:space="0"/>
            </w:tcBorders>
            <w:vAlign w:val="center"/>
          </w:tcPr>
          <w:p w14:paraId="52FDFFC4">
            <w:pPr>
              <w:jc w:val="center"/>
            </w:pPr>
            <w:r>
              <w:rPr>
                <w:rFonts w:ascii="宋体" w:hAnsi="宋体" w:eastAsia="宋体"/>
                <w:sz w:val="16"/>
              </w:rPr>
              <w:t>二级指标</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D4EB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D956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AC42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A1AF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3180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1C2E6">
            <w:pPr>
              <w:jc w:val="center"/>
            </w:pPr>
            <w:r>
              <w:rPr>
                <w:rFonts w:ascii="宋体" w:hAnsi="宋体" w:eastAsia="宋体"/>
                <w:sz w:val="16"/>
              </w:rPr>
              <w:t>偏差原因分析及改进措施</w:t>
            </w:r>
          </w:p>
        </w:tc>
      </w:tr>
      <w:tr w14:paraId="044168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AA48B">
            <w:pPr>
              <w:jc w:val="center"/>
            </w:pPr>
            <w:r>
              <w:rPr>
                <w:rFonts w:ascii="宋体" w:hAnsi="宋体" w:eastAsia="宋体"/>
                <w:sz w:val="16"/>
              </w:rPr>
              <w:t>年度绩效指标完成情况</w:t>
            </w:r>
          </w:p>
        </w:tc>
        <w:tc>
          <w:tcPr>
            <w:tcW w:w="6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BB127">
            <w:pPr>
              <w:jc w:val="center"/>
            </w:pPr>
            <w:r>
              <w:rPr>
                <w:rFonts w:ascii="宋体" w:hAnsi="宋体" w:eastAsia="宋体"/>
                <w:sz w:val="16"/>
              </w:rPr>
              <w:t>产出指标</w:t>
            </w:r>
          </w:p>
        </w:tc>
        <w:tc>
          <w:tcPr>
            <w:tcW w:w="11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D563A">
            <w:pPr>
              <w:jc w:val="center"/>
            </w:pPr>
            <w:r>
              <w:rPr>
                <w:rFonts w:ascii="宋体" w:hAnsi="宋体" w:eastAsia="宋体"/>
                <w:sz w:val="16"/>
              </w:rPr>
              <w:t>数量指标</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BD6DA">
            <w:pPr>
              <w:jc w:val="center"/>
            </w:pPr>
            <w:r>
              <w:rPr>
                <w:rFonts w:ascii="宋体" w:hAnsi="宋体" w:eastAsia="宋体"/>
                <w:sz w:val="16"/>
              </w:rPr>
              <w:t>审计发放补贴项目个数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4DAA1">
            <w:pPr>
              <w:jc w:val="center"/>
            </w:pPr>
            <w:r>
              <w:rPr>
                <w:rFonts w:ascii="宋体" w:hAnsi="宋体" w:eastAsia="宋体"/>
                <w:sz w:val="16"/>
              </w:rPr>
              <w:t>&gt;=17个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0B219">
            <w:pPr>
              <w:jc w:val="center"/>
            </w:pPr>
            <w:r>
              <w:rPr>
                <w:rFonts w:ascii="宋体" w:hAnsi="宋体" w:eastAsia="宋体"/>
                <w:sz w:val="16"/>
              </w:rPr>
              <w:t>=17个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057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D5D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77202">
            <w:pPr>
              <w:jc w:val="center"/>
            </w:pPr>
          </w:p>
        </w:tc>
      </w:tr>
      <w:tr w14:paraId="0134C2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78E5C4"/>
        </w:tc>
        <w:tc>
          <w:tcPr>
            <w:tcW w:w="635" w:type="dxa"/>
            <w:vMerge w:val="continue"/>
            <w:tcBorders>
              <w:top w:val="single" w:color="auto" w:sz="10" w:space="0"/>
              <w:left w:val="single" w:color="auto" w:sz="10" w:space="0"/>
              <w:bottom w:val="single" w:color="auto" w:sz="10" w:space="0"/>
              <w:right w:val="single" w:color="auto" w:sz="10" w:space="0"/>
              <w:insideV w:val="single" w:sz="10" w:space="0"/>
            </w:tcBorders>
          </w:tcPr>
          <w:p w14:paraId="05B2967C"/>
        </w:tc>
        <w:tc>
          <w:tcPr>
            <w:tcW w:w="1150" w:type="dxa"/>
            <w:vMerge w:val="continue"/>
            <w:tcBorders>
              <w:top w:val="single" w:color="auto" w:sz="10" w:space="0"/>
              <w:left w:val="single" w:color="auto" w:sz="10" w:space="0"/>
              <w:bottom w:val="single" w:color="auto" w:sz="10" w:space="0"/>
              <w:right w:val="single" w:color="auto" w:sz="10" w:space="0"/>
              <w:insideV w:val="single" w:sz="10" w:space="0"/>
            </w:tcBorders>
          </w:tcPr>
          <w:p w14:paraId="5A39287E"/>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9D914">
            <w:pPr>
              <w:jc w:val="center"/>
            </w:pPr>
            <w:r>
              <w:rPr>
                <w:rFonts w:ascii="宋体" w:hAnsi="宋体" w:eastAsia="宋体"/>
                <w:sz w:val="16"/>
              </w:rPr>
              <w:t>发放补贴企业个数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4CA57">
            <w:pPr>
              <w:jc w:val="center"/>
            </w:pPr>
            <w:r>
              <w:rPr>
                <w:rFonts w:ascii="宋体" w:hAnsi="宋体" w:eastAsia="宋体"/>
                <w:sz w:val="16"/>
              </w:rPr>
              <w:t>&gt;=13家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C475D">
            <w:pPr>
              <w:jc w:val="center"/>
            </w:pPr>
            <w:r>
              <w:rPr>
                <w:rFonts w:ascii="宋体" w:hAnsi="宋体" w:eastAsia="宋体"/>
                <w:sz w:val="16"/>
              </w:rPr>
              <w:t>=13家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67B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4B3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6C3C4">
            <w:pPr>
              <w:jc w:val="center"/>
            </w:pPr>
          </w:p>
        </w:tc>
      </w:tr>
      <w:tr w14:paraId="599A70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74B5D"/>
        </w:tc>
        <w:tc>
          <w:tcPr>
            <w:tcW w:w="635" w:type="dxa"/>
            <w:vMerge w:val="continue"/>
            <w:tcBorders>
              <w:top w:val="single" w:color="auto" w:sz="10" w:space="0"/>
              <w:left w:val="single" w:color="auto" w:sz="10" w:space="0"/>
              <w:bottom w:val="single" w:color="auto" w:sz="10" w:space="0"/>
              <w:right w:val="single" w:color="auto" w:sz="10" w:space="0"/>
              <w:insideV w:val="single" w:sz="10" w:space="0"/>
            </w:tcBorders>
          </w:tcPr>
          <w:p w14:paraId="4A013962"/>
        </w:tc>
        <w:tc>
          <w:tcPr>
            <w:tcW w:w="1150" w:type="dxa"/>
            <w:tcBorders>
              <w:top w:val="single" w:color="auto" w:sz="10" w:space="0"/>
              <w:left w:val="single" w:color="auto" w:sz="10" w:space="0"/>
              <w:bottom w:val="single" w:color="auto" w:sz="10" w:space="0"/>
              <w:right w:val="single" w:color="auto" w:sz="10" w:space="0"/>
              <w:insideV w:val="single" w:sz="10" w:space="0"/>
            </w:tcBorders>
            <w:vAlign w:val="center"/>
          </w:tcPr>
          <w:p w14:paraId="5331231B">
            <w:pPr>
              <w:jc w:val="center"/>
            </w:pPr>
            <w:r>
              <w:rPr>
                <w:rFonts w:ascii="宋体" w:hAnsi="宋体" w:eastAsia="宋体"/>
                <w:sz w:val="16"/>
              </w:rPr>
              <w:t>质量指标</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A946F">
            <w:pPr>
              <w:jc w:val="center"/>
            </w:pPr>
            <w:r>
              <w:rPr>
                <w:rFonts w:ascii="宋体" w:hAnsi="宋体" w:eastAsia="宋体"/>
                <w:sz w:val="16"/>
              </w:rPr>
              <w:t>审计报告的合法合规性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B2F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19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FCF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4B5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7A11B">
            <w:pPr>
              <w:jc w:val="center"/>
            </w:pPr>
          </w:p>
        </w:tc>
      </w:tr>
      <w:tr w14:paraId="55E430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EEFB3A"/>
        </w:tc>
        <w:tc>
          <w:tcPr>
            <w:tcW w:w="635" w:type="dxa"/>
            <w:vMerge w:val="continue"/>
            <w:tcBorders>
              <w:top w:val="single" w:color="auto" w:sz="10" w:space="0"/>
              <w:left w:val="single" w:color="auto" w:sz="10" w:space="0"/>
              <w:bottom w:val="single" w:color="auto" w:sz="10" w:space="0"/>
              <w:right w:val="single" w:color="auto" w:sz="10" w:space="0"/>
              <w:insideV w:val="single" w:sz="10" w:space="0"/>
            </w:tcBorders>
          </w:tcPr>
          <w:p w14:paraId="389DF8D9"/>
        </w:tc>
        <w:tc>
          <w:tcPr>
            <w:tcW w:w="11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0FA62">
            <w:pPr>
              <w:jc w:val="center"/>
            </w:pPr>
            <w:r>
              <w:rPr>
                <w:rFonts w:ascii="宋体" w:hAnsi="宋体" w:eastAsia="宋体"/>
                <w:sz w:val="16"/>
              </w:rPr>
              <w:t>时效指标</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912A9">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4D65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5EDE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353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B98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3DBC6">
            <w:pPr>
              <w:jc w:val="center"/>
            </w:pPr>
          </w:p>
        </w:tc>
      </w:tr>
      <w:tr w14:paraId="6AF277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3B775A"/>
        </w:tc>
        <w:tc>
          <w:tcPr>
            <w:tcW w:w="635" w:type="dxa"/>
            <w:vMerge w:val="continue"/>
            <w:tcBorders>
              <w:top w:val="single" w:color="auto" w:sz="10" w:space="0"/>
              <w:left w:val="single" w:color="auto" w:sz="10" w:space="0"/>
              <w:bottom w:val="single" w:color="auto" w:sz="10" w:space="0"/>
              <w:right w:val="single" w:color="auto" w:sz="10" w:space="0"/>
              <w:insideV w:val="single" w:sz="10" w:space="0"/>
            </w:tcBorders>
          </w:tcPr>
          <w:p w14:paraId="4A21D26E"/>
        </w:tc>
        <w:tc>
          <w:tcPr>
            <w:tcW w:w="1150" w:type="dxa"/>
            <w:vMerge w:val="continue"/>
            <w:tcBorders>
              <w:top w:val="single" w:color="auto" w:sz="10" w:space="0"/>
              <w:left w:val="single" w:color="auto" w:sz="10" w:space="0"/>
              <w:bottom w:val="single" w:color="auto" w:sz="10" w:space="0"/>
              <w:right w:val="single" w:color="auto" w:sz="10" w:space="0"/>
              <w:insideV w:val="single" w:sz="10" w:space="0"/>
            </w:tcBorders>
          </w:tcPr>
          <w:p w14:paraId="135B423F"/>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8C2BA">
            <w:pPr>
              <w:jc w:val="center"/>
            </w:pPr>
            <w:r>
              <w:rPr>
                <w:rFonts w:ascii="宋体" w:hAnsi="宋体" w:eastAsia="宋体"/>
                <w:sz w:val="16"/>
              </w:rPr>
              <w:t>补贴资金发放的及时率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4D9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B2C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279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C96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199EC">
            <w:pPr>
              <w:jc w:val="center"/>
            </w:pPr>
          </w:p>
        </w:tc>
      </w:tr>
      <w:tr w14:paraId="031D4D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74656"/>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45C8CD4A">
            <w:pPr>
              <w:jc w:val="center"/>
            </w:pPr>
            <w:r>
              <w:rPr>
                <w:rFonts w:ascii="宋体" w:hAnsi="宋体" w:eastAsia="宋体"/>
                <w:sz w:val="16"/>
              </w:rPr>
              <w:t>效益指标</w:t>
            </w:r>
          </w:p>
        </w:tc>
        <w:tc>
          <w:tcPr>
            <w:tcW w:w="1150" w:type="dxa"/>
            <w:tcBorders>
              <w:top w:val="single" w:color="auto" w:sz="10" w:space="0"/>
              <w:left w:val="single" w:color="auto" w:sz="10" w:space="0"/>
              <w:bottom w:val="single" w:color="auto" w:sz="10" w:space="0"/>
              <w:right w:val="single" w:color="auto" w:sz="10" w:space="0"/>
              <w:insideV w:val="single" w:sz="10" w:space="0"/>
            </w:tcBorders>
            <w:vAlign w:val="center"/>
          </w:tcPr>
          <w:p w14:paraId="5A2E0FD9">
            <w:pPr>
              <w:jc w:val="center"/>
            </w:pPr>
            <w:r>
              <w:rPr>
                <w:rFonts w:ascii="宋体" w:hAnsi="宋体" w:eastAsia="宋体"/>
                <w:sz w:val="16"/>
              </w:rPr>
              <w:t>社会效益指标</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84A23">
            <w:pPr>
              <w:jc w:val="center"/>
            </w:pPr>
            <w:r>
              <w:rPr>
                <w:rFonts w:ascii="宋体" w:hAnsi="宋体" w:eastAsia="宋体"/>
                <w:sz w:val="16"/>
              </w:rPr>
              <w:t>有效促进企业</w:t>
            </w:r>
            <w:r>
              <w:rPr>
                <w:rFonts w:hint="eastAsia" w:ascii="宋体" w:hAnsi="宋体"/>
                <w:sz w:val="16"/>
                <w:lang w:eastAsia="zh-CN"/>
              </w:rPr>
              <w:t>进一</w:t>
            </w:r>
            <w:r>
              <w:rPr>
                <w:rFonts w:ascii="宋体" w:hAnsi="宋体" w:eastAsia="宋体"/>
                <w:sz w:val="16"/>
              </w:rPr>
              <w:t>步发展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9CF5A">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A4A6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8FA4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4C91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F48BB">
            <w:pPr>
              <w:jc w:val="center"/>
            </w:pPr>
          </w:p>
        </w:tc>
      </w:tr>
      <w:tr w14:paraId="0CADB4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7065A6"/>
        </w:tc>
        <w:tc>
          <w:tcPr>
            <w:tcW w:w="635" w:type="dxa"/>
            <w:tcBorders>
              <w:top w:val="single" w:color="auto" w:sz="10" w:space="0"/>
              <w:left w:val="single" w:color="auto" w:sz="10" w:space="0"/>
              <w:bottom w:val="single" w:color="auto" w:sz="10" w:space="0"/>
              <w:right w:val="single" w:color="auto" w:sz="10" w:space="0"/>
              <w:insideV w:val="single" w:sz="10" w:space="0"/>
            </w:tcBorders>
            <w:vAlign w:val="center"/>
          </w:tcPr>
          <w:p w14:paraId="36ADA22F">
            <w:pPr>
              <w:jc w:val="center"/>
            </w:pPr>
            <w:r>
              <w:rPr>
                <w:rFonts w:ascii="宋体" w:hAnsi="宋体" w:eastAsia="宋体"/>
                <w:sz w:val="16"/>
              </w:rPr>
              <w:t>满意度指标</w:t>
            </w:r>
          </w:p>
        </w:tc>
        <w:tc>
          <w:tcPr>
            <w:tcW w:w="1150" w:type="dxa"/>
            <w:tcBorders>
              <w:top w:val="single" w:color="auto" w:sz="10" w:space="0"/>
              <w:left w:val="single" w:color="auto" w:sz="10" w:space="0"/>
              <w:bottom w:val="single" w:color="auto" w:sz="10" w:space="0"/>
              <w:right w:val="single" w:color="auto" w:sz="10" w:space="0"/>
              <w:insideV w:val="single" w:sz="10" w:space="0"/>
            </w:tcBorders>
            <w:vAlign w:val="center"/>
          </w:tcPr>
          <w:p w14:paraId="10A55423">
            <w:pPr>
              <w:jc w:val="center"/>
            </w:pPr>
            <w:r>
              <w:rPr>
                <w:rFonts w:ascii="宋体" w:hAnsi="宋体" w:eastAsia="宋体"/>
                <w:sz w:val="16"/>
              </w:rPr>
              <w:t>满意度指标</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C2B39">
            <w:pPr>
              <w:jc w:val="center"/>
            </w:pPr>
            <w:r>
              <w:rPr>
                <w:rFonts w:ascii="宋体" w:hAnsi="宋体" w:eastAsia="宋体"/>
                <w:sz w:val="16"/>
              </w:rPr>
              <w:t>受益企业的满意度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EA2B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99A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0FF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6AA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D1223">
            <w:pPr>
              <w:jc w:val="center"/>
            </w:pPr>
          </w:p>
        </w:tc>
      </w:tr>
      <w:tr w14:paraId="1762A8FE">
        <w:tblPrEx>
          <w:tblCellMar>
            <w:top w:w="0" w:type="dxa"/>
            <w:left w:w="108" w:type="dxa"/>
            <w:bottom w:w="0" w:type="dxa"/>
            <w:right w:w="108" w:type="dxa"/>
          </w:tblCellMar>
        </w:tblPrEx>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9376C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8E63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EF3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2C57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7E782ED"/>
        </w:tc>
      </w:tr>
    </w:tbl>
    <w:p w14:paraId="6E7E734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EC68E7A">
        <w:tblPrEx>
          <w:tblCellMar>
            <w:top w:w="0" w:type="dxa"/>
            <w:left w:w="108" w:type="dxa"/>
            <w:bottom w:w="0" w:type="dxa"/>
            <w:right w:w="108" w:type="dxa"/>
          </w:tblCellMar>
        </w:tblPrEx>
        <w:tc>
          <w:tcPr>
            <w:tcW w:w="8847" w:type="dxa"/>
            <w:gridSpan w:val="9"/>
            <w:vAlign w:val="center"/>
          </w:tcPr>
          <w:p w14:paraId="5770FD7D">
            <w:pPr>
              <w:jc w:val="center"/>
            </w:pPr>
            <w:r>
              <w:rPr>
                <w:rFonts w:ascii="宋体" w:hAnsi="宋体" w:eastAsia="宋体"/>
                <w:sz w:val="24"/>
              </w:rPr>
              <w:t>项目支出绩效自评表</w:t>
            </w:r>
          </w:p>
        </w:tc>
      </w:tr>
      <w:tr w14:paraId="0EDDE2EA">
        <w:tblPrEx>
          <w:tblCellMar>
            <w:top w:w="0" w:type="dxa"/>
            <w:left w:w="108" w:type="dxa"/>
            <w:bottom w:w="0" w:type="dxa"/>
            <w:right w:w="108" w:type="dxa"/>
          </w:tblCellMar>
        </w:tblPrEx>
        <w:tc>
          <w:tcPr>
            <w:tcW w:w="8847" w:type="dxa"/>
            <w:gridSpan w:val="9"/>
            <w:vAlign w:val="center"/>
          </w:tcPr>
          <w:p w14:paraId="7BC5463A">
            <w:pPr>
              <w:jc w:val="center"/>
            </w:pPr>
            <w:r>
              <w:rPr>
                <w:rFonts w:ascii="宋体" w:hAnsi="宋体" w:eastAsia="宋体"/>
                <w:sz w:val="24"/>
              </w:rPr>
              <w:t>(2024年度)</w:t>
            </w:r>
          </w:p>
        </w:tc>
      </w:tr>
      <w:tr w14:paraId="626514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596C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F9DD9CE">
            <w:pPr>
              <w:jc w:val="center"/>
            </w:pPr>
            <w:r>
              <w:rPr>
                <w:rFonts w:ascii="宋体" w:hAnsi="宋体" w:eastAsia="宋体"/>
                <w:sz w:val="16"/>
              </w:rPr>
              <w:t>民丰县2023年电子商务运营补贴项目</w:t>
            </w:r>
          </w:p>
        </w:tc>
      </w:tr>
      <w:tr w14:paraId="41F7663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113A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1C47DD">
            <w:pPr>
              <w:jc w:val="center"/>
            </w:pPr>
            <w:r>
              <w:rPr>
                <w:rFonts w:ascii="宋体" w:hAnsi="宋体" w:eastAsia="宋体"/>
                <w:sz w:val="16"/>
              </w:rPr>
              <w:t>民丰县商务和工业信息化局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F121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F20405">
            <w:pPr>
              <w:jc w:val="center"/>
            </w:pPr>
            <w:r>
              <w:rPr>
                <w:rFonts w:ascii="宋体" w:hAnsi="宋体" w:eastAsia="宋体"/>
                <w:sz w:val="16"/>
              </w:rPr>
              <w:t>民丰县商务和工业信息化局</w:t>
            </w:r>
          </w:p>
        </w:tc>
      </w:tr>
      <w:tr w14:paraId="034D64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B459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5EF4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D31C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F775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515D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18C7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4E69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AF238">
            <w:pPr>
              <w:jc w:val="center"/>
            </w:pPr>
            <w:r>
              <w:rPr>
                <w:rFonts w:ascii="宋体" w:hAnsi="宋体" w:eastAsia="宋体"/>
                <w:sz w:val="16"/>
              </w:rPr>
              <w:t>得分</w:t>
            </w:r>
          </w:p>
        </w:tc>
      </w:tr>
      <w:tr w14:paraId="3B6C42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14AB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41BC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0B7D4">
            <w:pPr>
              <w:jc w:val="center"/>
            </w:pPr>
            <w:r>
              <w:rPr>
                <w:rFonts w:ascii="宋体" w:hAnsi="宋体" w:eastAsia="宋体"/>
                <w:sz w:val="16"/>
              </w:rPr>
              <w:t>104.19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BB07D">
            <w:pPr>
              <w:jc w:val="center"/>
            </w:pPr>
            <w:r>
              <w:rPr>
                <w:rFonts w:ascii="宋体" w:hAnsi="宋体" w:eastAsia="宋体"/>
                <w:sz w:val="16"/>
              </w:rPr>
              <w:t>104.19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F2C80">
            <w:pPr>
              <w:jc w:val="center"/>
            </w:pPr>
            <w:r>
              <w:rPr>
                <w:rFonts w:ascii="宋体" w:hAnsi="宋体" w:eastAsia="宋体"/>
                <w:sz w:val="16"/>
              </w:rPr>
              <w:t>44.68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38B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5EE6B">
            <w:pPr>
              <w:jc w:val="center"/>
            </w:pPr>
            <w:r>
              <w:rPr>
                <w:rFonts w:ascii="宋体" w:hAnsi="宋体" w:eastAsia="宋体"/>
                <w:sz w:val="16"/>
              </w:rPr>
              <w:t xml:space="preserve">42.88%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1873A">
            <w:pPr>
              <w:jc w:val="center"/>
            </w:pPr>
            <w:r>
              <w:rPr>
                <w:rFonts w:ascii="宋体" w:hAnsi="宋体" w:eastAsia="宋体"/>
                <w:sz w:val="16"/>
              </w:rPr>
              <w:t>0.00分</w:t>
            </w:r>
          </w:p>
        </w:tc>
      </w:tr>
      <w:tr w14:paraId="3A4E09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BCA56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ECCD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593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07A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D1C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C36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333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FEBAC">
            <w:pPr>
              <w:jc w:val="center"/>
            </w:pPr>
            <w:r>
              <w:rPr>
                <w:rFonts w:ascii="宋体" w:hAnsi="宋体" w:eastAsia="宋体"/>
                <w:sz w:val="16"/>
              </w:rPr>
              <w:t>—</w:t>
            </w:r>
          </w:p>
        </w:tc>
      </w:tr>
      <w:tr w14:paraId="7D909B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0296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CFC0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740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3B4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F66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16F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3E7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5DC9F">
            <w:pPr>
              <w:jc w:val="center"/>
            </w:pPr>
            <w:r>
              <w:rPr>
                <w:rFonts w:ascii="宋体" w:hAnsi="宋体" w:eastAsia="宋体"/>
                <w:sz w:val="16"/>
              </w:rPr>
              <w:t>—</w:t>
            </w:r>
          </w:p>
        </w:tc>
      </w:tr>
      <w:tr w14:paraId="23B9F0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EBEE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4799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79573">
            <w:pPr>
              <w:jc w:val="center"/>
            </w:pPr>
            <w:r>
              <w:rPr>
                <w:rFonts w:ascii="宋体" w:hAnsi="宋体" w:eastAsia="宋体"/>
                <w:sz w:val="16"/>
              </w:rPr>
              <w:t>104.19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6B466">
            <w:pPr>
              <w:jc w:val="center"/>
            </w:pPr>
            <w:r>
              <w:rPr>
                <w:rFonts w:ascii="宋体" w:hAnsi="宋体" w:eastAsia="宋体"/>
                <w:sz w:val="16"/>
              </w:rPr>
              <w:t>104.19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93A0E">
            <w:pPr>
              <w:jc w:val="center"/>
            </w:pPr>
            <w:r>
              <w:rPr>
                <w:rFonts w:ascii="宋体" w:hAnsi="宋体" w:eastAsia="宋体"/>
                <w:sz w:val="16"/>
              </w:rPr>
              <w:t>44.68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4CA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A68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DA40E">
            <w:pPr>
              <w:jc w:val="center"/>
            </w:pPr>
            <w:r>
              <w:rPr>
                <w:rFonts w:ascii="宋体" w:hAnsi="宋体" w:eastAsia="宋体"/>
                <w:sz w:val="16"/>
              </w:rPr>
              <w:t>—</w:t>
            </w:r>
          </w:p>
        </w:tc>
      </w:tr>
      <w:tr w14:paraId="5BE7A3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0DAF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42BE1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2D14C6">
            <w:pPr>
              <w:jc w:val="center"/>
            </w:pPr>
            <w:r>
              <w:rPr>
                <w:rFonts w:ascii="宋体" w:hAnsi="宋体" w:eastAsia="宋体"/>
                <w:sz w:val="16"/>
              </w:rPr>
              <w:t>实际完成情况</w:t>
            </w:r>
          </w:p>
        </w:tc>
      </w:tr>
      <w:tr w14:paraId="5FD0F0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A165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68A3E8">
            <w:pPr>
              <w:jc w:val="both"/>
            </w:pPr>
            <w:r>
              <w:rPr>
                <w:rFonts w:ascii="宋体" w:hAnsi="宋体" w:eastAsia="宋体"/>
                <w:sz w:val="16"/>
              </w:rPr>
              <w:t>根据项目实施方案实施本项目。项目实施内容：确保1个县级电子商务服务中心和27个电子商务服务站正常运营，培养百人团电商人才100人，挖掘网红2名以上，开展培训和直播带货，在平台发布宣传短视频。民丰县电商企业线上线下渠道销售额达到2200万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4E10DA">
            <w:pPr>
              <w:jc w:val="both"/>
            </w:pPr>
            <w:r>
              <w:rPr>
                <w:rFonts w:ascii="宋体" w:hAnsi="宋体" w:eastAsia="宋体"/>
                <w:sz w:val="16"/>
              </w:rPr>
              <w:t>截至2024年12月底，本项目预算安排104.19万元，实际支出44.68万元，预算执行率42.88%。项目已经完成运营县级电子商务服务中心数量1个，运营电子商务服务站27个，培养网红达人5个，培养百人团电商人才102人，开展培训5次，电商企业线上线下渠道销售额5630万元，资金使用合规率100%，资金拨付及时率100%，通过项目实施，通过电商直播带货，有效拓展农产品销售渠道，受益群众满意率100%。</w:t>
            </w:r>
            <w:r>
              <w:rPr>
                <w:rFonts w:ascii="宋体" w:hAnsi="宋体" w:eastAsia="宋体"/>
                <w:sz w:val="16"/>
              </w:rPr>
              <w:br w:type="textWrapping"/>
            </w:r>
          </w:p>
        </w:tc>
      </w:tr>
      <w:tr w14:paraId="7DC1E4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E533B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F06A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5C74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DF07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68A5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5926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A0A8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2690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3988B">
            <w:pPr>
              <w:jc w:val="center"/>
            </w:pPr>
            <w:r>
              <w:rPr>
                <w:rFonts w:ascii="宋体" w:hAnsi="宋体" w:eastAsia="宋体"/>
                <w:sz w:val="16"/>
              </w:rPr>
              <w:t>偏差原因分析及改进措施</w:t>
            </w:r>
          </w:p>
        </w:tc>
      </w:tr>
      <w:tr w14:paraId="32B6B7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8335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D07F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DEE4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D2331">
            <w:pPr>
              <w:jc w:val="center"/>
            </w:pPr>
            <w:r>
              <w:rPr>
                <w:rFonts w:ascii="宋体" w:hAnsi="宋体" w:eastAsia="宋体"/>
                <w:sz w:val="16"/>
              </w:rPr>
              <w:t>运营县级电子商务服务中心数量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0BD6B">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E7D7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D4B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489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5F20F">
            <w:pPr>
              <w:jc w:val="center"/>
            </w:pPr>
          </w:p>
        </w:tc>
      </w:tr>
      <w:tr w14:paraId="0433AB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DECD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DF3E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E5E0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0F98A">
            <w:pPr>
              <w:jc w:val="center"/>
            </w:pPr>
            <w:r>
              <w:rPr>
                <w:rFonts w:ascii="宋体" w:hAnsi="宋体" w:eastAsia="宋体"/>
                <w:sz w:val="16"/>
              </w:rPr>
              <w:t>运营电子商务服务站数量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5D4B2">
            <w:pPr>
              <w:jc w:val="center"/>
            </w:pPr>
            <w:r>
              <w:rPr>
                <w:rFonts w:ascii="宋体" w:hAnsi="宋体" w:eastAsia="宋体"/>
                <w:sz w:val="16"/>
              </w:rPr>
              <w:t>&gt;=27个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FB4BB">
            <w:pPr>
              <w:jc w:val="center"/>
            </w:pPr>
            <w:r>
              <w:rPr>
                <w:rFonts w:ascii="宋体" w:hAnsi="宋体" w:eastAsia="宋体"/>
                <w:sz w:val="16"/>
              </w:rPr>
              <w:t>=27个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05F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23B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ED721">
            <w:pPr>
              <w:jc w:val="center"/>
            </w:pPr>
          </w:p>
        </w:tc>
      </w:tr>
      <w:tr w14:paraId="309582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A5F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2887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F054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A151E">
            <w:pPr>
              <w:jc w:val="center"/>
            </w:pPr>
            <w:r>
              <w:rPr>
                <w:rFonts w:ascii="宋体" w:hAnsi="宋体" w:eastAsia="宋体"/>
                <w:sz w:val="16"/>
              </w:rPr>
              <w:t>培养网红达人数量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D9D09">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BFE64">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977B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DD9E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40DA0">
            <w:pPr>
              <w:jc w:val="center"/>
            </w:pPr>
          </w:p>
        </w:tc>
      </w:tr>
      <w:tr w14:paraId="3824F3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1620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FF82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9EC0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0A846">
            <w:pPr>
              <w:jc w:val="center"/>
            </w:pPr>
            <w:r>
              <w:rPr>
                <w:rFonts w:ascii="宋体" w:hAnsi="宋体" w:eastAsia="宋体"/>
                <w:sz w:val="16"/>
              </w:rPr>
              <w:t>培养百人团电商人才数量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B4C3E">
            <w:pPr>
              <w:jc w:val="center"/>
            </w:pPr>
            <w:r>
              <w:rPr>
                <w:rFonts w:ascii="宋体" w:hAnsi="宋体" w:eastAsia="宋体"/>
                <w:sz w:val="16"/>
              </w:rPr>
              <w:t>&gt;=100人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F4680">
            <w:pPr>
              <w:jc w:val="center"/>
            </w:pPr>
            <w:r>
              <w:rPr>
                <w:rFonts w:ascii="宋体" w:hAnsi="宋体" w:eastAsia="宋体"/>
                <w:sz w:val="16"/>
              </w:rPr>
              <w:t>=102人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3B34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B4E7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9D39F">
            <w:pPr>
              <w:jc w:val="center"/>
            </w:pPr>
          </w:p>
        </w:tc>
      </w:tr>
      <w:tr w14:paraId="1FB679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37B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51AB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7F8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87575">
            <w:pPr>
              <w:jc w:val="center"/>
            </w:pPr>
            <w:r>
              <w:rPr>
                <w:rFonts w:ascii="宋体" w:hAnsi="宋体" w:eastAsia="宋体"/>
                <w:sz w:val="16"/>
              </w:rPr>
              <w:t>开展培训次数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E0C72">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EEC9F">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1085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B464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82D85">
            <w:pPr>
              <w:jc w:val="center"/>
            </w:pPr>
          </w:p>
        </w:tc>
      </w:tr>
      <w:tr w14:paraId="507D6D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7E1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F44F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EF7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A51F5">
            <w:pPr>
              <w:jc w:val="center"/>
            </w:pPr>
            <w:r>
              <w:rPr>
                <w:rFonts w:ascii="宋体" w:hAnsi="宋体" w:eastAsia="宋体"/>
                <w:sz w:val="16"/>
              </w:rPr>
              <w:t>电商企业线上线下渠道销售额数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85CD8">
            <w:pPr>
              <w:jc w:val="center"/>
            </w:pPr>
            <w:r>
              <w:rPr>
                <w:rFonts w:ascii="宋体" w:hAnsi="宋体" w:eastAsia="宋体"/>
                <w:sz w:val="16"/>
              </w:rPr>
              <w:t>&lt;=2000万元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2CEEE">
            <w:pPr>
              <w:jc w:val="center"/>
            </w:pPr>
            <w:r>
              <w:rPr>
                <w:rFonts w:ascii="宋体" w:hAnsi="宋体" w:eastAsia="宋体"/>
                <w:sz w:val="16"/>
              </w:rPr>
              <w:t>=5630万元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1E5B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ED00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AB750">
            <w:pPr>
              <w:jc w:val="center"/>
            </w:pPr>
            <w:r>
              <w:rPr>
                <w:rFonts w:ascii="宋体" w:hAnsi="宋体" w:eastAsia="宋体"/>
                <w:sz w:val="16"/>
              </w:rPr>
              <w:t>偏差原因：是年初目标设置不精准，改进措施：是今后合理设置目标</w:t>
            </w:r>
          </w:p>
        </w:tc>
      </w:tr>
      <w:tr w14:paraId="6A2A47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E55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3B2F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10BE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B0F3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B16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CA5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C13C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8349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C9233">
            <w:pPr>
              <w:jc w:val="center"/>
            </w:pPr>
            <w:r>
              <w:rPr>
                <w:rFonts w:ascii="宋体" w:hAnsi="宋体" w:eastAsia="宋体"/>
                <w:sz w:val="16"/>
              </w:rPr>
              <w:t>偏差原因：是原本结转到2024年支付的30%项目款，且已做了2024年预算，由于项目审计原因，于2024年12月底支付完毕。本应支付的2万元招标代理费也按照招标文件由中标企业支付，所以造成支付率低。改进措施：加强预算管理</w:t>
            </w:r>
          </w:p>
        </w:tc>
      </w:tr>
      <w:tr w14:paraId="094B88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4247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F3F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3C4E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8B772">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157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D04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B32E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5232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7ED9F">
            <w:pPr>
              <w:jc w:val="center"/>
            </w:pPr>
            <w:r>
              <w:rPr>
                <w:rFonts w:ascii="宋体" w:hAnsi="宋体" w:eastAsia="宋体"/>
                <w:sz w:val="16"/>
              </w:rPr>
              <w:t>偏差原因：是原本结转到2024年支付的30%项目款，且已做了2024年预算，由于项目审计原因，于2023年12月底支付完毕。本应支付的2万元招标代理费也按照招标文件由中标企业支付，所以造成支付率低。改进措施：加强预算管理</w:t>
            </w:r>
          </w:p>
        </w:tc>
      </w:tr>
      <w:tr w14:paraId="4FAD19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CDEC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9E05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E5D5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D4E63">
            <w:pPr>
              <w:jc w:val="center"/>
            </w:pPr>
            <w:r>
              <w:rPr>
                <w:rFonts w:ascii="宋体" w:hAnsi="宋体" w:eastAsia="宋体"/>
                <w:sz w:val="16"/>
              </w:rPr>
              <w:t>通过电商直播带货，有效拓展农产品销售渠道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99F89">
            <w:pPr>
              <w:jc w:val="center"/>
            </w:pPr>
            <w:r>
              <w:rPr>
                <w:rFonts w:ascii="宋体" w:hAnsi="宋体" w:eastAsia="宋体"/>
                <w:sz w:val="16"/>
              </w:rPr>
              <w:t>有效拓展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2D42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0209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F8A7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00A66">
            <w:pPr>
              <w:jc w:val="center"/>
            </w:pPr>
          </w:p>
        </w:tc>
      </w:tr>
      <w:tr w14:paraId="38E29E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F851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099C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2FCF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19927">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E151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2AE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D0C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A03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2C6DA">
            <w:pPr>
              <w:jc w:val="center"/>
            </w:pPr>
          </w:p>
        </w:tc>
      </w:tr>
      <w:tr w14:paraId="61F5F21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66BB0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D3E41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7B1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4F499">
            <w:pPr>
              <w:jc w:val="center"/>
            </w:pPr>
            <w:r>
              <w:rPr>
                <w:rFonts w:ascii="宋体" w:hAnsi="宋体" w:eastAsia="宋体"/>
                <w:sz w:val="16"/>
              </w:rPr>
              <w:t>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1EE78F1"/>
        </w:tc>
      </w:tr>
    </w:tbl>
    <w:p w14:paraId="4CEBDF2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3F063E7">
        <w:tblPrEx>
          <w:tblCellMar>
            <w:top w:w="0" w:type="dxa"/>
            <w:left w:w="108" w:type="dxa"/>
            <w:bottom w:w="0" w:type="dxa"/>
            <w:right w:w="108" w:type="dxa"/>
          </w:tblCellMar>
        </w:tblPrEx>
        <w:tc>
          <w:tcPr>
            <w:tcW w:w="8847" w:type="dxa"/>
            <w:gridSpan w:val="9"/>
            <w:vAlign w:val="center"/>
          </w:tcPr>
          <w:p w14:paraId="0551A61B">
            <w:pPr>
              <w:jc w:val="center"/>
            </w:pPr>
            <w:r>
              <w:rPr>
                <w:rFonts w:ascii="宋体" w:hAnsi="宋体" w:eastAsia="宋体"/>
                <w:sz w:val="24"/>
              </w:rPr>
              <w:t>项目支出绩效自评表</w:t>
            </w:r>
          </w:p>
        </w:tc>
      </w:tr>
      <w:tr w14:paraId="3B1A61B8">
        <w:tblPrEx>
          <w:tblCellMar>
            <w:top w:w="0" w:type="dxa"/>
            <w:left w:w="108" w:type="dxa"/>
            <w:bottom w:w="0" w:type="dxa"/>
            <w:right w:w="108" w:type="dxa"/>
          </w:tblCellMar>
        </w:tblPrEx>
        <w:tc>
          <w:tcPr>
            <w:tcW w:w="8847" w:type="dxa"/>
            <w:gridSpan w:val="9"/>
            <w:vAlign w:val="center"/>
          </w:tcPr>
          <w:p w14:paraId="23D23EE3">
            <w:pPr>
              <w:jc w:val="center"/>
            </w:pPr>
            <w:r>
              <w:rPr>
                <w:rFonts w:ascii="宋体" w:hAnsi="宋体" w:eastAsia="宋体"/>
                <w:sz w:val="24"/>
              </w:rPr>
              <w:t>(2024年度)</w:t>
            </w:r>
          </w:p>
        </w:tc>
      </w:tr>
      <w:tr w14:paraId="3D462A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DC84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434A16F">
            <w:pPr>
              <w:jc w:val="center"/>
            </w:pPr>
            <w:r>
              <w:rPr>
                <w:rFonts w:ascii="宋体" w:hAnsi="宋体" w:eastAsia="宋体"/>
                <w:sz w:val="16"/>
              </w:rPr>
              <w:t>民丰县2024年产业发展资金项目</w:t>
            </w:r>
          </w:p>
        </w:tc>
      </w:tr>
      <w:tr w14:paraId="7154BC9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BABD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C7C13A">
            <w:pPr>
              <w:jc w:val="center"/>
            </w:pPr>
            <w:r>
              <w:rPr>
                <w:rFonts w:ascii="宋体" w:hAnsi="宋体" w:eastAsia="宋体"/>
                <w:sz w:val="16"/>
              </w:rPr>
              <w:t>民丰县商务和工业信息化局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705C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A1C4C4">
            <w:pPr>
              <w:jc w:val="center"/>
            </w:pPr>
            <w:r>
              <w:rPr>
                <w:rFonts w:ascii="宋体" w:hAnsi="宋体" w:eastAsia="宋体"/>
                <w:sz w:val="16"/>
              </w:rPr>
              <w:t>民丰县商务和工业信息化局</w:t>
            </w:r>
          </w:p>
        </w:tc>
      </w:tr>
      <w:tr w14:paraId="274A46C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A0AC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2781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A399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7DAE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47E8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8C2A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E4F0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9AF09">
            <w:pPr>
              <w:jc w:val="center"/>
            </w:pPr>
            <w:r>
              <w:rPr>
                <w:rFonts w:ascii="宋体" w:hAnsi="宋体" w:eastAsia="宋体"/>
                <w:sz w:val="16"/>
              </w:rPr>
              <w:t>得分</w:t>
            </w:r>
          </w:p>
        </w:tc>
      </w:tr>
      <w:tr w14:paraId="6F3EC1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3582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98E9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4E54D">
            <w:pPr>
              <w:jc w:val="center"/>
            </w:pPr>
            <w:r>
              <w:rPr>
                <w:rFonts w:ascii="宋体" w:hAnsi="宋体" w:eastAsia="宋体"/>
                <w:sz w:val="16"/>
              </w:rPr>
              <w:t>2,435.00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6AE9F">
            <w:pPr>
              <w:jc w:val="center"/>
            </w:pPr>
            <w:r>
              <w:rPr>
                <w:rFonts w:ascii="宋体" w:hAnsi="宋体" w:eastAsia="宋体"/>
                <w:sz w:val="16"/>
              </w:rPr>
              <w:t>2,435.00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9025C">
            <w:pPr>
              <w:jc w:val="center"/>
            </w:pPr>
            <w:r>
              <w:rPr>
                <w:rFonts w:ascii="宋体" w:hAnsi="宋体" w:eastAsia="宋体"/>
                <w:sz w:val="16"/>
              </w:rPr>
              <w:t>355.03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8A3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865A9">
            <w:pPr>
              <w:jc w:val="center"/>
            </w:pPr>
            <w:r>
              <w:rPr>
                <w:rFonts w:ascii="宋体" w:hAnsi="宋体" w:eastAsia="宋体"/>
                <w:sz w:val="16"/>
              </w:rPr>
              <w:t xml:space="preserve">14.58%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9C509">
            <w:pPr>
              <w:jc w:val="center"/>
            </w:pPr>
            <w:r>
              <w:rPr>
                <w:rFonts w:ascii="宋体" w:hAnsi="宋体" w:eastAsia="宋体"/>
                <w:sz w:val="16"/>
              </w:rPr>
              <w:t>0.00分</w:t>
            </w:r>
          </w:p>
        </w:tc>
      </w:tr>
      <w:tr w14:paraId="3108ED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9B258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9D91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E2A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2D9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BA8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FB7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BAA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0CF6E">
            <w:pPr>
              <w:jc w:val="center"/>
            </w:pPr>
            <w:r>
              <w:rPr>
                <w:rFonts w:ascii="宋体" w:hAnsi="宋体" w:eastAsia="宋体"/>
                <w:sz w:val="16"/>
              </w:rPr>
              <w:t>—</w:t>
            </w:r>
          </w:p>
        </w:tc>
      </w:tr>
      <w:tr w14:paraId="692160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7C619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A175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436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5EE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ACD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C52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A7D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978EA">
            <w:pPr>
              <w:jc w:val="center"/>
            </w:pPr>
            <w:r>
              <w:rPr>
                <w:rFonts w:ascii="宋体" w:hAnsi="宋体" w:eastAsia="宋体"/>
                <w:sz w:val="16"/>
              </w:rPr>
              <w:t>—</w:t>
            </w:r>
          </w:p>
        </w:tc>
      </w:tr>
      <w:tr w14:paraId="65C9A5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6069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BF75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982A6">
            <w:pPr>
              <w:jc w:val="center"/>
            </w:pPr>
            <w:r>
              <w:rPr>
                <w:rFonts w:ascii="宋体" w:hAnsi="宋体" w:eastAsia="宋体"/>
                <w:sz w:val="16"/>
              </w:rPr>
              <w:t>2,435.00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0EB8B">
            <w:pPr>
              <w:jc w:val="center"/>
            </w:pPr>
            <w:r>
              <w:rPr>
                <w:rFonts w:ascii="宋体" w:hAnsi="宋体" w:eastAsia="宋体"/>
                <w:sz w:val="16"/>
              </w:rPr>
              <w:t>2,435.00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6F64C">
            <w:pPr>
              <w:jc w:val="center"/>
            </w:pPr>
            <w:r>
              <w:rPr>
                <w:rFonts w:ascii="宋体" w:hAnsi="宋体" w:eastAsia="宋体"/>
                <w:sz w:val="16"/>
              </w:rPr>
              <w:t>355.03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C04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3C8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C63AD">
            <w:pPr>
              <w:jc w:val="center"/>
            </w:pPr>
            <w:r>
              <w:rPr>
                <w:rFonts w:ascii="宋体" w:hAnsi="宋体" w:eastAsia="宋体"/>
                <w:sz w:val="16"/>
              </w:rPr>
              <w:t>—</w:t>
            </w:r>
          </w:p>
        </w:tc>
      </w:tr>
      <w:tr w14:paraId="24CE0EB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BCD7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30DCF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B73B7C">
            <w:pPr>
              <w:jc w:val="center"/>
            </w:pPr>
            <w:r>
              <w:rPr>
                <w:rFonts w:ascii="宋体" w:hAnsi="宋体" w:eastAsia="宋体"/>
                <w:sz w:val="16"/>
              </w:rPr>
              <w:t>实际完成情况</w:t>
            </w:r>
          </w:p>
        </w:tc>
      </w:tr>
      <w:tr w14:paraId="2A5B97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85EB6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A1F590">
            <w:pPr>
              <w:jc w:val="both"/>
            </w:pPr>
            <w:r>
              <w:rPr>
                <w:rFonts w:ascii="宋体" w:hAnsi="宋体" w:eastAsia="宋体"/>
                <w:sz w:val="16"/>
              </w:rPr>
              <w:t>根据项目实施方案实施本项目。项目实施内容：该项目资金主要用于发放企业补贴的880万元，用于建设津和丝路驿站1座880万元，用于制作招</w:t>
            </w:r>
            <w:r>
              <w:rPr>
                <w:rFonts w:hint="eastAsia" w:ascii="宋体" w:hAnsi="宋体"/>
                <w:sz w:val="16"/>
                <w:lang w:eastAsia="zh-CN"/>
              </w:rPr>
              <w:t>商引资</w:t>
            </w:r>
            <w:r>
              <w:rPr>
                <w:rFonts w:ascii="宋体" w:hAnsi="宋体" w:eastAsia="宋体"/>
                <w:sz w:val="16"/>
              </w:rPr>
              <w:t>宣传片1个，PPT1个，制作宣传册和购买伴手礼等120万元，用于开通津和直航项目补贴555万元。该项目的实施优化我县营商环境，助力产业发展，促进稳岗就业。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D9CB3">
            <w:pPr>
              <w:jc w:val="both"/>
            </w:pPr>
            <w:r>
              <w:rPr>
                <w:rFonts w:ascii="宋体" w:hAnsi="宋体" w:eastAsia="宋体"/>
                <w:sz w:val="16"/>
              </w:rPr>
              <w:t>截至2024年12月底，本项目预算安排2435万元，实际支出355.03万元，预算执行率14.58%。项目已经完成建设津和丝路驿站1座，补贴津和直航航班数1个，制作招</w:t>
            </w:r>
            <w:r>
              <w:rPr>
                <w:rFonts w:hint="eastAsia" w:ascii="宋体" w:hAnsi="宋体"/>
                <w:sz w:val="16"/>
                <w:lang w:eastAsia="zh-CN"/>
              </w:rPr>
              <w:t>商引资</w:t>
            </w:r>
            <w:r>
              <w:rPr>
                <w:rFonts w:ascii="宋体" w:hAnsi="宋体" w:eastAsia="宋体"/>
                <w:sz w:val="16"/>
              </w:rPr>
              <w:t>宣传片1个，PPT1个，资金使用合规率100%，资金拨付及时率100%，补贴企业资金253.52万元，建设津和丝路驿站资金0.37万元，招</w:t>
            </w:r>
            <w:r>
              <w:rPr>
                <w:rFonts w:hint="eastAsia" w:ascii="宋体" w:hAnsi="宋体"/>
                <w:sz w:val="16"/>
                <w:lang w:eastAsia="zh-CN"/>
              </w:rPr>
              <w:t>商引资</w:t>
            </w:r>
            <w:r>
              <w:rPr>
                <w:rFonts w:ascii="宋体" w:hAnsi="宋体" w:eastAsia="宋体"/>
                <w:sz w:val="16"/>
              </w:rPr>
              <w:t>活动费41.14万元，津和直航项目补贴资金60万元，有效带动受益企业经济增长，受益群众和企业满意度100%。该项目的实施优化我县营商环境，助力产业发展，促进稳岗就业。</w:t>
            </w:r>
            <w:r>
              <w:rPr>
                <w:rFonts w:ascii="宋体" w:hAnsi="宋体" w:eastAsia="宋体"/>
                <w:sz w:val="16"/>
              </w:rPr>
              <w:br w:type="textWrapping"/>
            </w:r>
          </w:p>
        </w:tc>
      </w:tr>
      <w:tr w14:paraId="2A7AFF7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7D2E5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EB26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723C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2861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2CEE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9516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2179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18FB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BF001">
            <w:pPr>
              <w:jc w:val="center"/>
            </w:pPr>
            <w:r>
              <w:rPr>
                <w:rFonts w:ascii="宋体" w:hAnsi="宋体" w:eastAsia="宋体"/>
                <w:sz w:val="16"/>
              </w:rPr>
              <w:t>偏差原因分析及改进措施</w:t>
            </w:r>
          </w:p>
        </w:tc>
      </w:tr>
      <w:tr w14:paraId="3F2087E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C161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2DD7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3BF2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0C480">
            <w:pPr>
              <w:jc w:val="center"/>
            </w:pPr>
            <w:r>
              <w:rPr>
                <w:rFonts w:ascii="宋体" w:hAnsi="宋体" w:eastAsia="宋体"/>
                <w:sz w:val="16"/>
              </w:rPr>
              <w:t>建设津和丝路驿站数量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CA69C">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058FC">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205E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672F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CD445">
            <w:pPr>
              <w:jc w:val="center"/>
            </w:pPr>
            <w:r>
              <w:rPr>
                <w:rFonts w:ascii="宋体" w:hAnsi="宋体" w:eastAsia="宋体"/>
                <w:sz w:val="16"/>
              </w:rPr>
              <w:t>偏差原因：天津援疆前指发下的产业扶持资金政策门槛太高，民丰县企业少，基础差，达不到申报补贴的条件，导致补贴资金发放不出去；</w:t>
            </w:r>
          </w:p>
        </w:tc>
      </w:tr>
      <w:tr w14:paraId="0FF49B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566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5390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CEEE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E77DC">
            <w:pPr>
              <w:jc w:val="center"/>
            </w:pPr>
            <w:r>
              <w:rPr>
                <w:rFonts w:ascii="宋体" w:hAnsi="宋体" w:eastAsia="宋体"/>
                <w:sz w:val="16"/>
              </w:rPr>
              <w:t>补贴津和直航航班数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0A9AF">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F5D62">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1814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3276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ADE4F">
            <w:pPr>
              <w:jc w:val="center"/>
            </w:pPr>
          </w:p>
        </w:tc>
      </w:tr>
      <w:tr w14:paraId="096112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E7B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D7C8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96B7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06B77">
            <w:pPr>
              <w:jc w:val="center"/>
            </w:pPr>
            <w:r>
              <w:rPr>
                <w:rFonts w:ascii="宋体" w:hAnsi="宋体" w:eastAsia="宋体"/>
                <w:sz w:val="16"/>
              </w:rPr>
              <w:t>制作招商引资宣传片数量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03A20">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03F1B">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DFE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1FB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D3F4E">
            <w:pPr>
              <w:jc w:val="center"/>
            </w:pPr>
          </w:p>
        </w:tc>
      </w:tr>
      <w:tr w14:paraId="77F776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DE67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A874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0E72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6463F">
            <w:pPr>
              <w:jc w:val="center"/>
            </w:pPr>
            <w:r>
              <w:rPr>
                <w:rFonts w:ascii="宋体" w:hAnsi="宋体" w:eastAsia="宋体"/>
                <w:sz w:val="16"/>
              </w:rPr>
              <w:t>制作招商引资PPT数量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550EC">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D5DB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F95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6B0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D4EE3">
            <w:pPr>
              <w:jc w:val="center"/>
            </w:pPr>
          </w:p>
        </w:tc>
      </w:tr>
      <w:tr w14:paraId="7608E7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03D7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074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AE1E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CA4FD">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F97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2BC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9987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A9CE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2C4F4">
            <w:pPr>
              <w:jc w:val="center"/>
            </w:pPr>
          </w:p>
        </w:tc>
      </w:tr>
      <w:tr w14:paraId="2F4EEA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59E6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ED0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0A61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502AE">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BC7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C6E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250E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C624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2124D">
            <w:pPr>
              <w:jc w:val="center"/>
            </w:pPr>
          </w:p>
        </w:tc>
      </w:tr>
      <w:tr w14:paraId="489B6E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6E7BC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96D8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07CB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F6C2E">
            <w:pPr>
              <w:jc w:val="center"/>
            </w:pPr>
            <w:r>
              <w:rPr>
                <w:rFonts w:ascii="宋体" w:hAnsi="宋体" w:eastAsia="宋体"/>
                <w:sz w:val="16"/>
              </w:rPr>
              <w:t>补贴企业资金数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4D945">
            <w:pPr>
              <w:jc w:val="center"/>
            </w:pPr>
            <w:r>
              <w:rPr>
                <w:rFonts w:ascii="宋体" w:hAnsi="宋体" w:eastAsia="宋体"/>
                <w:sz w:val="16"/>
              </w:rPr>
              <w:t>&lt;=880万元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B2501">
            <w:pPr>
              <w:jc w:val="center"/>
            </w:pPr>
            <w:r>
              <w:rPr>
                <w:rFonts w:ascii="宋体" w:hAnsi="宋体" w:eastAsia="宋体"/>
                <w:sz w:val="16"/>
              </w:rPr>
              <w:t>=253.52万元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E624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383A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B7E91">
            <w:pPr>
              <w:jc w:val="center"/>
            </w:pPr>
            <w:r>
              <w:rPr>
                <w:rFonts w:ascii="宋体" w:hAnsi="宋体" w:eastAsia="宋体"/>
                <w:sz w:val="16"/>
              </w:rPr>
              <w:t>偏差原因：天津援疆前指发下的产业扶持资金政策门槛太高，民丰县企业少，基础差，达不到申报补贴的条件，导致补贴资金发放不出去；</w:t>
            </w:r>
          </w:p>
        </w:tc>
      </w:tr>
      <w:tr w14:paraId="29ADC9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6950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E2EE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A6F7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5BFC8">
            <w:pPr>
              <w:jc w:val="center"/>
            </w:pPr>
            <w:r>
              <w:rPr>
                <w:rFonts w:ascii="宋体" w:hAnsi="宋体" w:eastAsia="宋体"/>
                <w:sz w:val="16"/>
              </w:rPr>
              <w:t>建设津和丝路驿站资金数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44110">
            <w:pPr>
              <w:jc w:val="center"/>
            </w:pPr>
            <w:r>
              <w:rPr>
                <w:rFonts w:ascii="宋体" w:hAnsi="宋体" w:eastAsia="宋体"/>
                <w:sz w:val="16"/>
              </w:rPr>
              <w:t>&lt;=880万元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F7545">
            <w:pPr>
              <w:jc w:val="center"/>
            </w:pPr>
            <w:r>
              <w:rPr>
                <w:rFonts w:ascii="宋体" w:hAnsi="宋体" w:eastAsia="宋体"/>
                <w:sz w:val="16"/>
              </w:rPr>
              <w:t>=0.37万元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75FE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E7E6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B2933">
            <w:pPr>
              <w:jc w:val="center"/>
            </w:pPr>
            <w:r>
              <w:rPr>
                <w:rFonts w:ascii="宋体" w:hAnsi="宋体" w:eastAsia="宋体"/>
                <w:sz w:val="16"/>
              </w:rPr>
              <w:t>偏差原因：民丰县新建216新藏线基础设施建设项目前期由于用地批复问题于2024年11月23日才完成招投标，冬季无法开工，建设地点又在高海拔地，计划2025年4月15日才能开工。改进措施：今后合理设置指标。</w:t>
            </w:r>
          </w:p>
        </w:tc>
      </w:tr>
      <w:tr w14:paraId="18B16F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5F2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2AA0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EE8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4772B">
            <w:pPr>
              <w:jc w:val="center"/>
            </w:pPr>
            <w:r>
              <w:rPr>
                <w:rFonts w:ascii="宋体" w:hAnsi="宋体" w:eastAsia="宋体"/>
                <w:sz w:val="16"/>
              </w:rPr>
              <w:t>招商引资活动费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5A5D1">
            <w:pPr>
              <w:jc w:val="center"/>
            </w:pPr>
            <w:r>
              <w:rPr>
                <w:rFonts w:ascii="宋体" w:hAnsi="宋体" w:eastAsia="宋体"/>
                <w:sz w:val="16"/>
              </w:rPr>
              <w:t>&lt;=120万元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3A1C8">
            <w:pPr>
              <w:jc w:val="center"/>
            </w:pPr>
            <w:r>
              <w:rPr>
                <w:rFonts w:ascii="宋体" w:hAnsi="宋体" w:eastAsia="宋体"/>
                <w:sz w:val="16"/>
              </w:rPr>
              <w:t>=41.14万元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95FF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BD81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AAB3D">
            <w:pPr>
              <w:jc w:val="center"/>
            </w:pPr>
            <w:r>
              <w:rPr>
                <w:rFonts w:ascii="宋体" w:hAnsi="宋体" w:eastAsia="宋体"/>
                <w:sz w:val="16"/>
              </w:rPr>
              <w:t>偏差原因：2024年开展的招商引资活动少。改进措施：加强预算管理。</w:t>
            </w:r>
          </w:p>
        </w:tc>
      </w:tr>
      <w:tr w14:paraId="596633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65E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0571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8FFC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7F785">
            <w:pPr>
              <w:jc w:val="center"/>
            </w:pPr>
            <w:r>
              <w:rPr>
                <w:rFonts w:ascii="宋体" w:hAnsi="宋体" w:eastAsia="宋体"/>
                <w:sz w:val="16"/>
              </w:rPr>
              <w:t>津和直航项目补贴资金数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990FB">
            <w:pPr>
              <w:jc w:val="center"/>
            </w:pPr>
            <w:r>
              <w:rPr>
                <w:rFonts w:ascii="宋体" w:hAnsi="宋体" w:eastAsia="宋体"/>
                <w:sz w:val="16"/>
              </w:rPr>
              <w:t>&lt;=555万元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8D6DF">
            <w:pPr>
              <w:jc w:val="center"/>
            </w:pPr>
            <w:r>
              <w:rPr>
                <w:rFonts w:ascii="宋体" w:hAnsi="宋体" w:eastAsia="宋体"/>
                <w:sz w:val="16"/>
              </w:rPr>
              <w:t>=60万元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8E81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3C0E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9C812">
            <w:pPr>
              <w:jc w:val="center"/>
            </w:pPr>
            <w:r>
              <w:rPr>
                <w:rFonts w:ascii="宋体" w:hAnsi="宋体" w:eastAsia="宋体"/>
                <w:sz w:val="16"/>
              </w:rPr>
              <w:t>偏差原因：津和直航项目补贴是由地区文旅局统筹实施，地区不开通津和直航，该资金就拨付不了。改进措施：加强预算管理。</w:t>
            </w:r>
          </w:p>
        </w:tc>
      </w:tr>
      <w:tr w14:paraId="02199F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8A6B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9F2C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A48F0">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15A89">
            <w:pPr>
              <w:jc w:val="center"/>
            </w:pPr>
            <w:r>
              <w:rPr>
                <w:rFonts w:ascii="宋体" w:hAnsi="宋体" w:eastAsia="宋体"/>
                <w:sz w:val="16"/>
              </w:rPr>
              <w:t>有效带动受益企业经济增长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7593E">
            <w:pPr>
              <w:jc w:val="center"/>
            </w:pPr>
            <w:r>
              <w:rPr>
                <w:rFonts w:ascii="宋体" w:hAnsi="宋体" w:eastAsia="宋体"/>
                <w:sz w:val="16"/>
              </w:rPr>
              <w:t>有效增长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D682B">
            <w:pPr>
              <w:jc w:val="center"/>
            </w:pPr>
            <w:r>
              <w:rPr>
                <w:rFonts w:ascii="宋体" w:hAnsi="宋体" w:eastAsia="宋体"/>
                <w:sz w:val="16"/>
              </w:rPr>
              <w:t>部分达成目标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2205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C5564">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36647">
            <w:pPr>
              <w:jc w:val="center"/>
            </w:pPr>
            <w:r>
              <w:rPr>
                <w:rFonts w:ascii="宋体" w:hAnsi="宋体" w:eastAsia="宋体"/>
                <w:sz w:val="16"/>
              </w:rPr>
              <w:t>偏差原因：民丰县新建216新藏线基础设施建设项目前期由于用地批复问题于2024年11月23日才完成招投标，冬季无法开工，建设地点又在高海拔地，计划2025年4月15日才能开工。改进措施：今后合理设置指标。</w:t>
            </w:r>
          </w:p>
        </w:tc>
      </w:tr>
      <w:tr w14:paraId="43DCB9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3E9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87AD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8534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82729">
            <w:pPr>
              <w:jc w:val="center"/>
            </w:pPr>
            <w:r>
              <w:rPr>
                <w:rFonts w:ascii="宋体" w:hAnsi="宋体" w:eastAsia="宋体"/>
                <w:sz w:val="16"/>
              </w:rPr>
              <w:t>受益群众、企业满意度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21F8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744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DC5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EE2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43BA0">
            <w:pPr>
              <w:jc w:val="center"/>
            </w:pPr>
          </w:p>
        </w:tc>
      </w:tr>
      <w:tr w14:paraId="779A356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0B17C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7E2D2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ABE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ABD11">
            <w:pPr>
              <w:jc w:val="center"/>
            </w:pPr>
            <w:r>
              <w:rPr>
                <w:rFonts w:ascii="宋体" w:hAnsi="宋体" w:eastAsia="宋体"/>
                <w:sz w:val="16"/>
              </w:rPr>
              <w:t>57分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C74C52"/>
        </w:tc>
      </w:tr>
    </w:tbl>
    <w:p w14:paraId="052EBAD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81FA3B5">
        <w:tblPrEx>
          <w:tblCellMar>
            <w:top w:w="0" w:type="dxa"/>
            <w:left w:w="108" w:type="dxa"/>
            <w:bottom w:w="0" w:type="dxa"/>
            <w:right w:w="108" w:type="dxa"/>
          </w:tblCellMar>
        </w:tblPrEx>
        <w:tc>
          <w:tcPr>
            <w:tcW w:w="8847" w:type="dxa"/>
            <w:gridSpan w:val="9"/>
            <w:vAlign w:val="center"/>
          </w:tcPr>
          <w:p w14:paraId="690FC6D3">
            <w:pPr>
              <w:jc w:val="center"/>
            </w:pPr>
            <w:r>
              <w:rPr>
                <w:rFonts w:ascii="宋体" w:hAnsi="宋体" w:eastAsia="宋体"/>
                <w:sz w:val="24"/>
              </w:rPr>
              <w:t>项目支出绩效自评表</w:t>
            </w:r>
          </w:p>
        </w:tc>
      </w:tr>
      <w:tr w14:paraId="40505543">
        <w:tblPrEx>
          <w:tblCellMar>
            <w:top w:w="0" w:type="dxa"/>
            <w:left w:w="108" w:type="dxa"/>
            <w:bottom w:w="0" w:type="dxa"/>
            <w:right w:w="108" w:type="dxa"/>
          </w:tblCellMar>
        </w:tblPrEx>
        <w:tc>
          <w:tcPr>
            <w:tcW w:w="8847" w:type="dxa"/>
            <w:gridSpan w:val="9"/>
            <w:vAlign w:val="center"/>
          </w:tcPr>
          <w:p w14:paraId="3262909E">
            <w:pPr>
              <w:jc w:val="center"/>
            </w:pPr>
            <w:r>
              <w:rPr>
                <w:rFonts w:ascii="宋体" w:hAnsi="宋体" w:eastAsia="宋体"/>
                <w:sz w:val="24"/>
              </w:rPr>
              <w:t>(2024年度)</w:t>
            </w:r>
          </w:p>
        </w:tc>
      </w:tr>
      <w:tr w14:paraId="62F838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A4C7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504B8CA">
            <w:pPr>
              <w:jc w:val="center"/>
            </w:pPr>
            <w:r>
              <w:rPr>
                <w:rFonts w:ascii="宋体" w:hAnsi="宋体" w:eastAsia="宋体"/>
                <w:sz w:val="16"/>
              </w:rPr>
              <w:t>民丰县2024年电子商务运营补贴项目</w:t>
            </w:r>
          </w:p>
        </w:tc>
      </w:tr>
      <w:tr w14:paraId="747C5A9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53FD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9D68B0">
            <w:pPr>
              <w:jc w:val="center"/>
            </w:pPr>
            <w:r>
              <w:rPr>
                <w:rFonts w:ascii="宋体" w:hAnsi="宋体" w:eastAsia="宋体"/>
                <w:sz w:val="16"/>
              </w:rPr>
              <w:t>民丰县商务和工业信息化局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85C8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8CA473">
            <w:pPr>
              <w:jc w:val="center"/>
            </w:pPr>
            <w:r>
              <w:rPr>
                <w:rFonts w:ascii="宋体" w:hAnsi="宋体" w:eastAsia="宋体"/>
                <w:sz w:val="16"/>
              </w:rPr>
              <w:t>民丰县商务和工业信息化局</w:t>
            </w:r>
          </w:p>
        </w:tc>
      </w:tr>
      <w:tr w14:paraId="736CDF0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E058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18C2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197C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2BE5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F2A8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337E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2488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1AF35">
            <w:pPr>
              <w:jc w:val="center"/>
            </w:pPr>
            <w:r>
              <w:rPr>
                <w:rFonts w:ascii="宋体" w:hAnsi="宋体" w:eastAsia="宋体"/>
                <w:sz w:val="16"/>
              </w:rPr>
              <w:t>得分</w:t>
            </w:r>
          </w:p>
        </w:tc>
      </w:tr>
      <w:tr w14:paraId="2ECA80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B902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F135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82446">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E14E3">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09941">
            <w:pPr>
              <w:jc w:val="center"/>
            </w:pPr>
            <w:r>
              <w:rPr>
                <w:rFonts w:ascii="宋体" w:hAnsi="宋体" w:eastAsia="宋体"/>
                <w:sz w:val="16"/>
              </w:rPr>
              <w:t>73.25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824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FEDEA">
            <w:pPr>
              <w:jc w:val="center"/>
            </w:pPr>
            <w:r>
              <w:rPr>
                <w:rFonts w:ascii="宋体" w:hAnsi="宋体" w:eastAsia="宋体"/>
                <w:sz w:val="16"/>
              </w:rPr>
              <w:t xml:space="preserve">48.83%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24FAF">
            <w:pPr>
              <w:jc w:val="center"/>
            </w:pPr>
            <w:r>
              <w:rPr>
                <w:rFonts w:ascii="宋体" w:hAnsi="宋体" w:eastAsia="宋体"/>
                <w:sz w:val="16"/>
              </w:rPr>
              <w:t>0.00分</w:t>
            </w:r>
          </w:p>
        </w:tc>
      </w:tr>
      <w:tr w14:paraId="7A7C26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B8D3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E4CB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708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D2A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3D9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D73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89E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EADA3">
            <w:pPr>
              <w:jc w:val="center"/>
            </w:pPr>
            <w:r>
              <w:rPr>
                <w:rFonts w:ascii="宋体" w:hAnsi="宋体" w:eastAsia="宋体"/>
                <w:sz w:val="16"/>
              </w:rPr>
              <w:t>—</w:t>
            </w:r>
          </w:p>
        </w:tc>
      </w:tr>
      <w:tr w14:paraId="696B5C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C1AD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DD0A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BDB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68C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FD9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249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8BB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02B1A">
            <w:pPr>
              <w:jc w:val="center"/>
            </w:pPr>
            <w:r>
              <w:rPr>
                <w:rFonts w:ascii="宋体" w:hAnsi="宋体" w:eastAsia="宋体"/>
                <w:sz w:val="16"/>
              </w:rPr>
              <w:t>—</w:t>
            </w:r>
          </w:p>
        </w:tc>
      </w:tr>
      <w:tr w14:paraId="449A8B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88586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4067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423BE">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BC8A2">
            <w:pPr>
              <w:jc w:val="center"/>
            </w:pPr>
            <w:r>
              <w:rPr>
                <w:rFonts w:ascii="宋体" w:hAnsi="宋体" w:eastAsia="宋体"/>
                <w:sz w:val="16"/>
              </w:rPr>
              <w:t>150.00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A3C7A">
            <w:pPr>
              <w:jc w:val="center"/>
            </w:pPr>
            <w:r>
              <w:rPr>
                <w:rFonts w:ascii="宋体" w:hAnsi="宋体" w:eastAsia="宋体"/>
                <w:sz w:val="16"/>
              </w:rPr>
              <w:t>73.25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E4F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339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5D810">
            <w:pPr>
              <w:jc w:val="center"/>
            </w:pPr>
            <w:r>
              <w:rPr>
                <w:rFonts w:ascii="宋体" w:hAnsi="宋体" w:eastAsia="宋体"/>
                <w:sz w:val="16"/>
              </w:rPr>
              <w:t>—</w:t>
            </w:r>
          </w:p>
        </w:tc>
      </w:tr>
      <w:tr w14:paraId="498D04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852A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F0A88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86561D">
            <w:pPr>
              <w:jc w:val="center"/>
            </w:pPr>
            <w:r>
              <w:rPr>
                <w:rFonts w:ascii="宋体" w:hAnsi="宋体" w:eastAsia="宋体"/>
                <w:sz w:val="16"/>
              </w:rPr>
              <w:t>实际完成情况</w:t>
            </w:r>
          </w:p>
        </w:tc>
      </w:tr>
      <w:tr w14:paraId="3BD5B1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AAFE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4A845E">
            <w:pPr>
              <w:jc w:val="both"/>
            </w:pPr>
            <w:r>
              <w:rPr>
                <w:rFonts w:ascii="宋体" w:hAnsi="宋体" w:eastAsia="宋体"/>
                <w:sz w:val="16"/>
              </w:rPr>
              <w:t>根据项目实施方案实施本项目。项目实施内容：确保1个县级电子商务服务中心和27个电子商务服务站正常运营，培养百人团电商人才，挖掘网红，开展培训和直播带货，在平台发布宣传短视频。拓展本地农产品销售渠道，助力本地农产品销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74B79F">
            <w:pPr>
              <w:jc w:val="both"/>
            </w:pPr>
            <w:r>
              <w:rPr>
                <w:rFonts w:ascii="宋体" w:hAnsi="宋体" w:eastAsia="宋体"/>
                <w:sz w:val="16"/>
              </w:rPr>
              <w:t>截至2024年12月底，本项目预算安排150万元，实际支出73.25万元，预算执行率48.83%。项目已经完成运营县级电子商务服务中心1个，运营电子商务服务站27个，开展培训3次，资金使用合规率100%，资金拨付及时率100%，有效拓展电商直播带货农产品销售渠道，受益群众满意度100%，通过项目实施，达到了拓展本地农产品销售渠道，助力本地农产品销售的效果。</w:t>
            </w:r>
          </w:p>
        </w:tc>
      </w:tr>
      <w:tr w14:paraId="3DAE98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A20D5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180A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6A0F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A322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CE3A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AA64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A6B6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D16C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06521">
            <w:pPr>
              <w:jc w:val="center"/>
            </w:pPr>
            <w:r>
              <w:rPr>
                <w:rFonts w:ascii="宋体" w:hAnsi="宋体" w:eastAsia="宋体"/>
                <w:sz w:val="16"/>
              </w:rPr>
              <w:t>偏差原因分析及改进措施</w:t>
            </w:r>
          </w:p>
        </w:tc>
      </w:tr>
      <w:tr w14:paraId="1EFF90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E9CF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DF09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597A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0A108">
            <w:pPr>
              <w:jc w:val="center"/>
            </w:pPr>
            <w:r>
              <w:rPr>
                <w:rFonts w:ascii="宋体" w:hAnsi="宋体" w:eastAsia="宋体"/>
                <w:sz w:val="16"/>
              </w:rPr>
              <w:t>运营县级电子商务服务中心数量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D3F56">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F6165">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1F7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C16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A7E4B">
            <w:pPr>
              <w:jc w:val="center"/>
            </w:pPr>
          </w:p>
        </w:tc>
      </w:tr>
      <w:tr w14:paraId="76A914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32E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170D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4CBA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015E2">
            <w:pPr>
              <w:jc w:val="center"/>
            </w:pPr>
            <w:r>
              <w:rPr>
                <w:rFonts w:ascii="宋体" w:hAnsi="宋体" w:eastAsia="宋体"/>
                <w:sz w:val="16"/>
              </w:rPr>
              <w:t>运营电子商务服务站数量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E21D8">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47DF5">
            <w:pPr>
              <w:jc w:val="center"/>
            </w:pPr>
            <w:r>
              <w:rPr>
                <w:rFonts w:ascii="宋体" w:hAnsi="宋体" w:eastAsia="宋体"/>
                <w:sz w:val="16"/>
              </w:rPr>
              <w:t>=27个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18B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37F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5FA07">
            <w:pPr>
              <w:jc w:val="center"/>
            </w:pPr>
          </w:p>
        </w:tc>
      </w:tr>
      <w:tr w14:paraId="35D2CB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C54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8896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C8E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8CF78">
            <w:pPr>
              <w:jc w:val="center"/>
            </w:pPr>
            <w:r>
              <w:rPr>
                <w:rFonts w:ascii="宋体" w:hAnsi="宋体" w:eastAsia="宋体"/>
                <w:sz w:val="16"/>
              </w:rPr>
              <w:t>开展培训次数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0B321">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C8E0D">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06B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FDA0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2315B">
            <w:pPr>
              <w:jc w:val="center"/>
            </w:pPr>
            <w:r>
              <w:rPr>
                <w:rFonts w:ascii="宋体" w:hAnsi="宋体" w:eastAsia="宋体"/>
                <w:sz w:val="16"/>
              </w:rPr>
              <w:t>偏差原因：目标设置不精准；改进措施：今后合理设置目标。</w:t>
            </w:r>
          </w:p>
        </w:tc>
      </w:tr>
      <w:tr w14:paraId="35ADD0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6CB1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B48A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3C0E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E56A2">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FAC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6D3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75B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EF32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4BE1E">
            <w:pPr>
              <w:jc w:val="center"/>
            </w:pPr>
            <w:r>
              <w:rPr>
                <w:rFonts w:ascii="宋体" w:hAnsi="宋体" w:eastAsia="宋体"/>
                <w:sz w:val="16"/>
              </w:rPr>
              <w:t>偏差原因：该项目签订合同的服务期限到2025年5月份，所以导致资金拨付及时率低。改进措施：加强预算管理。</w:t>
            </w:r>
          </w:p>
        </w:tc>
      </w:tr>
      <w:tr w14:paraId="159C46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60D5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9F1B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E846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A7701">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050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FC4CA">
            <w:pPr>
              <w:jc w:val="center"/>
            </w:pPr>
            <w:r>
              <w:rPr>
                <w:rFonts w:ascii="宋体" w:hAnsi="宋体" w:eastAsia="宋体"/>
                <w:sz w:val="16"/>
              </w:rPr>
              <w:t>=48.83%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220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1871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1BCCB">
            <w:pPr>
              <w:jc w:val="center"/>
            </w:pPr>
            <w:r>
              <w:rPr>
                <w:rFonts w:ascii="宋体" w:hAnsi="宋体" w:eastAsia="宋体"/>
                <w:sz w:val="16"/>
              </w:rPr>
              <w:t>偏差原因：该项目签订合同的服务期限到2025年5月份，所以导致资金拨付及时率低。改进措施：加强预算管理。</w:t>
            </w:r>
          </w:p>
        </w:tc>
      </w:tr>
      <w:tr w14:paraId="2CFABC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AA5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CD37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8592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F8C52">
            <w:pPr>
              <w:jc w:val="center"/>
            </w:pPr>
            <w:r>
              <w:rPr>
                <w:rFonts w:ascii="宋体" w:hAnsi="宋体" w:eastAsia="宋体"/>
                <w:sz w:val="16"/>
              </w:rPr>
              <w:t>通过电商直播带货，有效拓展农产品销售渠道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5A37A">
            <w:pPr>
              <w:jc w:val="center"/>
            </w:pPr>
            <w:r>
              <w:rPr>
                <w:rFonts w:ascii="宋体" w:hAnsi="宋体" w:eastAsia="宋体"/>
                <w:sz w:val="16"/>
              </w:rPr>
              <w:t>有效拓展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52C1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9C1F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C755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A16C3">
            <w:pPr>
              <w:jc w:val="center"/>
            </w:pPr>
          </w:p>
        </w:tc>
      </w:tr>
      <w:tr w14:paraId="6256E0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FC28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DB33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CA3C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33637">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3AA5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576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9D3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280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0311E">
            <w:pPr>
              <w:jc w:val="center"/>
            </w:pPr>
          </w:p>
        </w:tc>
      </w:tr>
      <w:tr w14:paraId="158E369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9C2F2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8F251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A6E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8D124">
            <w:pPr>
              <w:jc w:val="center"/>
            </w:pPr>
            <w:r>
              <w:rPr>
                <w:rFonts w:ascii="宋体" w:hAnsi="宋体" w:eastAsia="宋体"/>
                <w:sz w:val="16"/>
              </w:rPr>
              <w:t>60分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2B347BF"/>
        </w:tc>
      </w:tr>
    </w:tbl>
    <w:p w14:paraId="7C59D60E">
      <w:r>
        <w:br w:type="page"/>
      </w:r>
    </w:p>
    <w:p w14:paraId="33D33135">
      <w:pPr>
        <w:spacing w:line="640" w:lineRule="exact"/>
        <w:ind w:firstLine="640"/>
        <w:jc w:val="both"/>
        <w:outlineLvl w:val="2"/>
      </w:pPr>
      <w:r>
        <w:rPr>
          <w:rFonts w:ascii="黑体" w:hAnsi="黑体" w:eastAsia="黑体"/>
          <w:sz w:val="32"/>
        </w:rPr>
        <w:t>十二、其他需说明的事项</w:t>
      </w:r>
    </w:p>
    <w:p w14:paraId="0F0FB8D0">
      <w:pPr>
        <w:spacing w:line="580" w:lineRule="exact"/>
        <w:ind w:firstLine="640"/>
        <w:jc w:val="both"/>
      </w:pPr>
      <w:r>
        <w:rPr>
          <w:rFonts w:ascii="仿宋_GB2312" w:hAnsi="仿宋_GB2312" w:eastAsia="仿宋_GB2312"/>
          <w:b w:val="0"/>
          <w:sz w:val="32"/>
        </w:rPr>
        <w:t>本单位无其他需说明的事项。</w:t>
      </w:r>
    </w:p>
    <w:p w14:paraId="74377A02">
      <w:r>
        <w:br w:type="page"/>
      </w:r>
    </w:p>
    <w:p w14:paraId="6D827070">
      <w:pPr>
        <w:spacing w:line="240" w:lineRule="auto"/>
        <w:jc w:val="center"/>
        <w:outlineLvl w:val="1"/>
      </w:pPr>
      <w:r>
        <w:rPr>
          <w:rFonts w:ascii="黑体" w:hAnsi="黑体" w:eastAsia="黑体"/>
          <w:sz w:val="32"/>
        </w:rPr>
        <w:t>第三部分 专业名词解释</w:t>
      </w:r>
    </w:p>
    <w:p w14:paraId="2AEA66B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9958D7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C1434C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89F0D9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7CCB51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ABD628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5DD004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593FB9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FFD1A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05AB95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6D6918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AC624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FF9B5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E2D75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576134">
      <w:r>
        <w:br w:type="page"/>
      </w:r>
    </w:p>
    <w:p w14:paraId="7D188904">
      <w:pPr>
        <w:spacing w:line="240" w:lineRule="auto"/>
        <w:jc w:val="center"/>
        <w:outlineLvl w:val="1"/>
      </w:pPr>
      <w:r>
        <w:rPr>
          <w:rFonts w:ascii="黑体" w:hAnsi="黑体" w:eastAsia="黑体"/>
          <w:sz w:val="32"/>
        </w:rPr>
        <w:t>第四部分 部门决算报表（见附表）</w:t>
      </w:r>
    </w:p>
    <w:p w14:paraId="496EC1A1">
      <w:pPr>
        <w:spacing w:line="240" w:lineRule="auto"/>
        <w:ind w:firstLine="640"/>
        <w:jc w:val="both"/>
      </w:pPr>
      <w:r>
        <w:rPr>
          <w:rFonts w:ascii="仿宋_GB2312" w:hAnsi="仿宋_GB2312" w:eastAsia="仿宋_GB2312"/>
          <w:b w:val="0"/>
          <w:sz w:val="32"/>
        </w:rPr>
        <w:t>一、《收入支出决算总表》</w:t>
      </w:r>
    </w:p>
    <w:p w14:paraId="54E182C3">
      <w:pPr>
        <w:spacing w:line="240" w:lineRule="auto"/>
        <w:ind w:firstLine="640"/>
        <w:jc w:val="both"/>
      </w:pPr>
      <w:r>
        <w:rPr>
          <w:rFonts w:ascii="仿宋_GB2312" w:hAnsi="仿宋_GB2312" w:eastAsia="仿宋_GB2312"/>
          <w:b w:val="0"/>
          <w:sz w:val="32"/>
        </w:rPr>
        <w:t>二、《收入决算表》</w:t>
      </w:r>
    </w:p>
    <w:p w14:paraId="44BDE9C8">
      <w:pPr>
        <w:spacing w:line="240" w:lineRule="auto"/>
        <w:ind w:firstLine="640"/>
        <w:jc w:val="both"/>
      </w:pPr>
      <w:r>
        <w:rPr>
          <w:rFonts w:ascii="仿宋_GB2312" w:hAnsi="仿宋_GB2312" w:eastAsia="仿宋_GB2312"/>
          <w:b w:val="0"/>
          <w:sz w:val="32"/>
        </w:rPr>
        <w:t>三、《支出决算表》</w:t>
      </w:r>
    </w:p>
    <w:p w14:paraId="2DC1D8EB">
      <w:pPr>
        <w:spacing w:line="240" w:lineRule="auto"/>
        <w:ind w:firstLine="640"/>
        <w:jc w:val="both"/>
      </w:pPr>
      <w:r>
        <w:rPr>
          <w:rFonts w:ascii="仿宋_GB2312" w:hAnsi="仿宋_GB2312" w:eastAsia="仿宋_GB2312"/>
          <w:b w:val="0"/>
          <w:sz w:val="32"/>
        </w:rPr>
        <w:t>四、《财政拨款收入支出决算总表》</w:t>
      </w:r>
    </w:p>
    <w:p w14:paraId="7D7A4EC5">
      <w:pPr>
        <w:spacing w:line="240" w:lineRule="auto"/>
        <w:ind w:firstLine="640"/>
        <w:jc w:val="both"/>
      </w:pPr>
      <w:r>
        <w:rPr>
          <w:rFonts w:ascii="仿宋_GB2312" w:hAnsi="仿宋_GB2312" w:eastAsia="仿宋_GB2312"/>
          <w:b w:val="0"/>
          <w:sz w:val="32"/>
        </w:rPr>
        <w:t>五、《一般公共预算财政拨款支出决算表》</w:t>
      </w:r>
    </w:p>
    <w:p w14:paraId="0EF4ED93">
      <w:pPr>
        <w:spacing w:line="240" w:lineRule="auto"/>
        <w:ind w:firstLine="640"/>
        <w:jc w:val="both"/>
      </w:pPr>
      <w:r>
        <w:rPr>
          <w:rFonts w:ascii="仿宋_GB2312" w:hAnsi="仿宋_GB2312" w:eastAsia="仿宋_GB2312"/>
          <w:b w:val="0"/>
          <w:sz w:val="32"/>
        </w:rPr>
        <w:t>六、《一般公共预算财政拨款基本支出决算表》</w:t>
      </w:r>
    </w:p>
    <w:p w14:paraId="12CD5204">
      <w:pPr>
        <w:spacing w:line="240" w:lineRule="auto"/>
        <w:ind w:firstLine="640"/>
        <w:jc w:val="both"/>
      </w:pPr>
      <w:r>
        <w:rPr>
          <w:rFonts w:ascii="仿宋_GB2312" w:hAnsi="仿宋_GB2312" w:eastAsia="仿宋_GB2312"/>
          <w:b w:val="0"/>
          <w:sz w:val="32"/>
        </w:rPr>
        <w:t>七、《政府性基金预算财政拨款收入支出决算表》</w:t>
      </w:r>
    </w:p>
    <w:p w14:paraId="4B850150">
      <w:pPr>
        <w:spacing w:line="240" w:lineRule="auto"/>
        <w:ind w:firstLine="640"/>
        <w:jc w:val="both"/>
      </w:pPr>
      <w:r>
        <w:rPr>
          <w:rFonts w:ascii="仿宋_GB2312" w:hAnsi="仿宋_GB2312" w:eastAsia="仿宋_GB2312"/>
          <w:b w:val="0"/>
          <w:sz w:val="32"/>
        </w:rPr>
        <w:t>八、《国有资本经营预算财政拨款收入支出决算表》</w:t>
      </w:r>
    </w:p>
    <w:p w14:paraId="388BE357">
      <w:pPr>
        <w:spacing w:line="240" w:lineRule="auto"/>
        <w:ind w:firstLine="640"/>
        <w:jc w:val="both"/>
      </w:pPr>
      <w:r>
        <w:rPr>
          <w:rFonts w:ascii="仿宋_GB2312" w:hAnsi="仿宋_GB2312" w:eastAsia="仿宋_GB2312"/>
          <w:b w:val="0"/>
          <w:sz w:val="32"/>
        </w:rPr>
        <w:t>九、《财政拨款“三公”经费支出决算表》</w:t>
      </w:r>
    </w:p>
    <w:p w14:paraId="0914E005">
      <w:pPr>
        <w:spacing w:line="240" w:lineRule="auto"/>
        <w:ind w:firstLine="640"/>
        <w:jc w:val="both"/>
      </w:pPr>
    </w:p>
    <w:p w14:paraId="5EE57C63">
      <w:pPr>
        <w:spacing w:line="240" w:lineRule="auto"/>
        <w:ind w:firstLine="640"/>
        <w:jc w:val="both"/>
      </w:pPr>
    </w:p>
    <w:p w14:paraId="1D28055D">
      <w:pPr>
        <w:spacing w:line="240" w:lineRule="auto"/>
        <w:ind w:firstLine="640"/>
        <w:jc w:val="both"/>
      </w:pPr>
    </w:p>
    <w:p w14:paraId="1EAA5470">
      <w:pPr>
        <w:spacing w:line="240" w:lineRule="auto"/>
        <w:ind w:firstLine="640"/>
        <w:jc w:val="both"/>
      </w:pPr>
    </w:p>
    <w:p w14:paraId="73E7AA7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F91315-C176-4BD3-B8C7-37BE9325F73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6D57BA5-CB5A-4774-A3AC-32D2CA8CDE76}"/>
  </w:font>
  <w:font w:name="仿宋_GB2312">
    <w:panose1 w:val="02010609030101010101"/>
    <w:charset w:val="86"/>
    <w:family w:val="modern"/>
    <w:pitch w:val="default"/>
    <w:sig w:usb0="00000001" w:usb1="080E0000" w:usb2="00000000" w:usb3="00000000" w:csb0="00040000" w:csb1="00000000"/>
    <w:embedRegular r:id="rId3" w:fontKey="{AC5C2516-1C09-4778-B485-61294483A8B7}"/>
  </w:font>
  <w:font w:name="楷体_GB2312">
    <w:panose1 w:val="02010609030101010101"/>
    <w:charset w:val="86"/>
    <w:family w:val="auto"/>
    <w:pitch w:val="default"/>
    <w:sig w:usb0="00000001" w:usb1="080E0000" w:usb2="00000000" w:usb3="00000000" w:csb0="00040000" w:csb1="00000000"/>
    <w:embedRegular r:id="rId4" w:fontKey="{C4F6B216-5972-4057-BFEE-1A0613003C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2FFE6C4E"/>
    <w:rsid w:val="313F1D52"/>
    <w:rsid w:val="318029AB"/>
    <w:rsid w:val="31C63837"/>
    <w:rsid w:val="326F0A17"/>
    <w:rsid w:val="3277581B"/>
    <w:rsid w:val="32A4274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C514B1"/>
    <w:rsid w:val="4B4C0111"/>
    <w:rsid w:val="4BB23021"/>
    <w:rsid w:val="4F3F074E"/>
    <w:rsid w:val="50DB5F45"/>
    <w:rsid w:val="52F92565"/>
    <w:rsid w:val="543D17CB"/>
    <w:rsid w:val="55DA564E"/>
    <w:rsid w:val="56E07045"/>
    <w:rsid w:val="583059FA"/>
    <w:rsid w:val="587E6212"/>
    <w:rsid w:val="5AFC6609"/>
    <w:rsid w:val="5DFA5E3E"/>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7926</Words>
  <Characters>8755</Characters>
  <Lines>0</Lines>
  <Paragraphs>0</Paragraphs>
  <TotalTime>6</TotalTime>
  <ScaleCrop>false</ScaleCrop>
  <LinksUpToDate>false</LinksUpToDate>
  <CharactersWithSpaces>8763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2025-09-25T03:41:38Z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