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民丰县发展和改革委员会2024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FE16544">
      <w:r>
        <w:br w:type="page"/>
      </w:r>
    </w:p>
    <w:p w14:paraId="010D98DF">
      <w:pPr>
        <w:spacing w:line="640" w:lineRule="exact"/>
        <w:jc w:val="center"/>
        <w:outlineLvl w:val="1"/>
      </w:pPr>
      <w:r>
        <w:rPr>
          <w:rFonts w:ascii="黑体" w:hAnsi="黑体" w:eastAsia="黑体"/>
          <w:sz w:val="32"/>
        </w:rPr>
        <w:t>第一部分 单位概况</w:t>
      </w:r>
    </w:p>
    <w:p w14:paraId="137EEE43">
      <w:pPr>
        <w:spacing w:line="640" w:lineRule="exact"/>
        <w:ind w:firstLine="640"/>
        <w:jc w:val="both"/>
        <w:outlineLvl w:val="2"/>
      </w:pPr>
      <w:r>
        <w:rPr>
          <w:rFonts w:ascii="黑体" w:hAnsi="黑体" w:eastAsia="黑体"/>
          <w:sz w:val="32"/>
        </w:rPr>
        <w:t>一、主要职能</w:t>
      </w:r>
    </w:p>
    <w:p w14:paraId="7A8E469E">
      <w:pPr>
        <w:spacing w:line="580" w:lineRule="exact"/>
        <w:ind w:firstLine="640"/>
        <w:jc w:val="both"/>
      </w:pPr>
      <w:r>
        <w:rPr>
          <w:rFonts w:ascii="仿宋_GB2312" w:hAnsi="仿宋_GB2312" w:eastAsia="仿宋_GB2312"/>
          <w:sz w:val="32"/>
        </w:rPr>
        <w:t>1.贯彻执行国家、自治区和地区的国民经济和社会发展方向、政策，研究提出全县国民经济和社会发展战略中长期规划和年度发展计划、统筹协调县域经济社会发展，研究分析国内外、县域内外经济形势，提出国民经济发展、价格总水平调控和优化重大经济结构的目标、政策，提出综合运用各种经济手段和政策的建议；组织研究、协调实施重点专项规划、衔接、平衡各乡镇及主要行业的规划；受民丰县人民政府委托向民丰县人民代表大会提交国民经济和社会发展计划报告。依法承担由县人民政府批准的行政许可审批事项。</w:t>
      </w:r>
    </w:p>
    <w:p w14:paraId="0DA5A767">
      <w:pPr>
        <w:spacing w:line="580" w:lineRule="exact"/>
        <w:ind w:firstLine="640"/>
        <w:jc w:val="both"/>
      </w:pPr>
      <w:r>
        <w:rPr>
          <w:rFonts w:ascii="仿宋_GB2312" w:hAnsi="仿宋_GB2312" w:eastAsia="仿宋_GB2312"/>
          <w:sz w:val="32"/>
        </w:rPr>
        <w:t>2.负责监测宏观经济和社会发展态势，承担预测预警和信息引导的责任；提出促进县城国民经济持续快速协调健康发展的政策建议；研究涉及国家经济安全及总体产业安全等重要问题并提出政策措施和建议；负责全县国民经济动员办公室的工作。</w:t>
      </w:r>
    </w:p>
    <w:p w14:paraId="13FB5360">
      <w:pPr>
        <w:spacing w:line="580" w:lineRule="exact"/>
        <w:ind w:firstLine="640"/>
        <w:jc w:val="both"/>
      </w:pPr>
      <w:r>
        <w:rPr>
          <w:rFonts w:ascii="仿宋_GB2312" w:hAnsi="仿宋_GB2312" w:eastAsia="仿宋_GB2312"/>
          <w:sz w:val="32"/>
        </w:rPr>
        <w:t>3.负责汇总分析全县财政、金融、产业、价格政策等方面的情况和执行效果，提出政策建议；拟定并组织实施价格政策；制定和调整政府管理的重要商品价格、服务价格和收费项目、标准；发布重大价格信息，监督检查价格政策的执行，依法查处价格违法行为、配合调查价格垄断行为。</w:t>
      </w:r>
    </w:p>
    <w:p w14:paraId="14AFED0C">
      <w:pPr>
        <w:spacing w:line="580" w:lineRule="exact"/>
        <w:ind w:firstLine="640"/>
        <w:jc w:val="both"/>
      </w:pPr>
      <w:r>
        <w:rPr>
          <w:rFonts w:ascii="仿宋_GB2312" w:hAnsi="仿宋_GB2312" w:eastAsia="仿宋_GB2312"/>
          <w:sz w:val="32"/>
        </w:rPr>
        <w:t>4.承担指导推进和综合协调经济体制改革的责任，研究县域经济体制改革和对外开放的重大问题，组织拟定县域综合性经济体制改革方案，协调有关专项经济体制改革方案，指导经济体制改革试点工作；组织制定区域经济协调发展规划和政策；推进对口支援战略和重大政策的实施，负责全县对口支援工作协调领导小组办公室的日常工作；负责对口支援项目管理服务、衔接、协调工作。</w:t>
      </w:r>
    </w:p>
    <w:p w14:paraId="07BC41A9">
      <w:pPr>
        <w:spacing w:line="580" w:lineRule="exact"/>
        <w:ind w:firstLine="640"/>
        <w:jc w:val="both"/>
      </w:pPr>
      <w:r>
        <w:rPr>
          <w:rFonts w:ascii="仿宋_GB2312" w:hAnsi="仿宋_GB2312" w:eastAsia="仿宋_GB2312"/>
          <w:sz w:val="32"/>
        </w:rPr>
        <w:t>5.承担规划重大建设项目和生产力布局的责任，研究提出全县全社会固定资产投资总规模和投资结构的目标政策及措施，规划重大项目建设计划和前期项目计划；负责全县重大项目的管理和组织协调；引导社会资金用于固定资产投资的方向；按照管理权限，负责审核上报、审批、核准、备案固定资产投资项目，审查、审批项目初步设计；组织实施全县固定资产投资项目节能评估审查工作；指导和协调全县招投标工作，会同有关部门监</w:t>
      </w:r>
      <w:r>
        <w:rPr>
          <w:rFonts w:hint="eastAsia" w:ascii="仿宋_GB2312" w:hAnsi="仿宋_GB2312" w:eastAsia="仿宋_GB2312"/>
          <w:sz w:val="32"/>
          <w:lang w:eastAsia="zh-CN"/>
        </w:rPr>
        <w:t>督全</w:t>
      </w:r>
      <w:r>
        <w:rPr>
          <w:rFonts w:ascii="仿宋_GB2312" w:hAnsi="仿宋_GB2312" w:eastAsia="仿宋_GB2312"/>
          <w:sz w:val="32"/>
        </w:rPr>
        <w:t>县招投标配套法规执行情况；负责重大项目招投标活动有关监督管理工作；负责县重大建设项目领导小组办公室的日常工作。</w:t>
      </w:r>
    </w:p>
    <w:p w14:paraId="2BBB593C">
      <w:pPr>
        <w:spacing w:line="580" w:lineRule="exact"/>
        <w:ind w:firstLine="640"/>
        <w:jc w:val="both"/>
      </w:pPr>
      <w:r>
        <w:rPr>
          <w:rFonts w:ascii="仿宋_GB2312" w:hAnsi="仿宋_GB2312" w:eastAsia="仿宋_GB2312"/>
          <w:sz w:val="32"/>
        </w:rPr>
        <w:t>6.推进产业结构战略性调整和升级。组织拟定全乡综合性产业政策，负责协调第</w:t>
      </w:r>
      <w:r>
        <w:rPr>
          <w:rFonts w:hint="eastAsia" w:ascii="仿宋_GB2312" w:hAnsi="仿宋_GB2312" w:eastAsia="仿宋_GB2312"/>
          <w:sz w:val="32"/>
          <w:lang w:eastAsia="zh-CN"/>
        </w:rPr>
        <w:t>一</w:t>
      </w:r>
      <w:bookmarkStart w:id="0" w:name="_GoBack"/>
      <w:r>
        <w:rPr>
          <w:rFonts w:hint="eastAsia" w:ascii="仿宋_GB2312" w:hAnsi="仿宋_GB2312" w:eastAsia="仿宋_GB2312"/>
          <w:sz w:val="32"/>
          <w:lang w:eastAsia="zh-CN"/>
        </w:rPr>
        <w:t>二三产业</w:t>
      </w:r>
      <w:bookmarkEnd w:id="0"/>
      <w:r>
        <w:rPr>
          <w:rFonts w:ascii="仿宋_GB2312" w:hAnsi="仿宋_GB2312" w:eastAsia="仿宋_GB2312"/>
          <w:sz w:val="32"/>
        </w:rPr>
        <w:t>发展的重大问题，并衔接平衡相关发展规划和政策，做好与国民经济和社会发展规划、计划的衔接平衡；提出全县国民经济重要产业的发展战略和规划；研究并协调农业和农村经济社会发的有关重大问题，拟定并实施以工代赈规划和计划；研究提出能源发展战略、规划；组织拟定高技术产业发展、产业技术进步的战略、规划和政策，推动高技术产业化发展；规划、</w:t>
      </w:r>
      <w:r>
        <w:rPr>
          <w:rFonts w:hint="eastAsia" w:ascii="仿宋_GB2312" w:hAnsi="仿宋_GB2312" w:eastAsia="仿宋_GB2312"/>
          <w:sz w:val="32"/>
          <w:lang w:eastAsia="zh-CN"/>
        </w:rPr>
        <w:t>指导</w:t>
      </w:r>
      <w:r>
        <w:rPr>
          <w:rFonts w:ascii="仿宋_GB2312" w:hAnsi="仿宋_GB2312" w:eastAsia="仿宋_GB2312"/>
          <w:sz w:val="32"/>
        </w:rPr>
        <w:t>服务业的建设与发展。</w:t>
      </w:r>
    </w:p>
    <w:p w14:paraId="088B52B4">
      <w:pPr>
        <w:spacing w:line="580" w:lineRule="exact"/>
        <w:ind w:firstLine="640"/>
        <w:jc w:val="both"/>
      </w:pPr>
      <w:r>
        <w:rPr>
          <w:rFonts w:ascii="仿宋_GB2312" w:hAnsi="仿宋_GB2312" w:eastAsia="仿宋_GB2312"/>
          <w:sz w:val="32"/>
        </w:rPr>
        <w:t>7.研究提出利用外资的发展战略、结构优化的目标和政策；会同有关部门协调和审查利用重大内外投资项目；会同有关部门做好招</w:t>
      </w:r>
      <w:r>
        <w:rPr>
          <w:rFonts w:hint="eastAsia" w:ascii="仿宋_GB2312" w:hAnsi="仿宋_GB2312" w:eastAsia="仿宋_GB2312"/>
          <w:sz w:val="32"/>
          <w:lang w:eastAsia="zh-CN"/>
        </w:rPr>
        <w:t>商引资</w:t>
      </w:r>
      <w:r>
        <w:rPr>
          <w:rFonts w:ascii="仿宋_GB2312" w:hAnsi="仿宋_GB2312" w:eastAsia="仿宋_GB2312"/>
          <w:sz w:val="32"/>
        </w:rPr>
        <w:t>工作。</w:t>
      </w:r>
    </w:p>
    <w:p w14:paraId="05F0EC4A">
      <w:pPr>
        <w:spacing w:line="580" w:lineRule="exact"/>
        <w:ind w:firstLine="640"/>
        <w:jc w:val="both"/>
      </w:pPr>
      <w:r>
        <w:rPr>
          <w:rFonts w:ascii="仿宋_GB2312" w:hAnsi="仿宋_GB2312" w:eastAsia="仿宋_GB2312"/>
          <w:sz w:val="32"/>
        </w:rPr>
        <w:t>8.承担重要商品总量平衡和宏观调控的责任，研究分析国内外市场供求状况，编制重要农产品、工业品和原材料进出口总量计划并监督执行。</w:t>
      </w:r>
    </w:p>
    <w:p w14:paraId="23F2DC98">
      <w:pPr>
        <w:spacing w:line="580" w:lineRule="exact"/>
        <w:ind w:firstLine="640"/>
        <w:jc w:val="both"/>
      </w:pPr>
      <w:r>
        <w:rPr>
          <w:rFonts w:ascii="仿宋_GB2312" w:hAnsi="仿宋_GB2312" w:eastAsia="仿宋_GB2312"/>
          <w:sz w:val="32"/>
        </w:rPr>
        <w:t>9.贯彻国家、自治区和地区相关粮食法律、法规，保障全县粮食安全，搞好粮食宏观调控，负责全县粮油供需平衡和粮油市场稳定。指导监督储备粮油的收储、管理、轮换和投放，制定县级粮食储备和物资储备计划。对粮食流通履行监督检查，承担全县军粮供应管理责任，加强对全县国有粮食企业经营管理的指导，按照有关规定监督粮食企业国有资产，承担粮食监督预警和应急责任，做好有关粮食流通统计和信息工作。权限内办理粮食收购资格许可。</w:t>
      </w:r>
    </w:p>
    <w:p w14:paraId="15E96620">
      <w:pPr>
        <w:spacing w:line="580" w:lineRule="exact"/>
        <w:ind w:firstLine="640"/>
        <w:jc w:val="both"/>
      </w:pPr>
      <w:r>
        <w:rPr>
          <w:rFonts w:ascii="仿宋_GB2312" w:hAnsi="仿宋_GB2312" w:eastAsia="仿宋_GB2312"/>
          <w:sz w:val="32"/>
        </w:rPr>
        <w:t>10.负责全县社会发展与国民经济发展的政策衔接，组织拟定社会发展战略、总体规划和年度计划，参与拟定人口、科学技术、教育、文化、卫生、民政等发展政策，协调全县社会事业发展的重大问题；研究提出促进就业、调整收入分配、完善社会保障与经济协调发展的政策。负责县深化医药卫生体制改革领导小组办公室的工作。</w:t>
      </w:r>
    </w:p>
    <w:p w14:paraId="63D064E1">
      <w:pPr>
        <w:spacing w:line="580" w:lineRule="exact"/>
        <w:ind w:firstLine="640"/>
        <w:jc w:val="both"/>
      </w:pPr>
      <w:r>
        <w:rPr>
          <w:rFonts w:ascii="仿宋_GB2312" w:hAnsi="仿宋_GB2312" w:eastAsia="仿宋_GB2312"/>
          <w:sz w:val="32"/>
        </w:rPr>
        <w:t>11.推进可持续发展战略，负责县域全社会节能减排综合协调工作，组织拟定发展循环经济、全社会能源资源节约和综合利用规划及政策措施并协调实施。会同有关部门研究提出县生态建设、环保产业和资源节约综合利用的重大问题，综合协调环保产业和清洁生产促进有关工作。</w:t>
      </w:r>
    </w:p>
    <w:p w14:paraId="1ABD924F">
      <w:pPr>
        <w:spacing w:line="580" w:lineRule="exact"/>
        <w:ind w:firstLine="640"/>
        <w:jc w:val="both"/>
      </w:pPr>
      <w:r>
        <w:rPr>
          <w:rFonts w:ascii="仿宋_GB2312" w:hAnsi="仿宋_GB2312" w:eastAsia="仿宋_GB2312"/>
          <w:sz w:val="32"/>
        </w:rPr>
        <w:t>12</w:t>
      </w:r>
      <w:r>
        <w:rPr>
          <w:rFonts w:hint="eastAsia" w:ascii="仿宋_GB2312" w:hAnsi="仿宋_GB2312" w:eastAsia="仿宋_GB2312"/>
          <w:sz w:val="32"/>
          <w:lang w:eastAsia="zh-CN"/>
        </w:rPr>
        <w:t>.</w:t>
      </w:r>
      <w:r>
        <w:rPr>
          <w:rFonts w:ascii="仿宋_GB2312" w:hAnsi="仿宋_GB2312" w:eastAsia="仿宋_GB2312"/>
          <w:sz w:val="32"/>
        </w:rPr>
        <w:t>贯彻执行国家、自治区和地区的价格政策，发挥宏观调控管理作用，负责权限内价格的制定和调整，定期和不定期对监审目录价格进行成本审核，贯彻《收费许可证》的许可规定，负责全县相关价格走势的检测预警，调解价格纠纷和矛盾，做好价格认定工作，为政府依法行政提供价格保障。</w:t>
      </w:r>
    </w:p>
    <w:p w14:paraId="543418BD">
      <w:pPr>
        <w:spacing w:line="580" w:lineRule="exact"/>
        <w:ind w:firstLine="640"/>
        <w:jc w:val="both"/>
      </w:pPr>
      <w:r>
        <w:rPr>
          <w:rFonts w:ascii="仿宋_GB2312" w:hAnsi="仿宋_GB2312" w:eastAsia="仿宋_GB2312"/>
          <w:sz w:val="32"/>
        </w:rPr>
        <w:t>13.承办县委、县人民政府及上级业务部门交办的其他事项。</w:t>
      </w:r>
    </w:p>
    <w:p w14:paraId="44BBC540">
      <w:pPr>
        <w:spacing w:line="640" w:lineRule="exact"/>
        <w:ind w:firstLine="640"/>
        <w:jc w:val="both"/>
        <w:outlineLvl w:val="2"/>
      </w:pPr>
      <w:r>
        <w:rPr>
          <w:rFonts w:ascii="黑体" w:hAnsi="黑体" w:eastAsia="黑体"/>
          <w:sz w:val="32"/>
        </w:rPr>
        <w:t>二、机构设置及人员情况</w:t>
      </w:r>
    </w:p>
    <w:p w14:paraId="3B6C968E">
      <w:pPr>
        <w:spacing w:line="580" w:lineRule="exact"/>
        <w:ind w:firstLine="640"/>
        <w:jc w:val="both"/>
      </w:pPr>
      <w:r>
        <w:rPr>
          <w:rFonts w:ascii="仿宋_GB2312" w:hAnsi="仿宋_GB2312" w:eastAsia="仿宋_GB2312"/>
          <w:sz w:val="32"/>
        </w:rPr>
        <w:t>民丰县发展和改革委员会2024年度，实有人数34人，其中：在职人员15人，增加2人；离休人员0人，增加0人；退休人员19人,增加2人。</w:t>
      </w:r>
    </w:p>
    <w:p w14:paraId="0833F11B">
      <w:pPr>
        <w:spacing w:line="580" w:lineRule="exact"/>
        <w:ind w:firstLine="640"/>
        <w:jc w:val="both"/>
      </w:pPr>
      <w:r>
        <w:rPr>
          <w:rFonts w:ascii="仿宋_GB2312" w:hAnsi="仿宋_GB2312" w:eastAsia="仿宋_GB2312"/>
          <w:sz w:val="32"/>
        </w:rPr>
        <w:t>民丰县发展和改革委员会无下属预算单位，下设6个科室，分别是：项目办公室、办公室、财务室、对口援助项目管理办公室、价格监督检查办公室、粮食安全办公室。</w:t>
      </w:r>
    </w:p>
    <w:p w14:paraId="57A2E6F3">
      <w:r>
        <w:br w:type="page"/>
      </w:r>
    </w:p>
    <w:p w14:paraId="2FA1B260">
      <w:pPr>
        <w:spacing w:line="240" w:lineRule="auto"/>
        <w:jc w:val="center"/>
        <w:outlineLvl w:val="1"/>
      </w:pPr>
      <w:r>
        <w:rPr>
          <w:rFonts w:ascii="黑体" w:hAnsi="黑体" w:eastAsia="黑体"/>
          <w:sz w:val="32"/>
        </w:rPr>
        <w:t>第二部分 部门决算情况说明</w:t>
      </w:r>
    </w:p>
    <w:p w14:paraId="120AA5E4">
      <w:pPr>
        <w:spacing w:line="640" w:lineRule="exact"/>
        <w:ind w:firstLine="640"/>
        <w:jc w:val="both"/>
        <w:outlineLvl w:val="2"/>
      </w:pPr>
      <w:r>
        <w:rPr>
          <w:rFonts w:ascii="黑体" w:hAnsi="黑体" w:eastAsia="黑体"/>
          <w:sz w:val="32"/>
        </w:rPr>
        <w:t>一、收入支出决算总体情况说明</w:t>
      </w:r>
    </w:p>
    <w:p w14:paraId="27E7EC7D">
      <w:pPr>
        <w:spacing w:line="580" w:lineRule="exact"/>
        <w:ind w:firstLine="640"/>
        <w:jc w:val="both"/>
      </w:pPr>
      <w:r>
        <w:rPr>
          <w:rFonts w:ascii="仿宋_GB2312" w:hAnsi="仿宋_GB2312" w:eastAsia="仿宋_GB2312"/>
          <w:b/>
          <w:sz w:val="32"/>
        </w:rPr>
        <w:t>2024年度收入总计1,047.94万元，</w:t>
      </w:r>
      <w:r>
        <w:rPr>
          <w:rFonts w:ascii="仿宋_GB2312" w:hAnsi="仿宋_GB2312" w:eastAsia="仿宋_GB2312"/>
          <w:b w:val="0"/>
          <w:sz w:val="32"/>
        </w:rPr>
        <w:t>其中：本年收入合计1,047.94万元，使用非财政拨款结余（含专用结余）0.00万元，年初结转和结余0.00万元。</w:t>
      </w:r>
    </w:p>
    <w:p w14:paraId="0BF4AC27">
      <w:pPr>
        <w:spacing w:line="580" w:lineRule="exact"/>
        <w:ind w:firstLine="640"/>
        <w:jc w:val="both"/>
      </w:pPr>
      <w:r>
        <w:rPr>
          <w:rFonts w:ascii="仿宋_GB2312" w:hAnsi="仿宋_GB2312" w:eastAsia="仿宋_GB2312"/>
          <w:b/>
          <w:sz w:val="32"/>
        </w:rPr>
        <w:t>2024年度支出总计1,047.94万元，</w:t>
      </w:r>
      <w:r>
        <w:rPr>
          <w:rFonts w:ascii="仿宋_GB2312" w:hAnsi="仿宋_GB2312" w:eastAsia="仿宋_GB2312"/>
          <w:b w:val="0"/>
          <w:sz w:val="32"/>
        </w:rPr>
        <w:t>其中：本年支出合计1,047.94万元，结余分配0.00万元，年末结转和结余0.00万元。</w:t>
      </w:r>
    </w:p>
    <w:p w14:paraId="0152845E">
      <w:pPr>
        <w:spacing w:line="580" w:lineRule="exact"/>
        <w:ind w:firstLine="640"/>
        <w:jc w:val="both"/>
      </w:pPr>
      <w:r>
        <w:rPr>
          <w:rFonts w:ascii="仿宋_GB2312" w:hAnsi="仿宋_GB2312" w:eastAsia="仿宋_GB2312"/>
          <w:b w:val="0"/>
          <w:sz w:val="32"/>
        </w:rPr>
        <w:t>收入支出总体与上年相比，减少656.99万元，下降38.53%，主要原因是：减少和田地区民丰县农村产业融合发展示范园维修费、减少新疆民丰县农村产业融合发展示范园建设项目（二期）；减少天津援疆资金拨入用于高质量发展等项目支出。</w:t>
      </w:r>
    </w:p>
    <w:p w14:paraId="7BE281BC">
      <w:pPr>
        <w:spacing w:line="640" w:lineRule="exact"/>
        <w:ind w:firstLine="640"/>
        <w:jc w:val="both"/>
        <w:outlineLvl w:val="2"/>
      </w:pPr>
      <w:r>
        <w:rPr>
          <w:rFonts w:ascii="黑体" w:hAnsi="黑体" w:eastAsia="黑体"/>
          <w:sz w:val="32"/>
        </w:rPr>
        <w:t>二、收入决算情况说明</w:t>
      </w:r>
    </w:p>
    <w:p w14:paraId="1D3105F5">
      <w:pPr>
        <w:spacing w:line="580" w:lineRule="exact"/>
        <w:ind w:firstLine="640"/>
        <w:jc w:val="both"/>
      </w:pPr>
      <w:r>
        <w:rPr>
          <w:rFonts w:ascii="仿宋_GB2312" w:hAnsi="仿宋_GB2312" w:eastAsia="仿宋_GB2312"/>
          <w:b/>
          <w:sz w:val="32"/>
        </w:rPr>
        <w:t>本年收入1,047.94万元，</w:t>
      </w:r>
      <w:r>
        <w:rPr>
          <w:rFonts w:ascii="仿宋_GB2312" w:hAnsi="仿宋_GB2312" w:eastAsia="仿宋_GB2312"/>
          <w:b w:val="0"/>
          <w:sz w:val="32"/>
        </w:rPr>
        <w:t>其中：财政拨款收入292.01万元，占27.87%；上级补助收入0.00万元，占0.00%；事业收入0.00万元，占0.00%；经营收入0.00万元，占0.00%；附属单位上缴收入0.00万元，占0.00%；其他收入755.92万元，占72.13%。</w:t>
      </w:r>
    </w:p>
    <w:p w14:paraId="01A15D0F">
      <w:pPr>
        <w:spacing w:line="640" w:lineRule="exact"/>
        <w:ind w:firstLine="640"/>
        <w:jc w:val="both"/>
        <w:outlineLvl w:val="2"/>
      </w:pPr>
      <w:r>
        <w:rPr>
          <w:rFonts w:ascii="黑体" w:hAnsi="黑体" w:eastAsia="黑体"/>
          <w:sz w:val="32"/>
        </w:rPr>
        <w:t>三、支出决算情况说明</w:t>
      </w:r>
    </w:p>
    <w:p w14:paraId="5FC04BE4">
      <w:pPr>
        <w:spacing w:line="580" w:lineRule="exact"/>
        <w:ind w:firstLine="640"/>
        <w:jc w:val="both"/>
      </w:pPr>
      <w:r>
        <w:rPr>
          <w:rFonts w:ascii="仿宋_GB2312" w:hAnsi="仿宋_GB2312" w:eastAsia="仿宋_GB2312"/>
          <w:b/>
          <w:sz w:val="32"/>
        </w:rPr>
        <w:t>本年支出1,047.94万元，</w:t>
      </w:r>
      <w:r>
        <w:rPr>
          <w:rFonts w:ascii="仿宋_GB2312" w:hAnsi="仿宋_GB2312" w:eastAsia="仿宋_GB2312"/>
          <w:b w:val="0"/>
          <w:sz w:val="32"/>
        </w:rPr>
        <w:t>其中：基本支出821.91万元，占78.43%；项目支出226.02万元，占21.57%；上缴上级支出0.00万元，占0.00%；经营支出0.00万元，占0.00%；对附属单位补助支出0.00万元，占0.00%。</w:t>
      </w:r>
    </w:p>
    <w:p w14:paraId="2A7B5DD7">
      <w:pPr>
        <w:spacing w:line="640" w:lineRule="exact"/>
        <w:ind w:firstLine="640"/>
        <w:jc w:val="both"/>
        <w:outlineLvl w:val="2"/>
      </w:pPr>
      <w:r>
        <w:rPr>
          <w:rFonts w:ascii="黑体" w:hAnsi="黑体" w:eastAsia="黑体"/>
          <w:sz w:val="32"/>
        </w:rPr>
        <w:t>四、财政拨款收入支出决算总体情况说明</w:t>
      </w:r>
    </w:p>
    <w:p w14:paraId="140E33EF">
      <w:pPr>
        <w:spacing w:line="580" w:lineRule="exact"/>
        <w:ind w:firstLine="640"/>
        <w:jc w:val="both"/>
      </w:pPr>
      <w:r>
        <w:rPr>
          <w:rFonts w:ascii="仿宋_GB2312" w:hAnsi="仿宋_GB2312" w:eastAsia="仿宋_GB2312"/>
          <w:b/>
          <w:sz w:val="32"/>
        </w:rPr>
        <w:t>2024年度财政拨款收入总计292.01万元，</w:t>
      </w:r>
      <w:r>
        <w:rPr>
          <w:rFonts w:ascii="仿宋_GB2312" w:hAnsi="仿宋_GB2312" w:eastAsia="仿宋_GB2312"/>
          <w:b w:val="0"/>
          <w:sz w:val="32"/>
        </w:rPr>
        <w:t>其中：年初财政拨款结转和结余0.00万元，本年财政拨款收入292.01万元。</w:t>
      </w:r>
      <w:r>
        <w:rPr>
          <w:rFonts w:ascii="仿宋_GB2312" w:hAnsi="仿宋_GB2312" w:eastAsia="仿宋_GB2312"/>
          <w:b/>
          <w:sz w:val="32"/>
        </w:rPr>
        <w:t>财政拨款支出总计292.01万元，</w:t>
      </w:r>
      <w:r>
        <w:rPr>
          <w:rFonts w:ascii="仿宋_GB2312" w:hAnsi="仿宋_GB2312" w:eastAsia="仿宋_GB2312"/>
          <w:b w:val="0"/>
          <w:sz w:val="32"/>
        </w:rPr>
        <w:t>其中：年末财政拨款结转和结余0.00万元，本年财政拨款支出292.01万元。</w:t>
      </w:r>
    </w:p>
    <w:p w14:paraId="00E31A5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减少610.98万元，下降67.66%，主要原因是：减少和田地区民丰县农村产业融合发展示范园维修费、减少新疆民丰县农村产业融合发展示范园建设项目（二期）。</w:t>
      </w:r>
      <w:r>
        <w:rPr>
          <w:rFonts w:ascii="仿宋_GB2312" w:hAnsi="仿宋_GB2312" w:eastAsia="仿宋_GB2312"/>
          <w:b/>
          <w:sz w:val="32"/>
        </w:rPr>
        <w:t>与年初预算相比，</w:t>
      </w:r>
      <w:r>
        <w:rPr>
          <w:rFonts w:ascii="仿宋_GB2312" w:hAnsi="仿宋_GB2312" w:eastAsia="仿宋_GB2312"/>
          <w:b w:val="0"/>
          <w:sz w:val="32"/>
        </w:rPr>
        <w:t>年初预算数324.12万元，决算数292.01万元，预决算差异率-9.91%，主要原因是：本年为民办实事经费未执行完，年中调减经费。</w:t>
      </w:r>
    </w:p>
    <w:p w14:paraId="31422AA3">
      <w:pPr>
        <w:spacing w:line="640" w:lineRule="exact"/>
        <w:ind w:firstLine="640"/>
        <w:jc w:val="both"/>
        <w:outlineLvl w:val="2"/>
      </w:pPr>
      <w:r>
        <w:rPr>
          <w:rFonts w:ascii="黑体" w:hAnsi="黑体" w:eastAsia="黑体"/>
          <w:sz w:val="32"/>
        </w:rPr>
        <w:t>五、一般公共预算财政拨款支出决算情况说明</w:t>
      </w:r>
    </w:p>
    <w:p w14:paraId="212F27A7">
      <w:pPr>
        <w:spacing w:line="640" w:lineRule="exact"/>
        <w:ind w:firstLine="640"/>
        <w:jc w:val="both"/>
        <w:outlineLvl w:val="3"/>
      </w:pPr>
      <w:r>
        <w:rPr>
          <w:rFonts w:ascii="楷体_GB2312" w:hAnsi="楷体_GB2312" w:eastAsia="楷体_GB2312"/>
          <w:b/>
          <w:sz w:val="32"/>
        </w:rPr>
        <w:t>（一）一般公共预算财政拨款支出决算总体情况</w:t>
      </w:r>
    </w:p>
    <w:p w14:paraId="7DFD7DA4">
      <w:pPr>
        <w:spacing w:line="580" w:lineRule="exact"/>
        <w:ind w:firstLine="640"/>
        <w:jc w:val="both"/>
      </w:pPr>
      <w:r>
        <w:rPr>
          <w:rFonts w:ascii="仿宋_GB2312" w:hAnsi="仿宋_GB2312" w:eastAsia="仿宋_GB2312"/>
          <w:b/>
          <w:sz w:val="32"/>
        </w:rPr>
        <w:t>2024年度一般公共预算财政拨款支出292.01万元，</w:t>
      </w:r>
      <w:r>
        <w:rPr>
          <w:rFonts w:ascii="仿宋_GB2312" w:hAnsi="仿宋_GB2312" w:eastAsia="仿宋_GB2312"/>
          <w:b w:val="0"/>
          <w:sz w:val="32"/>
        </w:rPr>
        <w:t>占本年支出合计的27.87%。</w:t>
      </w:r>
      <w:r>
        <w:rPr>
          <w:rFonts w:ascii="仿宋_GB2312" w:hAnsi="仿宋_GB2312" w:eastAsia="仿宋_GB2312"/>
          <w:b/>
          <w:sz w:val="32"/>
        </w:rPr>
        <w:t>与上年相比，</w:t>
      </w:r>
      <w:r>
        <w:rPr>
          <w:rFonts w:ascii="仿宋_GB2312" w:hAnsi="仿宋_GB2312" w:eastAsia="仿宋_GB2312"/>
          <w:b w:val="0"/>
          <w:sz w:val="32"/>
        </w:rPr>
        <w:t>减少610.98万元，下降67.66%，主要原因是：减少和田地区民丰县农村产业融合发展示范园维修费、减少新疆民丰县农村产业融合发展示范园建设项目（二期）。</w:t>
      </w:r>
      <w:r>
        <w:rPr>
          <w:rFonts w:ascii="仿宋_GB2312" w:hAnsi="仿宋_GB2312" w:eastAsia="仿宋_GB2312"/>
          <w:b/>
          <w:sz w:val="32"/>
        </w:rPr>
        <w:t>与年初预算相比,</w:t>
      </w:r>
      <w:r>
        <w:rPr>
          <w:rFonts w:ascii="仿宋_GB2312" w:hAnsi="仿宋_GB2312" w:eastAsia="仿宋_GB2312"/>
          <w:b w:val="0"/>
          <w:sz w:val="32"/>
        </w:rPr>
        <w:t>年初预算数324.12万元，决算数292.01万元，预决算差异率-9.91%，主要原因是：本年为民办实事经费未执行完，年中调减经费。</w:t>
      </w:r>
    </w:p>
    <w:p w14:paraId="1E9783C9">
      <w:pPr>
        <w:spacing w:line="640" w:lineRule="exact"/>
        <w:ind w:firstLine="640"/>
        <w:jc w:val="both"/>
        <w:outlineLvl w:val="3"/>
      </w:pPr>
      <w:r>
        <w:rPr>
          <w:rFonts w:ascii="楷体_GB2312" w:hAnsi="楷体_GB2312" w:eastAsia="楷体_GB2312"/>
          <w:b/>
          <w:sz w:val="32"/>
        </w:rPr>
        <w:t>（二）一般公共预算财政拨款支出决算结构情况</w:t>
      </w:r>
    </w:p>
    <w:p w14:paraId="0C9F4313">
      <w:pPr>
        <w:spacing w:line="580" w:lineRule="exact"/>
        <w:ind w:firstLine="640"/>
        <w:jc w:val="both"/>
      </w:pPr>
      <w:r>
        <w:rPr>
          <w:rFonts w:ascii="仿宋_GB2312" w:hAnsi="仿宋_GB2312" w:eastAsia="仿宋_GB2312"/>
          <w:b w:val="0"/>
          <w:sz w:val="32"/>
        </w:rPr>
        <w:t>1.一般公共服务支出(类)190.40万元,占65.20%。</w:t>
      </w:r>
    </w:p>
    <w:p w14:paraId="30016E90">
      <w:pPr>
        <w:spacing w:line="580" w:lineRule="exact"/>
        <w:ind w:firstLine="640"/>
        <w:jc w:val="both"/>
      </w:pPr>
      <w:r>
        <w:rPr>
          <w:rFonts w:ascii="仿宋_GB2312" w:hAnsi="仿宋_GB2312" w:eastAsia="仿宋_GB2312"/>
          <w:b w:val="0"/>
          <w:sz w:val="32"/>
        </w:rPr>
        <w:t>2.社会保障和就业支出(类)70.54万元,占24.16%。</w:t>
      </w:r>
    </w:p>
    <w:p w14:paraId="7136A3E2">
      <w:pPr>
        <w:spacing w:line="580" w:lineRule="exact"/>
        <w:ind w:firstLine="640"/>
        <w:jc w:val="both"/>
      </w:pPr>
      <w:r>
        <w:rPr>
          <w:rFonts w:ascii="仿宋_GB2312" w:hAnsi="仿宋_GB2312" w:eastAsia="仿宋_GB2312"/>
          <w:b w:val="0"/>
          <w:sz w:val="32"/>
        </w:rPr>
        <w:t>3.卫生健康支出(类)13.71万元,占4.70%。</w:t>
      </w:r>
    </w:p>
    <w:p w14:paraId="1DA99E4E">
      <w:pPr>
        <w:spacing w:line="580" w:lineRule="exact"/>
        <w:ind w:firstLine="640"/>
        <w:jc w:val="both"/>
      </w:pPr>
      <w:r>
        <w:rPr>
          <w:rFonts w:ascii="仿宋_GB2312" w:hAnsi="仿宋_GB2312" w:eastAsia="仿宋_GB2312"/>
          <w:b w:val="0"/>
          <w:sz w:val="32"/>
        </w:rPr>
        <w:t>4.住房保障支出(类)17.36万元,占5.95%。</w:t>
      </w:r>
    </w:p>
    <w:p w14:paraId="1384200D">
      <w:pPr>
        <w:spacing w:line="640" w:lineRule="exact"/>
        <w:ind w:firstLine="640"/>
        <w:jc w:val="both"/>
        <w:outlineLvl w:val="3"/>
      </w:pPr>
      <w:r>
        <w:rPr>
          <w:rFonts w:ascii="楷体_GB2312" w:hAnsi="楷体_GB2312" w:eastAsia="楷体_GB2312"/>
          <w:b/>
          <w:sz w:val="32"/>
        </w:rPr>
        <w:t>（三）一般公共预算财政拨款支出决算具体情况</w:t>
      </w:r>
    </w:p>
    <w:p w14:paraId="7F71AF19">
      <w:pPr>
        <w:spacing w:line="580" w:lineRule="exact"/>
        <w:ind w:firstLine="640"/>
        <w:jc w:val="both"/>
      </w:pPr>
      <w:r>
        <w:rPr>
          <w:rFonts w:ascii="仿宋_GB2312" w:hAnsi="仿宋_GB2312" w:eastAsia="仿宋_GB2312"/>
          <w:b w:val="0"/>
          <w:sz w:val="32"/>
        </w:rPr>
        <w:t>1.一般公共服务支出(类)发展与改革事务(款)行政运行(项):支出决算数为190.10万元，比上年决算减少618.07万元，下降76.48%,主要原因是：减少和田地区民丰县农村产业融合发展示范园维修护费。</w:t>
      </w:r>
    </w:p>
    <w:p w14:paraId="3D3CE9E6">
      <w:pPr>
        <w:spacing w:line="580" w:lineRule="exact"/>
        <w:ind w:firstLine="640"/>
        <w:jc w:val="both"/>
      </w:pPr>
      <w:r>
        <w:rPr>
          <w:rFonts w:ascii="仿宋_GB2312" w:hAnsi="仿宋_GB2312" w:eastAsia="仿宋_GB2312"/>
          <w:b w:val="0"/>
          <w:sz w:val="32"/>
        </w:rPr>
        <w:t>2.一般公共服务支出(类)发展与改革事务(款)其他发展与改革事务支出(项):支出决算数为0.30万元，比上年决算增加0.30万元，增长100.00%,主要原因是：2024年新增农产品价格监测费资金。</w:t>
      </w:r>
    </w:p>
    <w:p w14:paraId="1B5A7C01">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18.02万元，比上年决算增加18.02万元，增长100.00%,主要原因是：本年功能科目调整，行政单位离退休上年度在主科目列支，本年单独列支，导致经费较上年增加。</w:t>
      </w:r>
    </w:p>
    <w:p w14:paraId="2A944FB1">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4.社会保障和就业支出(类)行政事业单位养老支出(款)机关事业单位基本养老保险缴费支出(项):支出决算数为22.92万元，比上年决算减少2.78万元，下降10.82%,主要原因是：本年在职人员转退休，养老保险缴费减少。</w:t>
      </w:r>
    </w:p>
    <w:p w14:paraId="00D90EDC">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5.社会保障和就业支出(类)行政事业单位养老支出(款)机关事业单位职业年金缴费支出(项):支出决算数为29.60万元，比上年决算增加6.39万元，增长27.53%,主要原因是：本年在职人员转退休，职业年金做实缴费增加。</w:t>
      </w:r>
    </w:p>
    <w:p w14:paraId="3ED6CE90">
      <w:pPr>
        <w:spacing w:line="580" w:lineRule="exact"/>
        <w:ind w:firstLine="640"/>
        <w:jc w:val="both"/>
      </w:pPr>
      <w:r>
        <w:rPr>
          <w:rFonts w:ascii="仿宋_GB2312" w:hAnsi="仿宋_GB2312" w:eastAsia="仿宋_GB2312"/>
          <w:b w:val="0"/>
          <w:sz w:val="32"/>
        </w:rPr>
        <w:t>6.卫生健康支出(类)行政事业单位医疗(款)行政单位医疗(项):支出决算数为9.31万元，比上年决算增加9.31万元，增长100.00%,主要原因是：本年功能科目调整，行政单位医疗上年度在主科目列支，本年单独列支，导致经费较上年增加。</w:t>
      </w:r>
    </w:p>
    <w:p w14:paraId="4FD56CB1">
      <w:pPr>
        <w:spacing w:line="580" w:lineRule="exact"/>
        <w:ind w:firstLine="640"/>
        <w:jc w:val="both"/>
      </w:pPr>
      <w:r>
        <w:rPr>
          <w:rFonts w:ascii="仿宋_GB2312" w:hAnsi="仿宋_GB2312" w:eastAsia="仿宋_GB2312"/>
          <w:b w:val="0"/>
          <w:sz w:val="32"/>
        </w:rPr>
        <w:t>7.卫生健康支出(类)行政事业单位医疗(款)公务员医疗补助(项):支出决算数为3.73万元，比上年决算增加3.73万元，增长100.00%,主要原因是：本年功能科目调整，公务员医疗补助上年度在主科目列支，本年单独列支，导致经费较上年增加。</w:t>
      </w:r>
    </w:p>
    <w:p w14:paraId="7662FB5A">
      <w:pPr>
        <w:spacing w:line="580" w:lineRule="exact"/>
        <w:ind w:firstLine="640"/>
        <w:jc w:val="both"/>
      </w:pPr>
      <w:r>
        <w:rPr>
          <w:rFonts w:ascii="仿宋_GB2312" w:hAnsi="仿宋_GB2312" w:eastAsia="仿宋_GB2312"/>
          <w:b w:val="0"/>
          <w:sz w:val="32"/>
        </w:rPr>
        <w:t>8.卫生健康支出(类)行政事业单位医疗(款)其他行政事业单位医疗支出(项):支出决算数为0.67万元，比上年决算增加0.67万元，增长100.00%,主要原因是：本年功能科目调整，其他行政事业单位医疗支出上年度在主科目列支，本年单独列支，导致经费较上年增加。</w:t>
      </w:r>
    </w:p>
    <w:p w14:paraId="27068244">
      <w:pPr>
        <w:spacing w:line="580" w:lineRule="exact"/>
        <w:ind w:firstLine="640"/>
        <w:jc w:val="both"/>
      </w:pPr>
      <w:r>
        <w:rPr>
          <w:rFonts w:ascii="仿宋_GB2312" w:hAnsi="仿宋_GB2312" w:eastAsia="仿宋_GB2312"/>
          <w:b w:val="0"/>
          <w:sz w:val="32"/>
        </w:rPr>
        <w:t>9.农林水支出(类)农业农村(款)农业生产发展(项):支出决算数为0.00万元，比上年决算减少39.99万元，下降100.00%,主要原因是：减少新疆民丰县农村产业融合发展示范园建设项目（二期）。</w:t>
      </w:r>
    </w:p>
    <w:p w14:paraId="7C0AC40E">
      <w:pPr>
        <w:spacing w:line="580" w:lineRule="exact"/>
        <w:ind w:firstLine="640"/>
        <w:jc w:val="both"/>
      </w:pPr>
      <w:r>
        <w:rPr>
          <w:rFonts w:ascii="仿宋_GB2312" w:hAnsi="仿宋_GB2312" w:eastAsia="仿宋_GB2312"/>
          <w:b w:val="0"/>
          <w:sz w:val="32"/>
        </w:rPr>
        <w:t>10.农林水支出(类)农村综合改革(款)对村级公益事业建设的补助(项):支出决算数为0.00万元，比上年决算减少5.92万元，下降100.00%,主要原因是：减少为民办实事经费。</w:t>
      </w:r>
    </w:p>
    <w:p w14:paraId="00FAC5A8">
      <w:pPr>
        <w:spacing w:line="580" w:lineRule="exact"/>
        <w:ind w:firstLine="640"/>
        <w:jc w:val="both"/>
      </w:pPr>
      <w:r>
        <w:rPr>
          <w:rFonts w:ascii="仿宋_GB2312" w:hAnsi="仿宋_GB2312" w:eastAsia="仿宋_GB2312"/>
          <w:b w:val="0"/>
          <w:sz w:val="32"/>
        </w:rPr>
        <w:t>11.住房保障支出(类)住房改革支出(款)住房公积金(项):支出决算数为17.36万元，比上年决算增加17.36万元，增长100.00%,主要原因是：本年功能科目调整，住房公积金上年度在主科目列支，本年单独列支，导致经费较上年增加。</w:t>
      </w:r>
    </w:p>
    <w:p w14:paraId="551B0415">
      <w:pPr>
        <w:spacing w:line="640" w:lineRule="exact"/>
        <w:ind w:firstLine="640"/>
        <w:jc w:val="both"/>
        <w:outlineLvl w:val="2"/>
      </w:pPr>
      <w:r>
        <w:rPr>
          <w:rFonts w:ascii="黑体" w:hAnsi="黑体" w:eastAsia="黑体"/>
          <w:sz w:val="32"/>
        </w:rPr>
        <w:t>六、一般公共预算财政拨款基本支出决算情况说明</w:t>
      </w:r>
    </w:p>
    <w:p w14:paraId="51D78537">
      <w:pPr>
        <w:spacing w:line="580" w:lineRule="exact"/>
        <w:ind w:firstLine="640"/>
        <w:jc w:val="both"/>
      </w:pPr>
      <w:r>
        <w:rPr>
          <w:rFonts w:ascii="仿宋_GB2312" w:hAnsi="仿宋_GB2312" w:eastAsia="仿宋_GB2312"/>
          <w:b w:val="0"/>
          <w:sz w:val="32"/>
        </w:rPr>
        <w:t>2024年度一般公共预算财政拨款基本支出291.71万元，其中：</w:t>
      </w:r>
      <w:r>
        <w:rPr>
          <w:rFonts w:ascii="仿宋_GB2312" w:hAnsi="仿宋_GB2312" w:eastAsia="仿宋_GB2312"/>
          <w:b/>
          <w:sz w:val="32"/>
        </w:rPr>
        <w:t>人员经费286.82万元，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w:t>
      </w:r>
    </w:p>
    <w:p w14:paraId="098916F7">
      <w:pPr>
        <w:spacing w:line="580" w:lineRule="exact"/>
        <w:ind w:firstLine="640"/>
        <w:jc w:val="both"/>
      </w:pPr>
      <w:r>
        <w:rPr>
          <w:rFonts w:ascii="仿宋_GB2312" w:hAnsi="仿宋_GB2312" w:eastAsia="仿宋_GB2312"/>
          <w:b/>
          <w:sz w:val="32"/>
        </w:rPr>
        <w:t>公用经费4.90万元，</w:t>
      </w:r>
      <w:r>
        <w:rPr>
          <w:rFonts w:ascii="仿宋_GB2312" w:hAnsi="仿宋_GB2312" w:eastAsia="仿宋_GB2312"/>
          <w:b w:val="0"/>
          <w:sz w:val="32"/>
        </w:rPr>
        <w:t>包括：办公费、邮电费、差旅费、公务用车运行维护费。</w:t>
      </w:r>
    </w:p>
    <w:p w14:paraId="36831EDC">
      <w:pPr>
        <w:spacing w:line="640" w:lineRule="exact"/>
        <w:ind w:firstLine="640"/>
        <w:jc w:val="both"/>
        <w:outlineLvl w:val="2"/>
      </w:pPr>
      <w:r>
        <w:rPr>
          <w:rFonts w:ascii="黑体" w:hAnsi="黑体" w:eastAsia="黑体"/>
          <w:sz w:val="32"/>
        </w:rPr>
        <w:t>七、政府性基金预算财政拨款收入支出决算情况说明</w:t>
      </w:r>
    </w:p>
    <w:p w14:paraId="5EE4386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B05F386">
      <w:pPr>
        <w:spacing w:line="640" w:lineRule="exact"/>
        <w:ind w:firstLine="640"/>
        <w:jc w:val="both"/>
        <w:outlineLvl w:val="2"/>
      </w:pPr>
      <w:r>
        <w:rPr>
          <w:rFonts w:ascii="黑体" w:hAnsi="黑体" w:eastAsia="黑体"/>
          <w:sz w:val="32"/>
        </w:rPr>
        <w:t>八、国有资本经营预算财政拨款收入支出决算情况说明</w:t>
      </w:r>
    </w:p>
    <w:p w14:paraId="6707157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0484E04">
      <w:pPr>
        <w:spacing w:line="640" w:lineRule="exact"/>
        <w:ind w:firstLine="640"/>
        <w:jc w:val="both"/>
        <w:outlineLvl w:val="2"/>
      </w:pPr>
      <w:r>
        <w:rPr>
          <w:rFonts w:ascii="黑体" w:hAnsi="黑体" w:eastAsia="黑体"/>
          <w:sz w:val="32"/>
        </w:rPr>
        <w:t>九、财政拨款“三公”经费支出决算情况说明</w:t>
      </w:r>
    </w:p>
    <w:p w14:paraId="6A9E9CB7">
      <w:pPr>
        <w:spacing w:line="580" w:lineRule="exact"/>
        <w:ind w:firstLine="640"/>
        <w:jc w:val="both"/>
      </w:pPr>
      <w:r>
        <w:rPr>
          <w:rFonts w:ascii="仿宋_GB2312" w:hAnsi="仿宋_GB2312" w:eastAsia="仿宋_GB2312"/>
          <w:b/>
          <w:sz w:val="32"/>
        </w:rPr>
        <w:t>2024年度财政拨款“三公”经费支出1.50万元，</w:t>
      </w:r>
      <w:r>
        <w:rPr>
          <w:rFonts w:ascii="仿宋_GB2312" w:hAnsi="仿宋_GB2312" w:eastAsia="仿宋_GB2312"/>
          <w:b w:val="0"/>
          <w:sz w:val="32"/>
        </w:rPr>
        <w:t>比上年增加1.50万元，增长100.00%，主要原因是：本年将车辆纳入公务用车管理，增加车辆运行经费。其中：因公出国（境）费支出0.00万元，占0.00%，比上年增加0.00万元，增长0.00%，主要原因是：2023年与2024年均未安排因公出国（境）费支出。公务用车购置及运行维护费支出1.50万元，占100.00%，比上年增加1.50万元，增长100.00%，主要原因是：本年将车辆纳入公务用车管理，增加车辆运行经费。公务接待费支出0.00万元，占0.00%，比上年增加0.00万元，增长0.00%，主要原因是：2023年与2024年均未安排公务接待费支出。</w:t>
      </w:r>
    </w:p>
    <w:p w14:paraId="18F3D763">
      <w:pPr>
        <w:spacing w:line="580" w:lineRule="exact"/>
        <w:ind w:firstLine="640"/>
        <w:jc w:val="both"/>
      </w:pPr>
      <w:r>
        <w:rPr>
          <w:rFonts w:ascii="仿宋_GB2312" w:hAnsi="仿宋_GB2312" w:eastAsia="仿宋_GB2312"/>
          <w:b/>
          <w:sz w:val="32"/>
        </w:rPr>
        <w:t>具体情况如下：</w:t>
      </w:r>
    </w:p>
    <w:p w14:paraId="00EB900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FD3870E">
      <w:pPr>
        <w:spacing w:line="580" w:lineRule="exact"/>
        <w:ind w:firstLine="640"/>
        <w:jc w:val="both"/>
      </w:pPr>
      <w:r>
        <w:rPr>
          <w:rFonts w:ascii="仿宋_GB2312" w:hAnsi="仿宋_GB2312" w:eastAsia="仿宋_GB2312"/>
          <w:b w:val="0"/>
          <w:sz w:val="32"/>
        </w:rPr>
        <w:t>公务用车购置及运行维护费1.50万元，其中：公务用车购置费0.00万元，公务用车运行维护费1.50万元。公务用车运行维护费开支内容包括车辆加油费、维修费、保险费、审车费。公务用车购置数0辆，公务用车保有量1辆。国有资产占用情况中固定资产车辆2辆，与公务用车保有量差异原因是：差异车辆为一般业务用车，预算未安排公务用车运行维护费。</w:t>
      </w:r>
    </w:p>
    <w:p w14:paraId="0E2B75C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79ABD1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万元，决算数1.50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万元，决算数1.50万元，预决算差异率0.00%，主要原因是：严格按照预算执行，预决算无差异。公务接待费全年预算数0.00万元，决算数0.00万元，预决算差异率0.00%，主要原因是：本单位无公务接待费。</w:t>
      </w:r>
    </w:p>
    <w:p w14:paraId="45845BC8">
      <w:pPr>
        <w:spacing w:line="640" w:lineRule="exact"/>
        <w:ind w:firstLine="640"/>
        <w:jc w:val="both"/>
        <w:outlineLvl w:val="2"/>
      </w:pPr>
      <w:r>
        <w:rPr>
          <w:rFonts w:ascii="黑体" w:hAnsi="黑体" w:eastAsia="黑体"/>
          <w:sz w:val="32"/>
        </w:rPr>
        <w:t>十、其他重要事项的情况说明</w:t>
      </w:r>
    </w:p>
    <w:p w14:paraId="61C34102">
      <w:pPr>
        <w:spacing w:line="640" w:lineRule="exact"/>
        <w:ind w:firstLine="640"/>
        <w:jc w:val="both"/>
        <w:outlineLvl w:val="3"/>
      </w:pPr>
      <w:r>
        <w:rPr>
          <w:rFonts w:ascii="楷体_GB2312" w:hAnsi="楷体_GB2312" w:eastAsia="楷体_GB2312"/>
          <w:b/>
          <w:sz w:val="32"/>
        </w:rPr>
        <w:t>（一）机关运行经费及公用经费支出情况</w:t>
      </w:r>
    </w:p>
    <w:p w14:paraId="7B339FC4">
      <w:pPr>
        <w:spacing w:line="580" w:lineRule="exact"/>
        <w:ind w:firstLine="640"/>
        <w:jc w:val="both"/>
      </w:pPr>
      <w:r>
        <w:rPr>
          <w:rFonts w:ascii="仿宋_GB2312" w:hAnsi="仿宋_GB2312" w:eastAsia="仿宋_GB2312"/>
          <w:b w:val="0"/>
          <w:sz w:val="32"/>
        </w:rPr>
        <w:t>2024年度民丰县发展和改革委员会（行政单位和参照公务员法管理事业单位）机关运行经费支出4.90万元，比上年减少512.57万元，下降99.05%，主要原因是：减少和田地区民丰县农村产业融合发展示范园维修护费。</w:t>
      </w:r>
    </w:p>
    <w:p w14:paraId="6C1DEB55">
      <w:pPr>
        <w:spacing w:line="640" w:lineRule="exact"/>
        <w:ind w:firstLine="640"/>
        <w:jc w:val="both"/>
        <w:outlineLvl w:val="3"/>
      </w:pPr>
      <w:r>
        <w:rPr>
          <w:rFonts w:ascii="楷体_GB2312" w:hAnsi="楷体_GB2312" w:eastAsia="楷体_GB2312"/>
          <w:b/>
          <w:sz w:val="32"/>
        </w:rPr>
        <w:t>（二）政府采购情况</w:t>
      </w:r>
    </w:p>
    <w:p w14:paraId="0CFBED8B">
      <w:pPr>
        <w:spacing w:line="580" w:lineRule="exact"/>
        <w:ind w:firstLine="640"/>
        <w:jc w:val="both"/>
      </w:pPr>
      <w:r>
        <w:rPr>
          <w:rFonts w:ascii="仿宋_GB2312" w:hAnsi="仿宋_GB2312" w:eastAsia="仿宋_GB2312"/>
          <w:b w:val="0"/>
          <w:sz w:val="32"/>
        </w:rPr>
        <w:t>2024年度政府采购支出总额982.72万元，其中：政府采购货物支出1.41万元、政府采购工程支出0.00万元、政府采购服务支出981.31万元。</w:t>
      </w:r>
    </w:p>
    <w:p w14:paraId="608AC8E0">
      <w:pPr>
        <w:spacing w:line="580" w:lineRule="exact"/>
        <w:ind w:firstLine="640"/>
        <w:jc w:val="both"/>
      </w:pPr>
      <w:r>
        <w:rPr>
          <w:rFonts w:ascii="仿宋_GB2312" w:hAnsi="仿宋_GB2312" w:eastAsia="仿宋_GB2312"/>
          <w:b w:val="0"/>
          <w:sz w:val="32"/>
        </w:rPr>
        <w:t>授予中小企业合同金额982.72万元，占政府采购支出总额的100.00%，其中：授予小微企业合同金额982.72万元，占政府采购支出总额的100.00%。</w:t>
      </w:r>
    </w:p>
    <w:p w14:paraId="2F5E75F7">
      <w:pPr>
        <w:spacing w:line="640" w:lineRule="exact"/>
        <w:ind w:firstLine="640"/>
        <w:jc w:val="both"/>
        <w:outlineLvl w:val="3"/>
      </w:pPr>
      <w:r>
        <w:rPr>
          <w:rFonts w:ascii="楷体_GB2312" w:hAnsi="楷体_GB2312" w:eastAsia="楷体_GB2312"/>
          <w:b/>
          <w:sz w:val="32"/>
        </w:rPr>
        <w:t>（三）国有资产占用情况说明</w:t>
      </w:r>
    </w:p>
    <w:p w14:paraId="5179D233">
      <w:pPr>
        <w:spacing w:line="580" w:lineRule="exact"/>
        <w:ind w:firstLine="640"/>
        <w:jc w:val="both"/>
      </w:pPr>
      <w:r>
        <w:rPr>
          <w:rFonts w:ascii="仿宋_GB2312" w:hAnsi="仿宋_GB2312" w:eastAsia="仿宋_GB2312"/>
          <w:b w:val="0"/>
          <w:sz w:val="32"/>
        </w:rPr>
        <w:t>截至2024年12月31日，房屋0.00平方米，价值0.00万元。车辆2辆，价值41.46万元，其中：副部（省）级及以上领导用车0辆、主要负责人用车0辆、机要通信用车0辆、应急保障用车0辆、执法执勤用车0辆、特种专业技术用车0辆、离退休干部服务用车0辆、其他用车2辆，其他用车主要是：一般公务用车和单位业务用车。单价100万元（含）以上设备（不含车辆）0台（套）。</w:t>
      </w:r>
    </w:p>
    <w:p w14:paraId="10D9BFEF">
      <w:pPr>
        <w:spacing w:line="640" w:lineRule="exact"/>
        <w:ind w:firstLine="640"/>
        <w:jc w:val="both"/>
        <w:outlineLvl w:val="2"/>
      </w:pPr>
      <w:r>
        <w:rPr>
          <w:rFonts w:ascii="黑体" w:hAnsi="黑体" w:eastAsia="黑体"/>
          <w:sz w:val="32"/>
        </w:rPr>
        <w:t>十一、预算绩效的情况说明</w:t>
      </w:r>
    </w:p>
    <w:p w14:paraId="5DF3B2D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1,047.94万元，实际执行总额1,047.94万元；预算绩效评价项目2个，全年预算数100.30万元，全年执行数96.42万元。预算绩效管理取得的成效：一是领导重视到位：高度重视，主要领导亲自抓，并予以充分的人力、财力保障。责任落实到位：将各项目工作列入年度干部绩效考核实施方案，将各项目工作落实到具体科室、具体岗位、具体个人。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发现的问题及原因：绩效指标的明确性、可衡量性、相关性还需进一步提升。预算精细化管理还需完善，预算编制管理水平仍有进一步提升的空间。下一步改进措施：一是健全制度，加强督促。针对项目实施中存在的问题，加强完善相关制度，加强督促检查，确保质量安全和建设进度；及时拨付补助资金，严禁截留、挤占、挪用或违规统筹项目资金。二是强化资金管理。各相关部门要切实加强资金管理，确保资金及时发放、专款专用。要加强监督检查，对于挤占挪用资金、弄虚作假套取资金等行为，将按照《财政违法行为处罚处分条例》（国务院令427号）有关规定严肃处理。三是深入自查自纠，落实整改要求。严格执行整改国家稽查、审计、考核指出我单位存在的问题。具体附整体支出绩效自评表，项目支出绩效自评表和评价报告。</w:t>
      </w:r>
    </w:p>
    <w:p w14:paraId="78544C8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EA35BA2">
        <w:tblPrEx>
          <w:tblCellMar>
            <w:top w:w="0" w:type="dxa"/>
            <w:left w:w="108" w:type="dxa"/>
            <w:bottom w:w="0" w:type="dxa"/>
            <w:right w:w="108" w:type="dxa"/>
          </w:tblCellMar>
        </w:tblPrEx>
        <w:tc>
          <w:tcPr>
            <w:tcW w:w="8847" w:type="dxa"/>
            <w:gridSpan w:val="9"/>
            <w:vAlign w:val="center"/>
          </w:tcPr>
          <w:p w14:paraId="37F1FEE0">
            <w:pPr>
              <w:jc w:val="center"/>
            </w:pPr>
            <w:r>
              <w:rPr>
                <w:rFonts w:ascii="宋体" w:hAnsi="宋体" w:eastAsia="宋体"/>
                <w:sz w:val="24"/>
              </w:rPr>
              <w:t>单位整体支出绩效自评表</w:t>
            </w:r>
          </w:p>
        </w:tc>
      </w:tr>
      <w:tr w14:paraId="3CC35B4A">
        <w:tblPrEx>
          <w:tblCellMar>
            <w:top w:w="0" w:type="dxa"/>
            <w:left w:w="108" w:type="dxa"/>
            <w:bottom w:w="0" w:type="dxa"/>
            <w:right w:w="108" w:type="dxa"/>
          </w:tblCellMar>
        </w:tblPrEx>
        <w:tc>
          <w:tcPr>
            <w:tcW w:w="8847" w:type="dxa"/>
            <w:gridSpan w:val="9"/>
            <w:vAlign w:val="center"/>
          </w:tcPr>
          <w:p w14:paraId="6B316F50">
            <w:pPr>
              <w:jc w:val="center"/>
            </w:pPr>
            <w:r>
              <w:rPr>
                <w:rFonts w:ascii="宋体" w:hAnsi="宋体" w:eastAsia="宋体"/>
                <w:sz w:val="24"/>
              </w:rPr>
              <w:t>（2024年度）</w:t>
            </w:r>
          </w:p>
        </w:tc>
      </w:tr>
      <w:tr w14:paraId="77F9BAD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2485B">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4259857">
            <w:pPr>
              <w:jc w:val="center"/>
            </w:pPr>
            <w:r>
              <w:rPr>
                <w:rFonts w:ascii="宋体" w:hAnsi="宋体" w:eastAsia="宋体"/>
                <w:sz w:val="16"/>
              </w:rPr>
              <w:t>民丰县发展和改革委员会</w:t>
            </w:r>
          </w:p>
        </w:tc>
      </w:tr>
      <w:tr w14:paraId="7B24D45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719D2">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0015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6E38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EB96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E5E9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FDB9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3764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69EE4">
            <w:pPr>
              <w:jc w:val="center"/>
            </w:pPr>
            <w:r>
              <w:rPr>
                <w:rFonts w:ascii="宋体" w:hAnsi="宋体" w:eastAsia="宋体"/>
                <w:sz w:val="16"/>
              </w:rPr>
              <w:t>得分</w:t>
            </w:r>
          </w:p>
        </w:tc>
      </w:tr>
      <w:tr w14:paraId="049265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93BC3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2318D">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E7D16">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3BE2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28454">
            <w:pPr>
              <w:jc w:val="center"/>
            </w:pPr>
            <w:r>
              <w:rPr>
                <w:rFonts w:ascii="宋体" w:hAnsi="宋体" w:eastAsia="宋体"/>
                <w:sz w:val="16"/>
              </w:rPr>
              <w:t>0.30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9CDC5">
            <w:pPr>
              <w:jc w:val="center"/>
            </w:pPr>
            <w:r>
              <w:rPr>
                <w:rFonts w:ascii="宋体" w:hAnsi="宋体" w:eastAsia="宋体"/>
                <w:sz w:val="16"/>
              </w:rPr>
              <w:t>0.30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65C1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FF2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458B7">
            <w:pPr>
              <w:jc w:val="center"/>
            </w:pPr>
            <w:r>
              <w:rPr>
                <w:rFonts w:ascii="宋体" w:hAnsi="宋体" w:eastAsia="宋体"/>
                <w:sz w:val="16"/>
              </w:rPr>
              <w:t>-</w:t>
            </w:r>
          </w:p>
        </w:tc>
      </w:tr>
      <w:tr w14:paraId="1C8FB9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698D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CFFE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34DB0">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AF08C">
            <w:pPr>
              <w:jc w:val="center"/>
            </w:pPr>
            <w:r>
              <w:rPr>
                <w:rFonts w:ascii="宋体" w:hAnsi="宋体" w:eastAsia="宋体"/>
                <w:sz w:val="16"/>
              </w:rPr>
              <w:t>324.12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062A7">
            <w:pPr>
              <w:jc w:val="center"/>
            </w:pPr>
            <w:r>
              <w:rPr>
                <w:rFonts w:ascii="宋体" w:hAnsi="宋体" w:eastAsia="宋体"/>
                <w:sz w:val="16"/>
              </w:rPr>
              <w:t>842.64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0D111">
            <w:pPr>
              <w:jc w:val="center"/>
            </w:pPr>
            <w:r>
              <w:rPr>
                <w:rFonts w:ascii="宋体" w:hAnsi="宋体" w:eastAsia="宋体"/>
                <w:sz w:val="16"/>
              </w:rPr>
              <w:t>842.64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4806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E14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BB302">
            <w:pPr>
              <w:jc w:val="center"/>
            </w:pPr>
            <w:r>
              <w:rPr>
                <w:rFonts w:ascii="宋体" w:hAnsi="宋体" w:eastAsia="宋体"/>
                <w:sz w:val="16"/>
              </w:rPr>
              <w:t>-</w:t>
            </w:r>
          </w:p>
        </w:tc>
      </w:tr>
      <w:tr w14:paraId="353AE8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17D7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4B4FF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23362">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3B02C">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5E3BE">
            <w:pPr>
              <w:jc w:val="center"/>
            </w:pPr>
            <w:r>
              <w:rPr>
                <w:rFonts w:ascii="宋体" w:hAnsi="宋体" w:eastAsia="宋体"/>
                <w:sz w:val="16"/>
              </w:rPr>
              <w:t>205.00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31A67">
            <w:pPr>
              <w:jc w:val="center"/>
            </w:pPr>
            <w:r>
              <w:rPr>
                <w:rFonts w:ascii="宋体" w:hAnsi="宋体" w:eastAsia="宋体"/>
                <w:sz w:val="16"/>
              </w:rPr>
              <w:t>205.00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2D35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944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EDDEF">
            <w:pPr>
              <w:jc w:val="center"/>
            </w:pPr>
            <w:r>
              <w:rPr>
                <w:rFonts w:ascii="宋体" w:hAnsi="宋体" w:eastAsia="宋体"/>
                <w:sz w:val="16"/>
              </w:rPr>
              <w:t>-</w:t>
            </w:r>
          </w:p>
        </w:tc>
      </w:tr>
      <w:tr w14:paraId="6B7C6E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6D1A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1D631">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124C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25217">
            <w:pPr>
              <w:jc w:val="center"/>
            </w:pPr>
            <w:r>
              <w:rPr>
                <w:rFonts w:ascii="宋体" w:hAnsi="宋体" w:eastAsia="宋体"/>
                <w:sz w:val="16"/>
              </w:rPr>
              <w:t>424.12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CCAB6">
            <w:pPr>
              <w:jc w:val="center"/>
            </w:pPr>
            <w:r>
              <w:rPr>
                <w:rFonts w:ascii="宋体" w:hAnsi="宋体" w:eastAsia="宋体"/>
                <w:sz w:val="16"/>
              </w:rPr>
              <w:t>1,047.94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1A051">
            <w:pPr>
              <w:jc w:val="center"/>
            </w:pPr>
            <w:r>
              <w:rPr>
                <w:rFonts w:ascii="宋体" w:hAnsi="宋体" w:eastAsia="宋体"/>
                <w:sz w:val="16"/>
              </w:rPr>
              <w:t>1,047.94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B92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25DA4">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86AE1">
            <w:pPr>
              <w:jc w:val="center"/>
            </w:pPr>
            <w:r>
              <w:rPr>
                <w:rFonts w:ascii="宋体" w:hAnsi="宋体" w:eastAsia="宋体"/>
                <w:sz w:val="16"/>
              </w:rPr>
              <w:t>10</w:t>
            </w:r>
          </w:p>
        </w:tc>
      </w:tr>
      <w:tr w14:paraId="62B7772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EA70B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BCD30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94B07A">
            <w:pPr>
              <w:jc w:val="center"/>
            </w:pPr>
            <w:r>
              <w:rPr>
                <w:rFonts w:ascii="宋体" w:hAnsi="宋体" w:eastAsia="宋体"/>
                <w:sz w:val="16"/>
              </w:rPr>
              <w:t>实际完成情况</w:t>
            </w:r>
          </w:p>
        </w:tc>
      </w:tr>
      <w:tr w14:paraId="49BFB3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EE79E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8A3D46">
            <w:pPr>
              <w:jc w:val="both"/>
            </w:pPr>
            <w:r>
              <w:rPr>
                <w:rFonts w:ascii="宋体" w:hAnsi="宋体" w:eastAsia="宋体"/>
                <w:sz w:val="16"/>
              </w:rPr>
              <w:t>统筹提出国民经济和社会发展主要目标，监测预测预警宏观经济和社会发展态势趋势，提出宏观调控政策建议。申报中央预算内和自治区预算内投资计划；按规定权限审批、核准、备案、审核重大项目。规划重大建设项目和生产力布局。推动落实鼓励民间投资政策措施。推动实施服务业及现代物流业发展规划和相关政策。综合研判消费变动趋势，实施促进消费的综合性政策措施。推动实施服务业及现代物流业发展规划和相关政策。综合研判消费变动趋势，实施促进消费的综合性政策措施。促进业务应用互联互通、信息交换和数据共享，满足政务部门社会管理和公共服务的需要。</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3EF755">
            <w:pPr>
              <w:jc w:val="both"/>
            </w:pPr>
            <w:r>
              <w:rPr>
                <w:rFonts w:ascii="宋体" w:hAnsi="宋体" w:eastAsia="宋体"/>
                <w:sz w:val="16"/>
              </w:rPr>
              <w:t>已完成“三公”经费控制率达到100%，粮食安全生产监督检查次数12次，物价价格监测报告数量次数13次，价格鉴定认证数量33件，推动经济高质量发展，强化管理，不断拓宽全县项目投资渠道。以经济高质量发展为引领，继续加大项目管理力度，制定切实有效的工作措施，抓前期、抓开工、抓协调、抓推进，千方百计提高竣工率、投产率。进一步规范政府投资项目审批管理，按照国家、自治区产业政策及相关要求严格执行，投资计划一经下达，严格按照下达计划的项目名称、内容和规模进行建设，切实维护投资计划的严肃性，执行过程中确需调整的，要严格按程序报批。</w:t>
            </w:r>
          </w:p>
        </w:tc>
      </w:tr>
      <w:tr w14:paraId="323FBC9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22A3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50A2A">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661E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C2C4E">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33E1A">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4880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8ADB6">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D29DB">
            <w:pPr>
              <w:jc w:val="center"/>
            </w:pPr>
            <w:r>
              <w:rPr>
                <w:rFonts w:ascii="宋体" w:hAnsi="宋体" w:eastAsia="宋体"/>
                <w:sz w:val="16"/>
              </w:rPr>
              <w:t>得分</w:t>
            </w:r>
          </w:p>
        </w:tc>
      </w:tr>
      <w:tr w14:paraId="1098DF6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58377">
            <w:pPr>
              <w:jc w:val="center"/>
            </w:pPr>
            <w:r>
              <w:rPr>
                <w:rFonts w:ascii="宋体" w:hAnsi="宋体" w:eastAsia="宋体"/>
                <w:sz w:val="16"/>
              </w:rPr>
              <w:t>运行成本</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75833A">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D26DA">
            <w:pPr>
              <w:jc w:val="center"/>
            </w:pPr>
            <w:r>
              <w:rPr>
                <w:rFonts w:hint="eastAsia" w:ascii="宋体" w:hAnsi="宋体"/>
                <w:sz w:val="16"/>
                <w:lang w:eastAsia="zh-CN"/>
              </w:rPr>
              <w:t>“三公”经费</w:t>
            </w:r>
            <w:r>
              <w:rPr>
                <w:rFonts w:ascii="宋体" w:hAnsi="宋体" w:eastAsia="宋体"/>
                <w:sz w:val="16"/>
              </w:rPr>
              <w:t>控制率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9DBB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E87F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8BF1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E0E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432EB">
            <w:pPr>
              <w:jc w:val="center"/>
            </w:pPr>
            <w:r>
              <w:rPr>
                <w:rFonts w:ascii="宋体" w:hAnsi="宋体" w:eastAsia="宋体"/>
                <w:sz w:val="16"/>
              </w:rPr>
              <w:t>20</w:t>
            </w:r>
          </w:p>
        </w:tc>
      </w:tr>
      <w:tr w14:paraId="754B673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C268AC">
            <w:pPr>
              <w:jc w:val="center"/>
            </w:pPr>
            <w:r>
              <w:rPr>
                <w:rFonts w:ascii="宋体" w:hAnsi="宋体" w:eastAsia="宋体"/>
                <w:sz w:val="16"/>
              </w:rPr>
              <w:t>履职效能</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1D968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EBFFE">
            <w:pPr>
              <w:jc w:val="center"/>
            </w:pPr>
            <w:r>
              <w:rPr>
                <w:rFonts w:ascii="宋体" w:hAnsi="宋体" w:eastAsia="宋体"/>
                <w:sz w:val="16"/>
              </w:rPr>
              <w:t>粮食安全生产监督检查次数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1F21A">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8A68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C6E6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D3D7A">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EC2F4">
            <w:pPr>
              <w:jc w:val="center"/>
            </w:pPr>
            <w:r>
              <w:rPr>
                <w:rFonts w:ascii="宋体" w:hAnsi="宋体" w:eastAsia="宋体"/>
                <w:sz w:val="16"/>
              </w:rPr>
              <w:t>20</w:t>
            </w:r>
          </w:p>
        </w:tc>
      </w:tr>
      <w:tr w14:paraId="5C9F4F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91A4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B3A11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9CF85">
            <w:pPr>
              <w:jc w:val="center"/>
            </w:pPr>
            <w:r>
              <w:rPr>
                <w:rFonts w:ascii="宋体" w:hAnsi="宋体" w:eastAsia="宋体"/>
                <w:sz w:val="16"/>
              </w:rPr>
              <w:t>物价价格监测报告数量次数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5B816">
            <w:pPr>
              <w:jc w:val="center"/>
            </w:pPr>
            <w:r>
              <w:rPr>
                <w:rFonts w:ascii="宋体" w:hAnsi="宋体" w:eastAsia="宋体"/>
                <w:sz w:val="16"/>
              </w:rPr>
              <w:t>&gt;=6次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0C7D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66DD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0636B">
            <w:pPr>
              <w:jc w:val="center"/>
            </w:pPr>
            <w:r>
              <w:rPr>
                <w:rFonts w:ascii="宋体" w:hAnsi="宋体" w:eastAsia="宋体"/>
                <w:sz w:val="16"/>
              </w:rPr>
              <w:t>13次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3D2BB">
            <w:pPr>
              <w:jc w:val="center"/>
            </w:pPr>
            <w:r>
              <w:rPr>
                <w:rFonts w:ascii="宋体" w:hAnsi="宋体" w:eastAsia="宋体"/>
                <w:sz w:val="16"/>
              </w:rPr>
              <w:t>20</w:t>
            </w:r>
          </w:p>
        </w:tc>
      </w:tr>
      <w:tr w14:paraId="29C760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C1B1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A4B1A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D8969">
            <w:pPr>
              <w:jc w:val="center"/>
            </w:pPr>
            <w:r>
              <w:rPr>
                <w:rFonts w:ascii="宋体" w:hAnsi="宋体" w:eastAsia="宋体"/>
                <w:sz w:val="16"/>
              </w:rPr>
              <w:t>价格鉴定认证数量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A5FD7">
            <w:pPr>
              <w:jc w:val="center"/>
            </w:pPr>
            <w:r>
              <w:rPr>
                <w:rFonts w:ascii="宋体" w:hAnsi="宋体" w:eastAsia="宋体"/>
                <w:sz w:val="16"/>
              </w:rPr>
              <w:t>&gt;=12件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83418">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40CE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5604A">
            <w:pPr>
              <w:jc w:val="center"/>
            </w:pPr>
            <w:r>
              <w:rPr>
                <w:rFonts w:ascii="宋体" w:hAnsi="宋体" w:eastAsia="宋体"/>
                <w:sz w:val="16"/>
              </w:rPr>
              <w:t>33件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58CD3">
            <w:pPr>
              <w:jc w:val="center"/>
            </w:pPr>
            <w:r>
              <w:rPr>
                <w:rFonts w:ascii="宋体" w:hAnsi="宋体" w:eastAsia="宋体"/>
                <w:sz w:val="16"/>
              </w:rPr>
              <w:t>30</w:t>
            </w:r>
          </w:p>
        </w:tc>
      </w:tr>
    </w:tbl>
    <w:p w14:paraId="64771FF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1338"/>
        <w:gridCol w:w="936"/>
        <w:gridCol w:w="675"/>
        <w:gridCol w:w="983"/>
        <w:gridCol w:w="983"/>
        <w:gridCol w:w="983"/>
      </w:tblGrid>
      <w:tr w14:paraId="55BF06C5">
        <w:tblPrEx>
          <w:tblCellMar>
            <w:top w:w="0" w:type="dxa"/>
            <w:left w:w="108" w:type="dxa"/>
            <w:bottom w:w="0" w:type="dxa"/>
            <w:right w:w="108" w:type="dxa"/>
          </w:tblCellMar>
        </w:tblPrEx>
        <w:tc>
          <w:tcPr>
            <w:tcW w:w="8847" w:type="dxa"/>
            <w:gridSpan w:val="9"/>
            <w:vAlign w:val="center"/>
          </w:tcPr>
          <w:p w14:paraId="6E7BF30D">
            <w:pPr>
              <w:jc w:val="center"/>
            </w:pPr>
            <w:r>
              <w:rPr>
                <w:rFonts w:ascii="宋体" w:hAnsi="宋体" w:eastAsia="宋体"/>
                <w:sz w:val="24"/>
              </w:rPr>
              <w:t>项目支出绩效自评表</w:t>
            </w:r>
          </w:p>
        </w:tc>
      </w:tr>
      <w:tr w14:paraId="249421F3">
        <w:tblPrEx>
          <w:tblCellMar>
            <w:top w:w="0" w:type="dxa"/>
            <w:left w:w="108" w:type="dxa"/>
            <w:bottom w:w="0" w:type="dxa"/>
            <w:right w:w="108" w:type="dxa"/>
          </w:tblCellMar>
        </w:tblPrEx>
        <w:tc>
          <w:tcPr>
            <w:tcW w:w="8847" w:type="dxa"/>
            <w:gridSpan w:val="9"/>
            <w:vAlign w:val="center"/>
          </w:tcPr>
          <w:p w14:paraId="70D41505">
            <w:pPr>
              <w:jc w:val="center"/>
            </w:pPr>
            <w:r>
              <w:rPr>
                <w:rFonts w:ascii="宋体" w:hAnsi="宋体" w:eastAsia="宋体"/>
                <w:sz w:val="24"/>
              </w:rPr>
              <w:t>(2024年度)</w:t>
            </w:r>
          </w:p>
        </w:tc>
      </w:tr>
      <w:tr w14:paraId="05B9D98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2DED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5BFB7CE">
            <w:pPr>
              <w:jc w:val="center"/>
            </w:pPr>
            <w:r>
              <w:rPr>
                <w:rFonts w:ascii="宋体" w:hAnsi="宋体" w:eastAsia="宋体"/>
                <w:sz w:val="16"/>
              </w:rPr>
              <w:t>民丰县2024年农产品成本调查经费</w:t>
            </w:r>
          </w:p>
        </w:tc>
      </w:tr>
      <w:tr w14:paraId="3E8AA58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D26AD">
            <w:pPr>
              <w:jc w:val="center"/>
            </w:pPr>
            <w:r>
              <w:rPr>
                <w:rFonts w:ascii="宋体" w:hAnsi="宋体" w:eastAsia="宋体"/>
                <w:sz w:val="16"/>
              </w:rPr>
              <w:t>主管部门</w:t>
            </w:r>
          </w:p>
        </w:tc>
        <w:tc>
          <w:tcPr>
            <w:tcW w:w="330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50F7E6">
            <w:pPr>
              <w:jc w:val="center"/>
            </w:pPr>
            <w:r>
              <w:rPr>
                <w:rFonts w:ascii="宋体" w:hAnsi="宋体" w:eastAsia="宋体"/>
                <w:sz w:val="16"/>
              </w:rPr>
              <w:t>民丰</w:t>
            </w:r>
            <w:r>
              <w:rPr>
                <w:rFonts w:hint="eastAsia" w:ascii="宋体" w:hAnsi="宋体"/>
                <w:sz w:val="16"/>
                <w:lang w:eastAsia="zh-CN"/>
              </w:rPr>
              <w:t>县发展和改革委员会</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CA31DA8">
            <w:pPr>
              <w:jc w:val="center"/>
            </w:pPr>
            <w:r>
              <w:rPr>
                <w:rFonts w:ascii="宋体" w:hAnsi="宋体" w:eastAsia="宋体"/>
                <w:sz w:val="16"/>
              </w:rPr>
              <w:t>实施单位</w:t>
            </w:r>
          </w:p>
        </w:tc>
        <w:tc>
          <w:tcPr>
            <w:tcW w:w="362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B60CFB">
            <w:pPr>
              <w:jc w:val="center"/>
            </w:pPr>
            <w:r>
              <w:rPr>
                <w:rFonts w:ascii="宋体" w:hAnsi="宋体" w:eastAsia="宋体"/>
                <w:sz w:val="16"/>
              </w:rPr>
              <w:t>民丰县发展和改革委员会</w:t>
            </w:r>
          </w:p>
        </w:tc>
      </w:tr>
      <w:tr w14:paraId="23EEE0F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5B9A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9EE35">
            <w:pPr>
              <w:jc w:val="center"/>
            </w:pP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612A2894">
            <w:pPr>
              <w:jc w:val="center"/>
            </w:pPr>
            <w:r>
              <w:rPr>
                <w:rFonts w:ascii="宋体" w:hAnsi="宋体" w:eastAsia="宋体"/>
                <w:sz w:val="16"/>
              </w:rPr>
              <w:t>年初预算数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87DAC40">
            <w:pPr>
              <w:jc w:val="center"/>
            </w:pPr>
            <w:r>
              <w:rPr>
                <w:rFonts w:ascii="宋体" w:hAnsi="宋体" w:eastAsia="宋体"/>
                <w:sz w:val="16"/>
              </w:rPr>
              <w:t>全年预算数</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51751DB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F111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0688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23462">
            <w:pPr>
              <w:jc w:val="center"/>
            </w:pPr>
            <w:r>
              <w:rPr>
                <w:rFonts w:ascii="宋体" w:hAnsi="宋体" w:eastAsia="宋体"/>
                <w:sz w:val="16"/>
              </w:rPr>
              <w:t>得分</w:t>
            </w:r>
          </w:p>
        </w:tc>
      </w:tr>
      <w:tr w14:paraId="2FA7F6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EE7CD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B768A">
            <w:pPr>
              <w:jc w:val="center"/>
            </w:pPr>
            <w:r>
              <w:rPr>
                <w:rFonts w:ascii="宋体" w:hAnsi="宋体" w:eastAsia="宋体"/>
                <w:sz w:val="16"/>
              </w:rPr>
              <w:t>年度资金总额</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33195347">
            <w:pPr>
              <w:jc w:val="center"/>
            </w:pPr>
            <w:r>
              <w:rPr>
                <w:rFonts w:ascii="宋体" w:hAnsi="宋体" w:eastAsia="宋体"/>
                <w:sz w:val="16"/>
              </w:rPr>
              <w:t>0.30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B2695B4">
            <w:pPr>
              <w:jc w:val="center"/>
            </w:pPr>
            <w:r>
              <w:rPr>
                <w:rFonts w:ascii="宋体" w:hAnsi="宋体" w:eastAsia="宋体"/>
                <w:sz w:val="16"/>
              </w:rPr>
              <w:t>0.30</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06787673">
            <w:pPr>
              <w:jc w:val="center"/>
            </w:pPr>
            <w:r>
              <w:rPr>
                <w:rFonts w:ascii="宋体" w:hAnsi="宋体" w:eastAsia="宋体"/>
                <w:sz w:val="16"/>
              </w:rPr>
              <w:t>0.30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94C2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EFAD1">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9A955">
            <w:pPr>
              <w:jc w:val="center"/>
            </w:pPr>
            <w:r>
              <w:rPr>
                <w:rFonts w:ascii="宋体" w:hAnsi="宋体" w:eastAsia="宋体"/>
                <w:sz w:val="16"/>
              </w:rPr>
              <w:t>10.00分</w:t>
            </w:r>
          </w:p>
        </w:tc>
      </w:tr>
      <w:tr w14:paraId="26A251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DDA00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3868E">
            <w:pPr>
              <w:jc w:val="center"/>
            </w:pPr>
            <w:r>
              <w:rPr>
                <w:rFonts w:ascii="宋体" w:hAnsi="宋体" w:eastAsia="宋体"/>
                <w:sz w:val="16"/>
              </w:rPr>
              <w:t>其中：当年财政拨款</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4CB6873B">
            <w:pPr>
              <w:jc w:val="center"/>
            </w:pPr>
            <w:r>
              <w:rPr>
                <w:rFonts w:ascii="宋体" w:hAnsi="宋体" w:eastAsia="宋体"/>
                <w:sz w:val="16"/>
              </w:rPr>
              <w:t>0.30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0E4B787">
            <w:pPr>
              <w:jc w:val="center"/>
            </w:pPr>
            <w:r>
              <w:rPr>
                <w:rFonts w:ascii="宋体" w:hAnsi="宋体" w:eastAsia="宋体"/>
                <w:sz w:val="16"/>
              </w:rPr>
              <w:t>0.30</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055F3BE4">
            <w:pPr>
              <w:jc w:val="center"/>
            </w:pPr>
            <w:r>
              <w:rPr>
                <w:rFonts w:ascii="宋体" w:hAnsi="宋体" w:eastAsia="宋体"/>
                <w:sz w:val="16"/>
              </w:rPr>
              <w:t>0.30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0C9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A01F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C063F">
            <w:pPr>
              <w:jc w:val="center"/>
            </w:pPr>
            <w:r>
              <w:rPr>
                <w:rFonts w:ascii="宋体" w:hAnsi="宋体" w:eastAsia="宋体"/>
                <w:sz w:val="16"/>
              </w:rPr>
              <w:t>—</w:t>
            </w:r>
          </w:p>
        </w:tc>
      </w:tr>
      <w:tr w14:paraId="503A1B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1EFDA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810E9">
            <w:pPr>
              <w:jc w:val="center"/>
            </w:pPr>
            <w:r>
              <w:rPr>
                <w:rFonts w:ascii="宋体" w:hAnsi="宋体" w:eastAsia="宋体"/>
                <w:sz w:val="16"/>
              </w:rPr>
              <w:t xml:space="preserve">      上年结转资金</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422499FA">
            <w:pPr>
              <w:jc w:val="center"/>
            </w:pPr>
            <w:r>
              <w:rPr>
                <w:rFonts w:ascii="宋体" w:hAnsi="宋体" w:eastAsia="宋体"/>
                <w:sz w:val="16"/>
              </w:rPr>
              <w:t>0.00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5C06CB8">
            <w:pPr>
              <w:jc w:val="center"/>
            </w:pPr>
            <w:r>
              <w:rPr>
                <w:rFonts w:ascii="宋体" w:hAnsi="宋体" w:eastAsia="宋体"/>
                <w:sz w:val="16"/>
              </w:rPr>
              <w:t>0.00</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0A592B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D47F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34C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3C249">
            <w:pPr>
              <w:jc w:val="center"/>
            </w:pPr>
            <w:r>
              <w:rPr>
                <w:rFonts w:ascii="宋体" w:hAnsi="宋体" w:eastAsia="宋体"/>
                <w:sz w:val="16"/>
              </w:rPr>
              <w:t>—</w:t>
            </w:r>
          </w:p>
        </w:tc>
      </w:tr>
      <w:tr w14:paraId="62D32E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24020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09786">
            <w:pPr>
              <w:jc w:val="center"/>
            </w:pPr>
            <w:r>
              <w:rPr>
                <w:rFonts w:ascii="宋体" w:hAnsi="宋体" w:eastAsia="宋体"/>
                <w:sz w:val="16"/>
              </w:rPr>
              <w:t xml:space="preserve">  其他资金</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61E25852">
            <w:pPr>
              <w:jc w:val="center"/>
            </w:pPr>
            <w:r>
              <w:rPr>
                <w:rFonts w:ascii="宋体" w:hAnsi="宋体" w:eastAsia="宋体"/>
                <w:sz w:val="16"/>
              </w:rPr>
              <w:t>0.00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945DF97">
            <w:pPr>
              <w:jc w:val="center"/>
            </w:pPr>
            <w:r>
              <w:rPr>
                <w:rFonts w:ascii="宋体" w:hAnsi="宋体" w:eastAsia="宋体"/>
                <w:sz w:val="16"/>
              </w:rPr>
              <w:t>0.00</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0679F42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17CE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A42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F9C0C">
            <w:pPr>
              <w:jc w:val="center"/>
            </w:pPr>
            <w:r>
              <w:rPr>
                <w:rFonts w:ascii="宋体" w:hAnsi="宋体" w:eastAsia="宋体"/>
                <w:sz w:val="16"/>
              </w:rPr>
              <w:t>—</w:t>
            </w:r>
          </w:p>
        </w:tc>
      </w:tr>
      <w:tr w14:paraId="0FDED5F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7D020">
            <w:pPr>
              <w:jc w:val="center"/>
            </w:pPr>
            <w:r>
              <w:rPr>
                <w:rFonts w:ascii="宋体" w:hAnsi="宋体" w:eastAsia="宋体"/>
                <w:sz w:val="16"/>
              </w:rPr>
              <w:t>年度总体目标</w:t>
            </w:r>
          </w:p>
        </w:tc>
        <w:tc>
          <w:tcPr>
            <w:tcW w:w="330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FAEC58">
            <w:pPr>
              <w:jc w:val="center"/>
            </w:pPr>
            <w:r>
              <w:rPr>
                <w:rFonts w:ascii="宋体" w:hAnsi="宋体" w:eastAsia="宋体"/>
                <w:sz w:val="16"/>
              </w:rPr>
              <w:t>预期目标</w:t>
            </w:r>
          </w:p>
        </w:tc>
        <w:tc>
          <w:tcPr>
            <w:tcW w:w="45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DCB786">
            <w:pPr>
              <w:jc w:val="center"/>
            </w:pPr>
            <w:r>
              <w:rPr>
                <w:rFonts w:ascii="宋体" w:hAnsi="宋体" w:eastAsia="宋体"/>
                <w:sz w:val="16"/>
              </w:rPr>
              <w:t>实际完成情况</w:t>
            </w:r>
          </w:p>
        </w:tc>
      </w:tr>
      <w:tr w14:paraId="38647E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04F76C"/>
        </w:tc>
        <w:tc>
          <w:tcPr>
            <w:tcW w:w="330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C4EEF7">
            <w:pPr>
              <w:jc w:val="both"/>
            </w:pPr>
            <w:r>
              <w:rPr>
                <w:rFonts w:ascii="宋体" w:hAnsi="宋体" w:eastAsia="宋体"/>
                <w:sz w:val="16"/>
              </w:rPr>
              <w:t>根据和地财建</w:t>
            </w:r>
            <w:r>
              <w:rPr>
                <w:rFonts w:hint="eastAsia" w:ascii="宋体" w:hAnsi="宋体"/>
                <w:sz w:val="16"/>
                <w:lang w:eastAsia="zh-CN"/>
              </w:rPr>
              <w:t>〔2023〕118号</w:t>
            </w:r>
            <w:r>
              <w:rPr>
                <w:rFonts w:ascii="宋体" w:hAnsi="宋体" w:eastAsia="宋体"/>
                <w:sz w:val="16"/>
              </w:rPr>
              <w:t>文件要求，实施本项目。主要内容：向8家个体商户发放民丰县重要民生商品价格检测补助。通过项目实施，有效提高价格检测工作效率，提高价格工作效率、稳定市场商品价格。</w:t>
            </w:r>
          </w:p>
        </w:tc>
        <w:tc>
          <w:tcPr>
            <w:tcW w:w="45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8239D7">
            <w:pPr>
              <w:jc w:val="both"/>
            </w:pPr>
            <w:r>
              <w:rPr>
                <w:rFonts w:ascii="宋体" w:hAnsi="宋体" w:eastAsia="宋体"/>
                <w:sz w:val="16"/>
              </w:rPr>
              <w:t>已完成向8家个体商户发放民丰县重要民生商品价格检测补助，平均每家发放375元，共发放3000元。</w:t>
            </w:r>
          </w:p>
        </w:tc>
      </w:tr>
      <w:tr w14:paraId="004381C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72D48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E7B4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E4DDE">
            <w:pPr>
              <w:jc w:val="center"/>
            </w:pPr>
            <w:r>
              <w:rPr>
                <w:rFonts w:ascii="宋体" w:hAnsi="宋体" w:eastAsia="宋体"/>
                <w:sz w:val="16"/>
              </w:rPr>
              <w:t>二级指标</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6C2D7EEC">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44351C7">
            <w:pPr>
              <w:jc w:val="center"/>
            </w:pPr>
            <w:r>
              <w:rPr>
                <w:rFonts w:ascii="宋体" w:hAnsi="宋体" w:eastAsia="宋体"/>
                <w:sz w:val="16"/>
              </w:rPr>
              <w:t>年度指标值</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2652E3D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BC2C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B537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F1F3E">
            <w:pPr>
              <w:jc w:val="center"/>
            </w:pPr>
            <w:r>
              <w:rPr>
                <w:rFonts w:ascii="宋体" w:hAnsi="宋体" w:eastAsia="宋体"/>
                <w:sz w:val="16"/>
              </w:rPr>
              <w:t>偏差原因分析及改进措施</w:t>
            </w:r>
          </w:p>
        </w:tc>
      </w:tr>
      <w:tr w14:paraId="57D6B05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6FA0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93044E">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28408">
            <w:pPr>
              <w:jc w:val="center"/>
            </w:pPr>
            <w:r>
              <w:rPr>
                <w:rFonts w:ascii="宋体" w:hAnsi="宋体" w:eastAsia="宋体"/>
                <w:sz w:val="16"/>
              </w:rPr>
              <w:t>数量指标</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4F408EC1">
            <w:pPr>
              <w:jc w:val="center"/>
            </w:pPr>
            <w:r>
              <w:rPr>
                <w:rFonts w:ascii="宋体" w:hAnsi="宋体" w:eastAsia="宋体"/>
                <w:sz w:val="16"/>
              </w:rPr>
              <w:t>个体户数量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8E0B3B1">
            <w:pPr>
              <w:jc w:val="center"/>
            </w:pPr>
            <w:r>
              <w:rPr>
                <w:rFonts w:ascii="宋体" w:hAnsi="宋体" w:eastAsia="宋体"/>
                <w:sz w:val="16"/>
              </w:rPr>
              <w:t>=8家</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2712065A">
            <w:pPr>
              <w:jc w:val="center"/>
            </w:pPr>
            <w:r>
              <w:rPr>
                <w:rFonts w:ascii="宋体" w:hAnsi="宋体" w:eastAsia="宋体"/>
                <w:sz w:val="16"/>
              </w:rPr>
              <w:t>=8家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F791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9C5D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029AC">
            <w:pPr>
              <w:jc w:val="center"/>
            </w:pPr>
          </w:p>
        </w:tc>
      </w:tr>
      <w:tr w14:paraId="6FA9D4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1C24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25C1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21180">
            <w:pPr>
              <w:jc w:val="center"/>
            </w:pPr>
            <w:r>
              <w:rPr>
                <w:rFonts w:ascii="宋体" w:hAnsi="宋体" w:eastAsia="宋体"/>
                <w:sz w:val="16"/>
              </w:rPr>
              <w:t>质量指标</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1D4F7371">
            <w:pPr>
              <w:jc w:val="center"/>
            </w:pPr>
            <w:r>
              <w:rPr>
                <w:rFonts w:ascii="宋体" w:hAnsi="宋体" w:eastAsia="宋体"/>
                <w:sz w:val="16"/>
              </w:rPr>
              <w:t>资金使用合格率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B152775">
            <w:pPr>
              <w:jc w:val="center"/>
            </w:pPr>
            <w:r>
              <w:rPr>
                <w:rFonts w:ascii="宋体" w:hAnsi="宋体" w:eastAsia="宋体"/>
                <w:sz w:val="16"/>
              </w:rPr>
              <w:t>=100%</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618A853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8C3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9771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14EA2">
            <w:pPr>
              <w:jc w:val="center"/>
            </w:pPr>
          </w:p>
        </w:tc>
      </w:tr>
      <w:tr w14:paraId="6957EF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5C231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B9207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9CA4F">
            <w:pPr>
              <w:jc w:val="center"/>
            </w:pPr>
            <w:r>
              <w:rPr>
                <w:rFonts w:ascii="宋体" w:hAnsi="宋体" w:eastAsia="宋体"/>
                <w:sz w:val="16"/>
              </w:rPr>
              <w:t>时效指标</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5F8B6B05">
            <w:pPr>
              <w:jc w:val="center"/>
            </w:pPr>
            <w:r>
              <w:rPr>
                <w:rFonts w:ascii="宋体" w:hAnsi="宋体" w:eastAsia="宋体"/>
                <w:sz w:val="16"/>
              </w:rPr>
              <w:t>资金支付及时率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F1E09EC">
            <w:pPr>
              <w:jc w:val="center"/>
            </w:pPr>
            <w:r>
              <w:rPr>
                <w:rFonts w:ascii="宋体" w:hAnsi="宋体" w:eastAsia="宋体"/>
                <w:sz w:val="16"/>
              </w:rPr>
              <w:t>=100%</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387F7B0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273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D6E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EDDFE">
            <w:pPr>
              <w:jc w:val="center"/>
            </w:pPr>
          </w:p>
        </w:tc>
      </w:tr>
      <w:tr w14:paraId="4E242B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85AD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1A2F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FE2A0C"/>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3DF1DADC">
            <w:pPr>
              <w:jc w:val="center"/>
            </w:pPr>
            <w:r>
              <w:rPr>
                <w:rFonts w:ascii="宋体" w:hAnsi="宋体" w:eastAsia="宋体"/>
                <w:sz w:val="16"/>
              </w:rPr>
              <w:t>项目完成时间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99DC6BD">
            <w:pPr>
              <w:jc w:val="center"/>
            </w:pPr>
            <w:r>
              <w:rPr>
                <w:rFonts w:ascii="宋体" w:hAnsi="宋体" w:eastAsia="宋体"/>
                <w:sz w:val="16"/>
              </w:rPr>
              <w:t>2024年12月</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0662D40A">
            <w:pPr>
              <w:jc w:val="center"/>
            </w:pPr>
            <w:r>
              <w:rPr>
                <w:rFonts w:ascii="宋体" w:hAnsi="宋体" w:eastAsia="宋体"/>
                <w:sz w:val="16"/>
              </w:rPr>
              <w:t>2024年4月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A621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596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4AC50">
            <w:pPr>
              <w:jc w:val="center"/>
            </w:pPr>
          </w:p>
        </w:tc>
      </w:tr>
      <w:tr w14:paraId="00D5C6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7FCA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B365A">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ED864">
            <w:pPr>
              <w:jc w:val="center"/>
            </w:pPr>
            <w:r>
              <w:rPr>
                <w:rFonts w:ascii="宋体" w:hAnsi="宋体" w:eastAsia="宋体"/>
                <w:sz w:val="16"/>
              </w:rPr>
              <w:t>经济成本指标</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499D2FD8">
            <w:pPr>
              <w:jc w:val="center"/>
            </w:pPr>
            <w:r>
              <w:rPr>
                <w:rFonts w:ascii="宋体" w:hAnsi="宋体" w:eastAsia="宋体"/>
                <w:sz w:val="16"/>
              </w:rPr>
              <w:t>检测补助发放标准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5F7CCAC">
            <w:pPr>
              <w:jc w:val="center"/>
            </w:pPr>
            <w:r>
              <w:rPr>
                <w:rFonts w:ascii="宋体" w:hAnsi="宋体" w:eastAsia="宋体"/>
                <w:sz w:val="16"/>
              </w:rPr>
              <w:t>&lt;=375元/家</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4BADE4A8">
            <w:pPr>
              <w:jc w:val="center"/>
            </w:pPr>
            <w:r>
              <w:rPr>
                <w:rFonts w:ascii="宋体" w:hAnsi="宋体" w:eastAsia="宋体"/>
                <w:sz w:val="16"/>
              </w:rPr>
              <w:t>=375元/家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2098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22BE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D7FCC">
            <w:pPr>
              <w:jc w:val="center"/>
            </w:pPr>
          </w:p>
        </w:tc>
      </w:tr>
      <w:tr w14:paraId="691A9C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BA27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FB9C8">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EECD4">
            <w:pPr>
              <w:jc w:val="center"/>
            </w:pPr>
            <w:r>
              <w:rPr>
                <w:rFonts w:ascii="宋体" w:hAnsi="宋体" w:eastAsia="宋体"/>
                <w:sz w:val="16"/>
              </w:rPr>
              <w:t>社会效益指标</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78407594">
            <w:pPr>
              <w:jc w:val="center"/>
            </w:pPr>
            <w:r>
              <w:rPr>
                <w:rFonts w:ascii="宋体" w:hAnsi="宋体" w:eastAsia="宋体"/>
                <w:sz w:val="16"/>
              </w:rPr>
              <w:t>提高价格检测工作效率，提高价格工作效率、稳定市场商品价格</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A27E4F0">
            <w:pPr>
              <w:jc w:val="center"/>
            </w:pPr>
            <w:r>
              <w:rPr>
                <w:rFonts w:ascii="宋体" w:hAnsi="宋体" w:eastAsia="宋体"/>
                <w:sz w:val="16"/>
              </w:rPr>
              <w:t>效果显著</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5A7300D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CF43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11AD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59B70">
            <w:pPr>
              <w:jc w:val="center"/>
            </w:pPr>
          </w:p>
        </w:tc>
      </w:tr>
      <w:tr w14:paraId="44DD1D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8B50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D964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16007">
            <w:pPr>
              <w:jc w:val="center"/>
            </w:pPr>
            <w:r>
              <w:rPr>
                <w:rFonts w:ascii="宋体" w:hAnsi="宋体" w:eastAsia="宋体"/>
                <w:sz w:val="16"/>
              </w:rPr>
              <w:t>满意度指标</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1ACCE4E2">
            <w:pPr>
              <w:jc w:val="center"/>
            </w:pPr>
            <w:r>
              <w:rPr>
                <w:rFonts w:ascii="宋体" w:hAnsi="宋体" w:eastAsia="宋体"/>
                <w:sz w:val="16"/>
              </w:rPr>
              <w:t>服务对象满意度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A0D5CC4">
            <w:pPr>
              <w:jc w:val="center"/>
            </w:pPr>
            <w:r>
              <w:rPr>
                <w:rFonts w:ascii="宋体" w:hAnsi="宋体" w:eastAsia="宋体"/>
                <w:sz w:val="16"/>
              </w:rPr>
              <w:t>&gt;=95%</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28227F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E14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5317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55CCC">
            <w:pPr>
              <w:jc w:val="center"/>
            </w:pPr>
          </w:p>
        </w:tc>
      </w:tr>
      <w:tr w14:paraId="5890825A">
        <w:tblPrEx>
          <w:tblCellMar>
            <w:top w:w="0" w:type="dxa"/>
            <w:left w:w="108" w:type="dxa"/>
            <w:bottom w:w="0" w:type="dxa"/>
            <w:right w:w="108" w:type="dxa"/>
          </w:tblCellMar>
        </w:tblPrEx>
        <w:tc>
          <w:tcPr>
            <w:tcW w:w="522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7592FE">
            <w:pPr>
              <w:jc w:val="center"/>
            </w:pPr>
            <w:r>
              <w:rPr>
                <w:rFonts w:ascii="宋体" w:hAnsi="宋体" w:eastAsia="宋体"/>
                <w:sz w:val="16"/>
              </w:rPr>
              <w:t>总分</w:t>
            </w:r>
          </w:p>
        </w:tc>
        <w:tc>
          <w:tcPr>
            <w:tcW w:w="675" w:type="dxa"/>
            <w:tcBorders>
              <w:top w:val="single" w:color="auto" w:sz="10" w:space="0"/>
              <w:left w:val="single" w:color="auto" w:sz="10" w:space="0"/>
              <w:bottom w:val="single" w:color="auto" w:sz="10" w:space="0"/>
              <w:right w:val="single" w:color="auto" w:sz="10" w:space="0"/>
              <w:insideV w:val="single" w:sz="10" w:space="0"/>
            </w:tcBorders>
          </w:tcPr>
          <w:p w14:paraId="58C305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878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A6071">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8F1712D"/>
        </w:tc>
      </w:tr>
    </w:tbl>
    <w:p w14:paraId="02C927C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490CAFA">
        <w:tblPrEx>
          <w:tblCellMar>
            <w:top w:w="0" w:type="dxa"/>
            <w:left w:w="108" w:type="dxa"/>
            <w:bottom w:w="0" w:type="dxa"/>
            <w:right w:w="108" w:type="dxa"/>
          </w:tblCellMar>
        </w:tblPrEx>
        <w:tc>
          <w:tcPr>
            <w:tcW w:w="8847" w:type="dxa"/>
            <w:gridSpan w:val="9"/>
            <w:vAlign w:val="center"/>
          </w:tcPr>
          <w:p w14:paraId="6ECC2846">
            <w:pPr>
              <w:jc w:val="center"/>
            </w:pPr>
            <w:r>
              <w:rPr>
                <w:rFonts w:ascii="宋体" w:hAnsi="宋体" w:eastAsia="宋体"/>
                <w:sz w:val="24"/>
              </w:rPr>
              <w:t>项目支出绩效自评表</w:t>
            </w:r>
          </w:p>
        </w:tc>
      </w:tr>
      <w:tr w14:paraId="29DEFA97">
        <w:tblPrEx>
          <w:tblCellMar>
            <w:top w:w="0" w:type="dxa"/>
            <w:left w:w="108" w:type="dxa"/>
            <w:bottom w:w="0" w:type="dxa"/>
            <w:right w:w="108" w:type="dxa"/>
          </w:tblCellMar>
        </w:tblPrEx>
        <w:tc>
          <w:tcPr>
            <w:tcW w:w="8847" w:type="dxa"/>
            <w:gridSpan w:val="9"/>
            <w:vAlign w:val="center"/>
          </w:tcPr>
          <w:p w14:paraId="1528A66D">
            <w:pPr>
              <w:jc w:val="center"/>
            </w:pPr>
            <w:r>
              <w:rPr>
                <w:rFonts w:ascii="宋体" w:hAnsi="宋体" w:eastAsia="宋体"/>
                <w:sz w:val="24"/>
              </w:rPr>
              <w:t>(2024年度)</w:t>
            </w:r>
          </w:p>
        </w:tc>
      </w:tr>
      <w:tr w14:paraId="0B81834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EEF7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D33CF56">
            <w:pPr>
              <w:jc w:val="center"/>
            </w:pPr>
            <w:r>
              <w:rPr>
                <w:rFonts w:ascii="宋体" w:hAnsi="宋体" w:eastAsia="宋体"/>
                <w:sz w:val="16"/>
              </w:rPr>
              <w:t>民丰县科技人才创新合作资金项目</w:t>
            </w:r>
          </w:p>
        </w:tc>
      </w:tr>
      <w:tr w14:paraId="74C6992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4A13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57221A">
            <w:pPr>
              <w:jc w:val="center"/>
            </w:pPr>
            <w:r>
              <w:rPr>
                <w:rFonts w:ascii="宋体" w:hAnsi="宋体" w:eastAsia="宋体"/>
                <w:sz w:val="16"/>
              </w:rPr>
              <w:t>民丰</w:t>
            </w:r>
            <w:r>
              <w:rPr>
                <w:rFonts w:hint="eastAsia" w:ascii="宋体" w:hAnsi="宋体"/>
                <w:sz w:val="16"/>
                <w:lang w:eastAsia="zh-CN"/>
              </w:rPr>
              <w:t>县发展和改革委员会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84A9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23C8E8">
            <w:pPr>
              <w:jc w:val="center"/>
            </w:pPr>
            <w:r>
              <w:rPr>
                <w:rFonts w:ascii="宋体" w:hAnsi="宋体" w:eastAsia="宋体"/>
                <w:sz w:val="16"/>
              </w:rPr>
              <w:t>民丰县发展和改革委员会</w:t>
            </w:r>
          </w:p>
        </w:tc>
      </w:tr>
      <w:tr w14:paraId="1DD22F5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6330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EDC4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9F73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45B4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5F10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D2E7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0FA2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6FA9B">
            <w:pPr>
              <w:jc w:val="center"/>
            </w:pPr>
            <w:r>
              <w:rPr>
                <w:rFonts w:ascii="宋体" w:hAnsi="宋体" w:eastAsia="宋体"/>
                <w:sz w:val="16"/>
              </w:rPr>
              <w:t>得分</w:t>
            </w:r>
          </w:p>
        </w:tc>
      </w:tr>
      <w:tr w14:paraId="061C8D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B3F5A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45BB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94843">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52962">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101DC">
            <w:pPr>
              <w:jc w:val="center"/>
            </w:pPr>
            <w:r>
              <w:rPr>
                <w:rFonts w:ascii="宋体" w:hAnsi="宋体" w:eastAsia="宋体"/>
                <w:sz w:val="16"/>
              </w:rPr>
              <w:t>96.12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08E3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95939">
            <w:pPr>
              <w:jc w:val="center"/>
            </w:pPr>
            <w:r>
              <w:rPr>
                <w:rFonts w:ascii="宋体" w:hAnsi="宋体" w:eastAsia="宋体"/>
                <w:sz w:val="16"/>
              </w:rPr>
              <w:t xml:space="preserve">96.12%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2184D">
            <w:pPr>
              <w:jc w:val="center"/>
            </w:pPr>
            <w:r>
              <w:rPr>
                <w:rFonts w:ascii="宋体" w:hAnsi="宋体" w:eastAsia="宋体"/>
                <w:sz w:val="16"/>
              </w:rPr>
              <w:t>9.03分</w:t>
            </w:r>
          </w:p>
        </w:tc>
      </w:tr>
      <w:tr w14:paraId="0A3DD1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C4D77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005B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462C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D79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68A4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1431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BED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A2E26">
            <w:pPr>
              <w:jc w:val="center"/>
            </w:pPr>
            <w:r>
              <w:rPr>
                <w:rFonts w:ascii="宋体" w:hAnsi="宋体" w:eastAsia="宋体"/>
                <w:sz w:val="16"/>
              </w:rPr>
              <w:t>—</w:t>
            </w:r>
          </w:p>
        </w:tc>
      </w:tr>
      <w:tr w14:paraId="4B205A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E9910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5AEE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8CD1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188C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7860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39B3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072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31C51">
            <w:pPr>
              <w:jc w:val="center"/>
            </w:pPr>
            <w:r>
              <w:rPr>
                <w:rFonts w:ascii="宋体" w:hAnsi="宋体" w:eastAsia="宋体"/>
                <w:sz w:val="16"/>
              </w:rPr>
              <w:t>—</w:t>
            </w:r>
          </w:p>
        </w:tc>
      </w:tr>
      <w:tr w14:paraId="07A94A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00CB5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0F67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07E3E">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C2277">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2114E">
            <w:pPr>
              <w:jc w:val="center"/>
            </w:pPr>
            <w:r>
              <w:rPr>
                <w:rFonts w:ascii="宋体" w:hAnsi="宋体" w:eastAsia="宋体"/>
                <w:sz w:val="16"/>
              </w:rPr>
              <w:t>96.12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417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9E56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3F376">
            <w:pPr>
              <w:jc w:val="center"/>
            </w:pPr>
            <w:r>
              <w:rPr>
                <w:rFonts w:ascii="宋体" w:hAnsi="宋体" w:eastAsia="宋体"/>
                <w:sz w:val="16"/>
              </w:rPr>
              <w:t>—</w:t>
            </w:r>
          </w:p>
        </w:tc>
      </w:tr>
      <w:tr w14:paraId="5895CB6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E9AC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CF645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A3C3BF">
            <w:pPr>
              <w:jc w:val="center"/>
            </w:pPr>
            <w:r>
              <w:rPr>
                <w:rFonts w:ascii="宋体" w:hAnsi="宋体" w:eastAsia="宋体"/>
                <w:sz w:val="16"/>
              </w:rPr>
              <w:t>实际完成情况</w:t>
            </w:r>
          </w:p>
        </w:tc>
      </w:tr>
      <w:tr w14:paraId="144F5D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84427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91494E">
            <w:pPr>
              <w:jc w:val="both"/>
            </w:pPr>
            <w:r>
              <w:rPr>
                <w:rFonts w:ascii="宋体" w:hAnsi="宋体" w:eastAsia="宋体"/>
                <w:sz w:val="16"/>
              </w:rPr>
              <w:t>根据民发改字</w:t>
            </w:r>
            <w:r>
              <w:rPr>
                <w:rFonts w:hint="eastAsia" w:ascii="宋体" w:hAnsi="宋体"/>
                <w:sz w:val="16"/>
                <w:lang w:eastAsia="zh-CN"/>
              </w:rPr>
              <w:t>〔2024〕64号</w:t>
            </w:r>
            <w:r>
              <w:rPr>
                <w:rFonts w:ascii="宋体" w:hAnsi="宋体" w:eastAsia="宋体"/>
                <w:sz w:val="16"/>
              </w:rPr>
              <w:t>文件要求，实施本项目。主要内容：聘请一家第三方机构完成援疆项目第三方全过程跟踪服务及管理工作；中央预算内项目以及其他项目的全过程跟踪服务及管理工作。通过项目实施，有效提高援疆项目的实施效率和成果质量。</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332D0B">
            <w:pPr>
              <w:jc w:val="both"/>
            </w:pPr>
            <w:r>
              <w:rPr>
                <w:rFonts w:ascii="宋体" w:hAnsi="宋体" w:eastAsia="宋体"/>
                <w:sz w:val="16"/>
              </w:rPr>
              <w:t>已聘请一家第三方机构完成援疆项目第三方全过程跟踪服务及管理工作；中央预算内项目以及其他项目的全过程跟踪服务及管理工作。通过项目实施，有效提高援疆项目的实施效率和成果质量。</w:t>
            </w:r>
          </w:p>
        </w:tc>
      </w:tr>
      <w:tr w14:paraId="022C04A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9B570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A67A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DFEE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D2EE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B0A1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8600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3093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3424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5CE67">
            <w:pPr>
              <w:jc w:val="center"/>
            </w:pPr>
            <w:r>
              <w:rPr>
                <w:rFonts w:ascii="宋体" w:hAnsi="宋体" w:eastAsia="宋体"/>
                <w:sz w:val="16"/>
              </w:rPr>
              <w:t>偏差原因分析及改进措施</w:t>
            </w:r>
          </w:p>
        </w:tc>
      </w:tr>
      <w:tr w14:paraId="6D108C9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845D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F09FD">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3479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FC5DB">
            <w:pPr>
              <w:jc w:val="center"/>
            </w:pPr>
            <w:r>
              <w:rPr>
                <w:rFonts w:ascii="宋体" w:hAnsi="宋体" w:eastAsia="宋体"/>
                <w:sz w:val="16"/>
              </w:rPr>
              <w:t>聘请第三方数量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BE40E">
            <w:pPr>
              <w:jc w:val="center"/>
            </w:pPr>
            <w:r>
              <w:rPr>
                <w:rFonts w:ascii="宋体" w:hAnsi="宋体" w:eastAsia="宋体"/>
                <w:sz w:val="16"/>
              </w:rPr>
              <w:t>=3家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756A6">
            <w:pPr>
              <w:jc w:val="center"/>
            </w:pPr>
            <w:r>
              <w:rPr>
                <w:rFonts w:ascii="宋体" w:hAnsi="宋体" w:eastAsia="宋体"/>
                <w:sz w:val="16"/>
              </w:rPr>
              <w:t>=3家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6502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AE53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44744">
            <w:pPr>
              <w:jc w:val="center"/>
            </w:pPr>
          </w:p>
        </w:tc>
      </w:tr>
      <w:tr w14:paraId="34ACDE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7925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94579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98657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3A1C9">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F6AA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5E4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2B35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0D315">
            <w:pPr>
              <w:jc w:val="center"/>
            </w:pPr>
            <w:r>
              <w:rPr>
                <w:rFonts w:ascii="宋体" w:hAnsi="宋体" w:eastAsia="宋体"/>
                <w:sz w:val="16"/>
              </w:rPr>
              <w:t>7.27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BC8D6">
            <w:pPr>
              <w:jc w:val="center"/>
            </w:pPr>
            <w:r>
              <w:rPr>
                <w:rFonts w:ascii="宋体" w:hAnsi="宋体" w:eastAsia="宋体"/>
                <w:sz w:val="16"/>
              </w:rPr>
              <w:t>资金已按照项目实施要求使用，结余资金已</w:t>
            </w:r>
            <w:r>
              <w:rPr>
                <w:rFonts w:hint="eastAsia" w:ascii="宋体" w:hAnsi="宋体"/>
                <w:sz w:val="16"/>
                <w:lang w:eastAsia="zh-CN"/>
              </w:rPr>
              <w:t>上缴</w:t>
            </w:r>
            <w:r>
              <w:rPr>
                <w:rFonts w:ascii="宋体" w:hAnsi="宋体" w:eastAsia="宋体"/>
                <w:sz w:val="16"/>
              </w:rPr>
              <w:t>财政整合使用。</w:t>
            </w:r>
          </w:p>
        </w:tc>
      </w:tr>
      <w:tr w14:paraId="2637D1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81A7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EA6E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EAC2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D2C76">
            <w:pPr>
              <w:jc w:val="center"/>
            </w:pPr>
            <w:r>
              <w:rPr>
                <w:rFonts w:ascii="宋体" w:hAnsi="宋体" w:eastAsia="宋体"/>
                <w:sz w:val="16"/>
              </w:rPr>
              <w:t>服务投诉率（%）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140A1">
            <w:pPr>
              <w:jc w:val="center"/>
            </w:pPr>
            <w:r>
              <w:rPr>
                <w:rFonts w:ascii="宋体" w:hAnsi="宋体" w:eastAsia="宋体"/>
                <w:sz w:val="16"/>
              </w:rPr>
              <w:t>&lt;=3%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6004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2E83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2224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F44FB">
            <w:pPr>
              <w:jc w:val="center"/>
            </w:pPr>
          </w:p>
        </w:tc>
      </w:tr>
      <w:tr w14:paraId="0C80A0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9179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F5270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E78CD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A9866">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B7DA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B65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7D9D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986F7">
            <w:pPr>
              <w:jc w:val="center"/>
            </w:pPr>
            <w:r>
              <w:rPr>
                <w:rFonts w:ascii="宋体" w:hAnsi="宋体" w:eastAsia="宋体"/>
                <w:sz w:val="16"/>
              </w:rPr>
              <w:t>7.27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C0301">
            <w:pPr>
              <w:jc w:val="center"/>
            </w:pPr>
            <w:r>
              <w:rPr>
                <w:rFonts w:ascii="宋体" w:hAnsi="宋体" w:eastAsia="宋体"/>
                <w:sz w:val="16"/>
              </w:rPr>
              <w:t>资金已按照项目实施要求使用，结余资金已</w:t>
            </w:r>
            <w:r>
              <w:rPr>
                <w:rFonts w:hint="eastAsia" w:ascii="宋体" w:hAnsi="宋体"/>
                <w:sz w:val="16"/>
                <w:lang w:eastAsia="zh-CN"/>
              </w:rPr>
              <w:t>上缴</w:t>
            </w:r>
            <w:r>
              <w:rPr>
                <w:rFonts w:ascii="宋体" w:hAnsi="宋体" w:eastAsia="宋体"/>
                <w:sz w:val="16"/>
              </w:rPr>
              <w:t>财政整合使用。</w:t>
            </w:r>
          </w:p>
        </w:tc>
      </w:tr>
      <w:tr w14:paraId="74975E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47BB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10C9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6F1B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6F4EA">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FDA8D">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A70B3">
            <w:pPr>
              <w:jc w:val="center"/>
            </w:pPr>
            <w:r>
              <w:rPr>
                <w:rFonts w:ascii="宋体" w:hAnsi="宋体" w:eastAsia="宋体"/>
                <w:sz w:val="16"/>
              </w:rPr>
              <w:t>2024年11月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BE2E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47C8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7C52C">
            <w:pPr>
              <w:jc w:val="center"/>
            </w:pPr>
          </w:p>
        </w:tc>
      </w:tr>
      <w:tr w14:paraId="28F2D5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6014E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C8D1AA">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0F8DC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B1154">
            <w:pPr>
              <w:jc w:val="center"/>
            </w:pPr>
            <w:r>
              <w:rPr>
                <w:rFonts w:ascii="宋体" w:hAnsi="宋体" w:eastAsia="宋体"/>
                <w:sz w:val="16"/>
              </w:rPr>
              <w:t>支付第三方管理服务费用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8A3A9">
            <w:pPr>
              <w:jc w:val="center"/>
            </w:pPr>
            <w:r>
              <w:rPr>
                <w:rFonts w:ascii="宋体" w:hAnsi="宋体" w:eastAsia="宋体"/>
                <w:sz w:val="16"/>
              </w:rPr>
              <w:t>&lt;=96.13万元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E5FF2">
            <w:pPr>
              <w:jc w:val="center"/>
            </w:pPr>
            <w:r>
              <w:rPr>
                <w:rFonts w:ascii="宋体" w:hAnsi="宋体" w:eastAsia="宋体"/>
                <w:sz w:val="16"/>
              </w:rPr>
              <w:t>=94.32万元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1BDF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0560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F80DC">
            <w:pPr>
              <w:jc w:val="center"/>
            </w:pPr>
          </w:p>
        </w:tc>
      </w:tr>
      <w:tr w14:paraId="0C09AB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0BAD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CD5F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21F1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1671D">
            <w:pPr>
              <w:jc w:val="center"/>
            </w:pPr>
            <w:r>
              <w:rPr>
                <w:rFonts w:ascii="宋体" w:hAnsi="宋体" w:eastAsia="宋体"/>
                <w:sz w:val="16"/>
              </w:rPr>
              <w:t>其他费用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3B6E5">
            <w:pPr>
              <w:jc w:val="center"/>
            </w:pPr>
            <w:r>
              <w:rPr>
                <w:rFonts w:ascii="宋体" w:hAnsi="宋体" w:eastAsia="宋体"/>
                <w:sz w:val="16"/>
              </w:rPr>
              <w:t>&lt;=2.88万元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8B3C1">
            <w:pPr>
              <w:jc w:val="center"/>
            </w:pPr>
            <w:r>
              <w:rPr>
                <w:rFonts w:ascii="宋体" w:hAnsi="宋体" w:eastAsia="宋体"/>
                <w:sz w:val="16"/>
              </w:rPr>
              <w:t>=1.8万元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5A02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1E90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ABC4A">
            <w:pPr>
              <w:jc w:val="center"/>
            </w:pPr>
          </w:p>
        </w:tc>
      </w:tr>
      <w:tr w14:paraId="4BAC38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5EA69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023A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BE3B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59317">
            <w:pPr>
              <w:jc w:val="center"/>
            </w:pPr>
            <w:r>
              <w:rPr>
                <w:rFonts w:ascii="宋体" w:hAnsi="宋体" w:eastAsia="宋体"/>
                <w:sz w:val="16"/>
              </w:rPr>
              <w:t>预备费用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12CC5">
            <w:pPr>
              <w:jc w:val="center"/>
            </w:pPr>
            <w:r>
              <w:rPr>
                <w:rFonts w:ascii="宋体" w:hAnsi="宋体" w:eastAsia="宋体"/>
                <w:sz w:val="16"/>
              </w:rPr>
              <w:t>&lt;=0.99万元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F5586">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C1C0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7454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3D596">
            <w:pPr>
              <w:jc w:val="center"/>
            </w:pPr>
            <w:r>
              <w:rPr>
                <w:rFonts w:ascii="宋体" w:hAnsi="宋体" w:eastAsia="宋体"/>
                <w:sz w:val="16"/>
              </w:rPr>
              <w:t>资金已按照项目实施要求使用，结余资金已</w:t>
            </w:r>
            <w:r>
              <w:rPr>
                <w:rFonts w:hint="eastAsia" w:ascii="宋体" w:hAnsi="宋体"/>
                <w:sz w:val="16"/>
                <w:lang w:eastAsia="zh-CN"/>
              </w:rPr>
              <w:t>上缴</w:t>
            </w:r>
            <w:r>
              <w:rPr>
                <w:rFonts w:ascii="宋体" w:hAnsi="宋体" w:eastAsia="宋体"/>
                <w:sz w:val="16"/>
              </w:rPr>
              <w:t>财政整合使用。</w:t>
            </w:r>
          </w:p>
        </w:tc>
      </w:tr>
      <w:tr w14:paraId="5A31A5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A6DA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9990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539C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318A3">
            <w:pPr>
              <w:jc w:val="center"/>
            </w:pPr>
            <w:r>
              <w:rPr>
                <w:rFonts w:ascii="宋体" w:hAnsi="宋体" w:eastAsia="宋体"/>
                <w:sz w:val="16"/>
              </w:rPr>
              <w:t>提高援疆项目的实施效率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FE639">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AC55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E8B5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001E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03C12">
            <w:pPr>
              <w:jc w:val="center"/>
            </w:pPr>
          </w:p>
        </w:tc>
      </w:tr>
      <w:tr w14:paraId="0A6422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A08E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85F0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A82A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5873D">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4490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1DA1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5727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EAA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9042E">
            <w:pPr>
              <w:jc w:val="center"/>
            </w:pPr>
          </w:p>
        </w:tc>
      </w:tr>
      <w:tr w14:paraId="567D243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29F4C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DD87D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7D6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B3477">
            <w:pPr>
              <w:jc w:val="center"/>
            </w:pPr>
            <w:r>
              <w:rPr>
                <w:rFonts w:ascii="宋体" w:hAnsi="宋体" w:eastAsia="宋体"/>
                <w:sz w:val="16"/>
              </w:rPr>
              <w:t>97.57分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45DE2FC"/>
        </w:tc>
      </w:tr>
    </w:tbl>
    <w:p w14:paraId="6A98A9F0">
      <w:r>
        <w:br w:type="page"/>
      </w:r>
    </w:p>
    <w:p w14:paraId="755E8833">
      <w:pPr>
        <w:spacing w:line="640" w:lineRule="exact"/>
        <w:ind w:firstLine="640"/>
        <w:jc w:val="both"/>
        <w:outlineLvl w:val="2"/>
      </w:pPr>
      <w:r>
        <w:rPr>
          <w:rFonts w:ascii="黑体" w:hAnsi="黑体" w:eastAsia="黑体"/>
          <w:sz w:val="32"/>
        </w:rPr>
        <w:t>十二、其他需说明的事项</w:t>
      </w:r>
    </w:p>
    <w:p w14:paraId="62E304D9">
      <w:pPr>
        <w:spacing w:line="580" w:lineRule="exact"/>
        <w:ind w:firstLine="640"/>
        <w:jc w:val="both"/>
      </w:pPr>
      <w:r>
        <w:rPr>
          <w:rFonts w:ascii="仿宋_GB2312" w:hAnsi="仿宋_GB2312" w:eastAsia="仿宋_GB2312"/>
          <w:b w:val="0"/>
          <w:sz w:val="32"/>
        </w:rPr>
        <w:t>本单位无其他需说明的事项。</w:t>
      </w:r>
    </w:p>
    <w:p w14:paraId="4A36A102">
      <w:r>
        <w:br w:type="page"/>
      </w:r>
    </w:p>
    <w:p w14:paraId="1645727E">
      <w:pPr>
        <w:spacing w:line="240" w:lineRule="auto"/>
        <w:jc w:val="center"/>
        <w:outlineLvl w:val="1"/>
      </w:pPr>
      <w:r>
        <w:rPr>
          <w:rFonts w:ascii="黑体" w:hAnsi="黑体" w:eastAsia="黑体"/>
          <w:sz w:val="32"/>
        </w:rPr>
        <w:t>第三部分 专业名词解释</w:t>
      </w:r>
    </w:p>
    <w:p w14:paraId="158ACD5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D0FFE7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D12AC8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DC4911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DE5543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227DC4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8A68B9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E8F387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764B3C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FE683C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47384C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351BF5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6CE0B8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A1B985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53BD790">
      <w:r>
        <w:br w:type="page"/>
      </w:r>
    </w:p>
    <w:p w14:paraId="321DDC3C">
      <w:pPr>
        <w:spacing w:line="240" w:lineRule="auto"/>
        <w:jc w:val="center"/>
        <w:outlineLvl w:val="1"/>
      </w:pPr>
      <w:r>
        <w:rPr>
          <w:rFonts w:ascii="黑体" w:hAnsi="黑体" w:eastAsia="黑体"/>
          <w:sz w:val="32"/>
        </w:rPr>
        <w:t>第四部分 部门决算报表（见附表）</w:t>
      </w:r>
    </w:p>
    <w:p w14:paraId="721D585C">
      <w:pPr>
        <w:spacing w:line="240" w:lineRule="auto"/>
        <w:ind w:firstLine="640"/>
        <w:jc w:val="both"/>
      </w:pPr>
      <w:r>
        <w:rPr>
          <w:rFonts w:ascii="仿宋_GB2312" w:hAnsi="仿宋_GB2312" w:eastAsia="仿宋_GB2312"/>
          <w:b w:val="0"/>
          <w:sz w:val="32"/>
        </w:rPr>
        <w:t>一、《收入支出决算总表》</w:t>
      </w:r>
    </w:p>
    <w:p w14:paraId="64A6090B">
      <w:pPr>
        <w:spacing w:line="240" w:lineRule="auto"/>
        <w:ind w:firstLine="640"/>
        <w:jc w:val="both"/>
      </w:pPr>
      <w:r>
        <w:rPr>
          <w:rFonts w:ascii="仿宋_GB2312" w:hAnsi="仿宋_GB2312" w:eastAsia="仿宋_GB2312"/>
          <w:b w:val="0"/>
          <w:sz w:val="32"/>
        </w:rPr>
        <w:t>二、《收入决算表》</w:t>
      </w:r>
    </w:p>
    <w:p w14:paraId="1B1DA5A2">
      <w:pPr>
        <w:spacing w:line="240" w:lineRule="auto"/>
        <w:ind w:firstLine="640"/>
        <w:jc w:val="both"/>
      </w:pPr>
      <w:r>
        <w:rPr>
          <w:rFonts w:ascii="仿宋_GB2312" w:hAnsi="仿宋_GB2312" w:eastAsia="仿宋_GB2312"/>
          <w:b w:val="0"/>
          <w:sz w:val="32"/>
        </w:rPr>
        <w:t>三、《支出决算表》</w:t>
      </w:r>
    </w:p>
    <w:p w14:paraId="74C3E40A">
      <w:pPr>
        <w:spacing w:line="240" w:lineRule="auto"/>
        <w:ind w:firstLine="640"/>
        <w:jc w:val="both"/>
      </w:pPr>
      <w:r>
        <w:rPr>
          <w:rFonts w:ascii="仿宋_GB2312" w:hAnsi="仿宋_GB2312" w:eastAsia="仿宋_GB2312"/>
          <w:b w:val="0"/>
          <w:sz w:val="32"/>
        </w:rPr>
        <w:t>四、《财政拨款收入支出决算总表》</w:t>
      </w:r>
    </w:p>
    <w:p w14:paraId="5558236C">
      <w:pPr>
        <w:spacing w:line="240" w:lineRule="auto"/>
        <w:ind w:firstLine="640"/>
        <w:jc w:val="both"/>
      </w:pPr>
      <w:r>
        <w:rPr>
          <w:rFonts w:ascii="仿宋_GB2312" w:hAnsi="仿宋_GB2312" w:eastAsia="仿宋_GB2312"/>
          <w:b w:val="0"/>
          <w:sz w:val="32"/>
        </w:rPr>
        <w:t>五、《一般公共预算财政拨款支出决算表》</w:t>
      </w:r>
    </w:p>
    <w:p w14:paraId="1C37F0B5">
      <w:pPr>
        <w:spacing w:line="240" w:lineRule="auto"/>
        <w:ind w:firstLine="640"/>
        <w:jc w:val="both"/>
      </w:pPr>
      <w:r>
        <w:rPr>
          <w:rFonts w:ascii="仿宋_GB2312" w:hAnsi="仿宋_GB2312" w:eastAsia="仿宋_GB2312"/>
          <w:b w:val="0"/>
          <w:sz w:val="32"/>
        </w:rPr>
        <w:t>六、《一般公共预算财政拨款基本支出决算表》</w:t>
      </w:r>
    </w:p>
    <w:p w14:paraId="628999CB">
      <w:pPr>
        <w:spacing w:line="240" w:lineRule="auto"/>
        <w:ind w:firstLine="640"/>
        <w:jc w:val="both"/>
      </w:pPr>
      <w:r>
        <w:rPr>
          <w:rFonts w:ascii="仿宋_GB2312" w:hAnsi="仿宋_GB2312" w:eastAsia="仿宋_GB2312"/>
          <w:b w:val="0"/>
          <w:sz w:val="32"/>
        </w:rPr>
        <w:t>七、《政府性基金预算财政拨款收入支出决算表》</w:t>
      </w:r>
    </w:p>
    <w:p w14:paraId="135479E5">
      <w:pPr>
        <w:spacing w:line="240" w:lineRule="auto"/>
        <w:ind w:firstLine="640"/>
        <w:jc w:val="both"/>
      </w:pPr>
      <w:r>
        <w:rPr>
          <w:rFonts w:ascii="仿宋_GB2312" w:hAnsi="仿宋_GB2312" w:eastAsia="仿宋_GB2312"/>
          <w:b w:val="0"/>
          <w:sz w:val="32"/>
        </w:rPr>
        <w:t>八、《国有资本经营预算财政拨款收入支出决算表》</w:t>
      </w:r>
    </w:p>
    <w:p w14:paraId="39F9A93A">
      <w:pPr>
        <w:spacing w:line="240" w:lineRule="auto"/>
        <w:ind w:firstLine="640"/>
        <w:jc w:val="both"/>
      </w:pPr>
      <w:r>
        <w:rPr>
          <w:rFonts w:ascii="仿宋_GB2312" w:hAnsi="仿宋_GB2312" w:eastAsia="仿宋_GB2312"/>
          <w:b w:val="0"/>
          <w:sz w:val="32"/>
        </w:rPr>
        <w:t>九、《财政拨款“三公”经费支出决算表》</w:t>
      </w:r>
    </w:p>
    <w:p w14:paraId="4FCC2CA0">
      <w:pPr>
        <w:spacing w:line="240" w:lineRule="auto"/>
        <w:ind w:firstLine="640"/>
        <w:jc w:val="both"/>
      </w:pPr>
    </w:p>
    <w:p w14:paraId="43375223">
      <w:pPr>
        <w:spacing w:line="240" w:lineRule="auto"/>
        <w:ind w:firstLine="640"/>
        <w:jc w:val="both"/>
      </w:pPr>
    </w:p>
    <w:p w14:paraId="62B03957">
      <w:pPr>
        <w:spacing w:line="240" w:lineRule="auto"/>
        <w:ind w:firstLine="640"/>
        <w:jc w:val="both"/>
      </w:pPr>
    </w:p>
    <w:p w14:paraId="58D8ECBF">
      <w:pPr>
        <w:spacing w:line="240" w:lineRule="auto"/>
        <w:ind w:firstLine="640"/>
        <w:jc w:val="both"/>
      </w:pPr>
    </w:p>
    <w:p w14:paraId="719206C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994EE8"/>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3F5DE2"/>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9687</Words>
  <Characters>10807</Characters>
  <Lines>0</Lines>
  <Paragraphs>0</Paragraphs>
  <TotalTime>17</TotalTime>
  <ScaleCrop>false</ScaleCrop>
  <LinksUpToDate>false</LinksUpToDate>
  <CharactersWithSpaces>10837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2025-09-25T05:11:44Z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