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FF13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民丰县医疗保障局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5ECD9C">
      <w:r>
        <w:br w:type="page"/>
      </w:r>
    </w:p>
    <w:p w14:paraId="13B9D49B">
      <w:pPr>
        <w:spacing w:line="640" w:lineRule="exact"/>
        <w:jc w:val="center"/>
        <w:outlineLvl w:val="1"/>
      </w:pPr>
      <w:r>
        <w:rPr>
          <w:rFonts w:ascii="黑体" w:hAnsi="黑体" w:eastAsia="黑体"/>
          <w:sz w:val="32"/>
        </w:rPr>
        <w:t>第一部分 单位概况</w:t>
      </w:r>
    </w:p>
    <w:p w14:paraId="071FA7FE">
      <w:pPr>
        <w:spacing w:line="640" w:lineRule="exact"/>
        <w:ind w:firstLine="640"/>
        <w:jc w:val="both"/>
        <w:outlineLvl w:val="2"/>
      </w:pPr>
      <w:r>
        <w:rPr>
          <w:rFonts w:ascii="黑体" w:hAnsi="黑体" w:eastAsia="黑体"/>
          <w:sz w:val="32"/>
        </w:rPr>
        <w:t>一、主要职能</w:t>
      </w:r>
    </w:p>
    <w:p w14:paraId="3AC07517">
      <w:pPr>
        <w:spacing w:line="580" w:lineRule="exact"/>
        <w:ind w:firstLine="640"/>
        <w:jc w:val="both"/>
      </w:pPr>
      <w:r>
        <w:rPr>
          <w:rFonts w:ascii="仿宋_GB2312" w:hAnsi="仿宋_GB2312" w:eastAsia="仿宋_GB2312"/>
          <w:sz w:val="32"/>
        </w:rPr>
        <w:t>民丰县医保局是根据党的十九届三中全会审议通过的《中共中央关于深化党和国家机构改革的决定》2019年3月份新成立的单位；主要负责药品（含中药，民族药），医疗器械安全监督管理，负责药品，医疗器械标准管理，组织制定，公布国家药典等药品，医疗器械标准，组织制定分类管理制度，并监督实施，负责药品，医疗器械注册管理，制定注册管理制度，严格上市审评审批，完善审评审批服务便利化措施，并组织实施，负责药品，医疗器械质量管理，制定研制质量管理规范并监督实施，负责执业药师资格准入管理制定执业药师资格准入制度，指导监督执业药师注册工作，负责组织指导药品，医疗器械监督检查，依法查处药品，医疗器械注册环节的违法行为，完成党中央交办的其他任务等工作。</w:t>
      </w:r>
    </w:p>
    <w:p w14:paraId="6A47B108">
      <w:pPr>
        <w:spacing w:line="640" w:lineRule="exact"/>
        <w:ind w:firstLine="640"/>
        <w:jc w:val="both"/>
        <w:outlineLvl w:val="2"/>
      </w:pPr>
      <w:r>
        <w:rPr>
          <w:rFonts w:ascii="黑体" w:hAnsi="黑体" w:eastAsia="黑体"/>
          <w:sz w:val="32"/>
        </w:rPr>
        <w:t>二、机构设置及人员情况</w:t>
      </w:r>
    </w:p>
    <w:p w14:paraId="323FF74E">
      <w:pPr>
        <w:spacing w:line="580" w:lineRule="exact"/>
        <w:ind w:firstLine="640"/>
        <w:jc w:val="both"/>
      </w:pPr>
      <w:r>
        <w:rPr>
          <w:rFonts w:ascii="仿宋_GB2312" w:hAnsi="仿宋_GB2312" w:eastAsia="仿宋_GB2312"/>
          <w:sz w:val="32"/>
        </w:rPr>
        <w:t>民丰县医疗保障局2024年度，实有人数14人，其中：在职人员12人，增加0人；离休人员0人，增加0人；退休人员2人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485AC756">
      <w:pPr>
        <w:spacing w:line="580" w:lineRule="exact"/>
        <w:ind w:firstLine="640"/>
        <w:jc w:val="both"/>
      </w:pPr>
      <w:r>
        <w:rPr>
          <w:rFonts w:ascii="仿宋_GB2312" w:hAnsi="仿宋_GB2312" w:eastAsia="仿宋_GB2312"/>
          <w:sz w:val="32"/>
        </w:rPr>
        <w:t>民丰县医疗保障局无下属预算单位，下设5个科室，分别是：办公室、财务室、业务科、基金监管科、药品审核科。</w:t>
      </w:r>
    </w:p>
    <w:p w14:paraId="6876F98D">
      <w:r>
        <w:br w:type="page"/>
      </w:r>
    </w:p>
    <w:p w14:paraId="7BAE06BD">
      <w:pPr>
        <w:spacing w:line="240" w:lineRule="auto"/>
        <w:jc w:val="center"/>
        <w:outlineLvl w:val="1"/>
      </w:pPr>
      <w:r>
        <w:rPr>
          <w:rFonts w:ascii="黑体" w:hAnsi="黑体" w:eastAsia="黑体"/>
          <w:sz w:val="32"/>
        </w:rPr>
        <w:t>第二部分 部门决算情况说明</w:t>
      </w:r>
    </w:p>
    <w:p w14:paraId="5773443D">
      <w:pPr>
        <w:spacing w:line="640" w:lineRule="exact"/>
        <w:ind w:firstLine="640"/>
        <w:jc w:val="both"/>
        <w:outlineLvl w:val="2"/>
      </w:pPr>
      <w:r>
        <w:rPr>
          <w:rFonts w:ascii="黑体" w:hAnsi="黑体" w:eastAsia="黑体"/>
          <w:sz w:val="32"/>
        </w:rPr>
        <w:t>一、收入支出决算总体情况说明</w:t>
      </w:r>
    </w:p>
    <w:p w14:paraId="2C4A5251">
      <w:pPr>
        <w:spacing w:line="580" w:lineRule="exact"/>
        <w:ind w:firstLine="640"/>
        <w:jc w:val="both"/>
      </w:pPr>
      <w:r>
        <w:rPr>
          <w:rFonts w:ascii="仿宋_GB2312" w:hAnsi="仿宋_GB2312" w:eastAsia="仿宋_GB2312"/>
          <w:b/>
          <w:sz w:val="32"/>
        </w:rPr>
        <w:t>2024年度收入总计279.08万元，</w:t>
      </w:r>
      <w:r>
        <w:rPr>
          <w:rFonts w:ascii="仿宋_GB2312" w:hAnsi="仿宋_GB2312" w:eastAsia="仿宋_GB2312"/>
          <w:b w:val="0"/>
          <w:sz w:val="32"/>
        </w:rPr>
        <w:t>其中：本年收入合计279.08万元，使用非财政拨款结余（含专用结余）0.00万元，年初结转和结余0.00万元。</w:t>
      </w:r>
    </w:p>
    <w:p w14:paraId="6750DDB6">
      <w:pPr>
        <w:spacing w:line="580" w:lineRule="exact"/>
        <w:ind w:firstLine="640"/>
        <w:jc w:val="both"/>
      </w:pPr>
      <w:r>
        <w:rPr>
          <w:rFonts w:ascii="仿宋_GB2312" w:hAnsi="仿宋_GB2312" w:eastAsia="仿宋_GB2312"/>
          <w:b/>
          <w:sz w:val="32"/>
        </w:rPr>
        <w:t>2024年度支出总计279.08万元，</w:t>
      </w:r>
      <w:r>
        <w:rPr>
          <w:rFonts w:ascii="仿宋_GB2312" w:hAnsi="仿宋_GB2312" w:eastAsia="仿宋_GB2312"/>
          <w:b w:val="0"/>
          <w:sz w:val="32"/>
        </w:rPr>
        <w:t>其中：本年支出合计279.08万元，结余分配0.00万元，年末结转和结余0.00万元。</w:t>
      </w:r>
    </w:p>
    <w:p w14:paraId="428D4939">
      <w:pPr>
        <w:spacing w:line="580" w:lineRule="exact"/>
        <w:ind w:firstLine="640"/>
        <w:jc w:val="both"/>
      </w:pPr>
      <w:r>
        <w:rPr>
          <w:rFonts w:ascii="仿宋_GB2312" w:hAnsi="仿宋_GB2312" w:eastAsia="仿宋_GB2312"/>
          <w:b w:val="0"/>
          <w:sz w:val="32"/>
        </w:rPr>
        <w:t>收入支出总体与上年相比，减少17.39万元，下降5.87%，主要原因是：中央能力提升和服务补助经费项目，为民办实事工作经费项目资金较上年减少。</w:t>
      </w:r>
    </w:p>
    <w:p w14:paraId="0C6DF280">
      <w:pPr>
        <w:spacing w:line="640" w:lineRule="exact"/>
        <w:ind w:firstLine="640"/>
        <w:jc w:val="both"/>
        <w:outlineLvl w:val="2"/>
      </w:pPr>
      <w:r>
        <w:rPr>
          <w:rFonts w:ascii="黑体" w:hAnsi="黑体" w:eastAsia="黑体"/>
          <w:sz w:val="32"/>
        </w:rPr>
        <w:t>二、收入决算情况说明</w:t>
      </w:r>
    </w:p>
    <w:p w14:paraId="6EF54668">
      <w:pPr>
        <w:spacing w:line="580" w:lineRule="exact"/>
        <w:ind w:firstLine="640"/>
        <w:jc w:val="both"/>
      </w:pPr>
      <w:r>
        <w:rPr>
          <w:rFonts w:ascii="仿宋_GB2312" w:hAnsi="仿宋_GB2312" w:eastAsia="仿宋_GB2312"/>
          <w:b/>
          <w:sz w:val="32"/>
        </w:rPr>
        <w:t>本年收入279.08万元，</w:t>
      </w:r>
      <w:r>
        <w:rPr>
          <w:rFonts w:ascii="仿宋_GB2312" w:hAnsi="仿宋_GB2312" w:eastAsia="仿宋_GB2312"/>
          <w:b w:val="0"/>
          <w:sz w:val="32"/>
        </w:rPr>
        <w:t>其中：财政拨款收入278.53万元，占99.80%；上级补助收入0.00万元，占0.00%；事业收入0.00万元，占0.00%；经营收入0.00万元，占0.00%；附属单位上缴收入0.00万元，占0.00%；其他收入0.55万元，占0.20%。</w:t>
      </w:r>
    </w:p>
    <w:p w14:paraId="6A16C717">
      <w:pPr>
        <w:spacing w:line="640" w:lineRule="exact"/>
        <w:ind w:firstLine="640"/>
        <w:jc w:val="both"/>
        <w:outlineLvl w:val="2"/>
      </w:pPr>
      <w:r>
        <w:rPr>
          <w:rFonts w:ascii="黑体" w:hAnsi="黑体" w:eastAsia="黑体"/>
          <w:sz w:val="32"/>
        </w:rPr>
        <w:t>三、支出决算情况说明</w:t>
      </w:r>
    </w:p>
    <w:p w14:paraId="1664158B">
      <w:pPr>
        <w:spacing w:line="580" w:lineRule="exact"/>
        <w:ind w:firstLine="640"/>
        <w:jc w:val="both"/>
      </w:pPr>
      <w:r>
        <w:rPr>
          <w:rFonts w:ascii="仿宋_GB2312" w:hAnsi="仿宋_GB2312" w:eastAsia="仿宋_GB2312"/>
          <w:b/>
          <w:sz w:val="32"/>
        </w:rPr>
        <w:t>本年支出279.08万元，</w:t>
      </w:r>
      <w:r>
        <w:rPr>
          <w:rFonts w:ascii="仿宋_GB2312" w:hAnsi="仿宋_GB2312" w:eastAsia="仿宋_GB2312"/>
          <w:b w:val="0"/>
          <w:sz w:val="32"/>
        </w:rPr>
        <w:t>其中：基本支出276.59万元，占99.11%；项目支出2.49万元，占0.89%；上缴上级支出0.00万元，占0.00%；经营支出0.00万元，占0.00%；对附属单位补助支出0.00万元，占0.00%。</w:t>
      </w:r>
    </w:p>
    <w:p w14:paraId="2D1A572A">
      <w:pPr>
        <w:spacing w:line="640" w:lineRule="exact"/>
        <w:ind w:firstLine="640"/>
        <w:jc w:val="both"/>
        <w:outlineLvl w:val="2"/>
      </w:pPr>
      <w:r>
        <w:rPr>
          <w:rFonts w:ascii="黑体" w:hAnsi="黑体" w:eastAsia="黑体"/>
          <w:sz w:val="32"/>
        </w:rPr>
        <w:t>四、财政拨款收入支出决算总体情况说明</w:t>
      </w:r>
    </w:p>
    <w:p w14:paraId="533D0C9D">
      <w:pPr>
        <w:spacing w:line="580" w:lineRule="exact"/>
        <w:ind w:firstLine="640"/>
        <w:jc w:val="both"/>
      </w:pPr>
      <w:r>
        <w:rPr>
          <w:rFonts w:ascii="仿宋_GB2312" w:hAnsi="仿宋_GB2312" w:eastAsia="仿宋_GB2312"/>
          <w:b/>
          <w:sz w:val="32"/>
        </w:rPr>
        <w:t>2024年度财政拨款收入总计278.53万元，</w:t>
      </w:r>
      <w:r>
        <w:rPr>
          <w:rFonts w:ascii="仿宋_GB2312" w:hAnsi="仿宋_GB2312" w:eastAsia="仿宋_GB2312"/>
          <w:b w:val="0"/>
          <w:sz w:val="32"/>
        </w:rPr>
        <w:t>其中：年初财政拨款结转和结余0.00万元，本年财政拨款收入278.53万元。</w:t>
      </w:r>
      <w:r>
        <w:rPr>
          <w:rFonts w:ascii="仿宋_GB2312" w:hAnsi="仿宋_GB2312" w:eastAsia="仿宋_GB2312"/>
          <w:b/>
          <w:sz w:val="32"/>
        </w:rPr>
        <w:t>财政拨款支出总计278.53万元，</w:t>
      </w:r>
      <w:r>
        <w:rPr>
          <w:rFonts w:ascii="仿宋_GB2312" w:hAnsi="仿宋_GB2312" w:eastAsia="仿宋_GB2312"/>
          <w:b w:val="0"/>
          <w:sz w:val="32"/>
        </w:rPr>
        <w:t>其中：年末财政拨款结转和结余0.00万元，本年财政拨款支出278.53万元。</w:t>
      </w:r>
    </w:p>
    <w:p w14:paraId="0AC1328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减少17.93万元，下降6.05%，主要原因是：中央能力提升和服务补助经费项目，为民办实事工作经费项目资金较上年减少。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年初预算数295.62万元，决算数278.53万元，预决算差异率-5.78%，主要原因是：严格落实中央八项规定精神，厉行节约，减少不必要的开支。</w:t>
      </w:r>
    </w:p>
    <w:p w14:paraId="1B7143D1">
      <w:pPr>
        <w:spacing w:line="640" w:lineRule="exact"/>
        <w:ind w:firstLine="640"/>
        <w:jc w:val="both"/>
        <w:outlineLvl w:val="2"/>
      </w:pPr>
      <w:r>
        <w:rPr>
          <w:rFonts w:ascii="黑体" w:hAnsi="黑体" w:eastAsia="黑体"/>
          <w:sz w:val="32"/>
        </w:rPr>
        <w:t>五、一般公共预算财政拨款支出决算情况说明</w:t>
      </w:r>
    </w:p>
    <w:p w14:paraId="6B9C2366">
      <w:pPr>
        <w:spacing w:line="640" w:lineRule="exact"/>
        <w:ind w:firstLine="640"/>
        <w:jc w:val="both"/>
        <w:outlineLvl w:val="3"/>
      </w:pPr>
      <w:r>
        <w:rPr>
          <w:rFonts w:ascii="楷体_GB2312" w:hAnsi="楷体_GB2312" w:eastAsia="楷体_GB2312"/>
          <w:b/>
          <w:sz w:val="32"/>
        </w:rPr>
        <w:t>（一）一般公共预算财政拨款支出决算总体情况</w:t>
      </w:r>
    </w:p>
    <w:p w14:paraId="26BC8732">
      <w:pPr>
        <w:spacing w:line="580" w:lineRule="exact"/>
        <w:ind w:firstLine="640"/>
        <w:jc w:val="both"/>
      </w:pPr>
      <w:r>
        <w:rPr>
          <w:rFonts w:ascii="仿宋_GB2312" w:hAnsi="仿宋_GB2312" w:eastAsia="仿宋_GB2312"/>
          <w:b/>
          <w:sz w:val="32"/>
        </w:rPr>
        <w:t>2024年度一般公共预算财政拨款支出278.53万元，</w:t>
      </w:r>
      <w:r>
        <w:rPr>
          <w:rFonts w:ascii="仿宋_GB2312" w:hAnsi="仿宋_GB2312" w:eastAsia="仿宋_GB2312"/>
          <w:b w:val="0"/>
          <w:sz w:val="32"/>
        </w:rPr>
        <w:t>占本年支出合计的99.80%。</w:t>
      </w:r>
      <w:r>
        <w:rPr>
          <w:rFonts w:ascii="仿宋_GB2312" w:hAnsi="仿宋_GB2312" w:eastAsia="仿宋_GB2312"/>
          <w:b/>
          <w:sz w:val="32"/>
        </w:rPr>
        <w:t>与上年相比，</w:t>
      </w:r>
      <w:r>
        <w:rPr>
          <w:rFonts w:ascii="仿宋_GB2312" w:hAnsi="仿宋_GB2312" w:eastAsia="仿宋_GB2312"/>
          <w:b w:val="0"/>
          <w:sz w:val="32"/>
        </w:rPr>
        <w:t>减少17.93万元，下降6.05%，主要原因是：中央能力提升和服务补助经费项目，为民办实事工作经费项目资金较上年减少。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年初预算数295.62万元，决算数278.53万元，预决算差异率-5.78%，主要原因是：严格落实中央八项规定精神，厉行节约，减少不必要的开支。</w:t>
      </w:r>
    </w:p>
    <w:p w14:paraId="63EA3E36">
      <w:pPr>
        <w:spacing w:line="640" w:lineRule="exact"/>
        <w:ind w:firstLine="640"/>
        <w:jc w:val="both"/>
        <w:outlineLvl w:val="3"/>
      </w:pPr>
      <w:r>
        <w:rPr>
          <w:rFonts w:ascii="楷体_GB2312" w:hAnsi="楷体_GB2312" w:eastAsia="楷体_GB2312"/>
          <w:b/>
          <w:sz w:val="32"/>
        </w:rPr>
        <w:t>（二）一般公共预算财政拨款支出决算结构情况</w:t>
      </w:r>
    </w:p>
    <w:p w14:paraId="0EF1B333">
      <w:pPr>
        <w:spacing w:line="580" w:lineRule="exact"/>
        <w:ind w:firstLine="640"/>
        <w:jc w:val="both"/>
      </w:pPr>
      <w:r>
        <w:rPr>
          <w:rFonts w:ascii="仿宋_GB2312" w:hAnsi="仿宋_GB2312" w:eastAsia="仿宋_GB2312"/>
          <w:b w:val="0"/>
          <w:sz w:val="32"/>
        </w:rPr>
        <w:t>1.社会保障和就业支出(类)42.51万元,占15.26%。</w:t>
      </w:r>
    </w:p>
    <w:p w14:paraId="368184AE">
      <w:pPr>
        <w:spacing w:line="580" w:lineRule="exact"/>
        <w:ind w:firstLine="640"/>
        <w:jc w:val="both"/>
      </w:pPr>
      <w:r>
        <w:rPr>
          <w:rFonts w:ascii="仿宋_GB2312" w:hAnsi="仿宋_GB2312" w:eastAsia="仿宋_GB2312"/>
          <w:b w:val="0"/>
          <w:sz w:val="32"/>
        </w:rPr>
        <w:t>2.卫生健康支出(类)216.92万元,占77.88%。</w:t>
      </w:r>
    </w:p>
    <w:p w14:paraId="670D679D">
      <w:pPr>
        <w:spacing w:line="580" w:lineRule="exact"/>
        <w:ind w:firstLine="640"/>
        <w:jc w:val="both"/>
      </w:pPr>
      <w:r>
        <w:rPr>
          <w:rFonts w:ascii="仿宋_GB2312" w:hAnsi="仿宋_GB2312" w:eastAsia="仿宋_GB2312"/>
          <w:b w:val="0"/>
          <w:sz w:val="32"/>
        </w:rPr>
        <w:t>3.住房保障支出(类)19.10万元,占6.86%。</w:t>
      </w:r>
    </w:p>
    <w:p w14:paraId="3F2446A4">
      <w:pPr>
        <w:spacing w:line="640" w:lineRule="exact"/>
        <w:ind w:firstLine="640"/>
        <w:jc w:val="both"/>
        <w:outlineLvl w:val="3"/>
      </w:pPr>
      <w:r>
        <w:rPr>
          <w:rFonts w:ascii="楷体_GB2312" w:hAnsi="楷体_GB2312" w:eastAsia="楷体_GB2312"/>
          <w:b/>
          <w:sz w:val="32"/>
        </w:rPr>
        <w:t>（三）一般公共预算财政拨款支出决算具体情况</w:t>
      </w:r>
    </w:p>
    <w:p w14:paraId="2C7475F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1.67万元，比上年决算增加1.67万元，增长100.00%,主要原因是：本年功能科目调整，行政单位离退休上年度在主科目列支，本年单独列支，导致经费较上年增加。</w:t>
      </w:r>
    </w:p>
    <w:p w14:paraId="1D6F3B2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27.06万元，比上年决算增加3.58万元，增长15.25%,主要原因是：本年在职人员工资基数调增，养老缴费基数上涨，相应支出增加。</w:t>
      </w:r>
    </w:p>
    <w:p w14:paraId="3A653CC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13.78万元，比上年决算增加6.02万元，增长77.58%,主要原因是：2024年10月份开始缴纳在职职工职业年金单位部分。</w:t>
      </w:r>
    </w:p>
    <w:p w14:paraId="146D3F49">
      <w:pPr>
        <w:spacing w:line="580" w:lineRule="exact"/>
        <w:ind w:firstLine="640"/>
        <w:jc w:val="both"/>
      </w:pPr>
      <w:r>
        <w:rPr>
          <w:rFonts w:ascii="仿宋_GB2312" w:hAnsi="仿宋_GB2312" w:eastAsia="仿宋_GB2312"/>
          <w:b w:val="0"/>
          <w:sz w:val="32"/>
        </w:rPr>
        <w:t>4.卫生健康支出(类)行政事业单位医疗(款)行政单位医疗(项):支出决算数为10.99万元，比上年决算增加10.99万元，增长100.00%,主要原因是：本年功能科目调整，行政单位医疗上年度在主科目列支，本年单独列支，导致经费较上年增加。</w:t>
      </w:r>
    </w:p>
    <w:p w14:paraId="7037C8CC">
      <w:pPr>
        <w:spacing w:line="580" w:lineRule="exact"/>
        <w:ind w:firstLine="640"/>
        <w:jc w:val="both"/>
      </w:pPr>
      <w:r>
        <w:rPr>
          <w:rFonts w:ascii="仿宋_GB2312" w:hAnsi="仿宋_GB2312" w:eastAsia="仿宋_GB2312"/>
          <w:b w:val="0"/>
          <w:sz w:val="32"/>
        </w:rPr>
        <w:t>5.卫生健康支出(类)行政事业单位医疗(款)公务员医疗补助(项):支出决算数为3.01万元，比上年决算增加3.01万元，增长100.00%,主要原因是：本年功能科目调整，公务员医疗补助上年度在主科目列支，本年单独列支，导致经费较上年增加。</w:t>
      </w:r>
    </w:p>
    <w:p w14:paraId="355F2BA2">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0.95万元，比上年决算增加0.95万元，增长100.00%,主要原因是：本年功能科目调整，职工大病，工伤，失业保险上年度在主科目列支，本年单独列支，导致经费较上年增加。</w:t>
      </w:r>
    </w:p>
    <w:p w14:paraId="0076455E">
      <w:pPr>
        <w:spacing w:line="580" w:lineRule="exact"/>
        <w:ind w:firstLine="640"/>
        <w:jc w:val="both"/>
      </w:pPr>
      <w:r>
        <w:rPr>
          <w:rFonts w:ascii="仿宋_GB2312" w:hAnsi="仿宋_GB2312" w:eastAsia="仿宋_GB2312"/>
          <w:b w:val="0"/>
          <w:sz w:val="32"/>
        </w:rPr>
        <w:t>7.卫生健康支出(类)医疗保障管理事务(款)行政运行(项):支出决算数为199.48万元，比上年决算减少44.57万元，下降18.26%,主要原因是：科目调整，职工住房公积金，医疗保险，公务员医疗补助等经费上年在主科目列支，本年单独列支。</w:t>
      </w:r>
    </w:p>
    <w:p w14:paraId="7E2CDFB3">
      <w:pPr>
        <w:spacing w:line="580" w:lineRule="exact"/>
        <w:ind w:firstLine="640"/>
        <w:jc w:val="both"/>
      </w:pPr>
      <w:r>
        <w:rPr>
          <w:rFonts w:ascii="仿宋_GB2312" w:hAnsi="仿宋_GB2312" w:eastAsia="仿宋_GB2312"/>
          <w:b w:val="0"/>
          <w:sz w:val="32"/>
        </w:rPr>
        <w:t>8.卫生健康支出(类)医疗保障管理事务(款)其他医疗保障管理事务支出(项):支出决算数为2.49万元，比上年决算减少9.98万元，下降80.03%,主要原因是：中央能力提升和服务补助经费较上年减少。</w:t>
      </w:r>
    </w:p>
    <w:p w14:paraId="406035F2">
      <w:pPr>
        <w:spacing w:line="580" w:lineRule="exact"/>
        <w:ind w:firstLine="640"/>
        <w:jc w:val="both"/>
      </w:pPr>
      <w:r>
        <w:rPr>
          <w:rFonts w:ascii="仿宋_GB2312" w:hAnsi="仿宋_GB2312" w:eastAsia="仿宋_GB2312"/>
          <w:b w:val="0"/>
          <w:sz w:val="32"/>
        </w:rPr>
        <w:t>9.农林水支出(类)农村综合改革(款)对村级公益事业建设的补助(项):支出决算数为0.00万元，比上年决算减少8.70万元，下降100.00%,主要原因是：减少为民办实事工作队经费。</w:t>
      </w:r>
    </w:p>
    <w:p w14:paraId="56AC5985">
      <w:pPr>
        <w:spacing w:line="580" w:lineRule="exact"/>
        <w:ind w:firstLine="640"/>
        <w:jc w:val="both"/>
      </w:pPr>
      <w:r>
        <w:rPr>
          <w:rFonts w:ascii="仿宋_GB2312" w:hAnsi="仿宋_GB2312" w:eastAsia="仿宋_GB2312"/>
          <w:b w:val="0"/>
          <w:sz w:val="32"/>
        </w:rPr>
        <w:t>10.住房保障支出(类)住房改革支出(款)住房公积金(项):支出决算数为19.10万元，比上年决算增加19.10万元，增长100.00%,主要原因是：本年功能科目调整，住房公积金上年度在主科目列支，本年单独列支，导致经费较上年增加。</w:t>
      </w:r>
    </w:p>
    <w:p w14:paraId="0BF5CF60">
      <w:pPr>
        <w:spacing w:line="640" w:lineRule="exact"/>
        <w:ind w:firstLine="640"/>
        <w:jc w:val="both"/>
        <w:outlineLvl w:val="2"/>
      </w:pPr>
      <w:r>
        <w:rPr>
          <w:rFonts w:ascii="黑体" w:hAnsi="黑体" w:eastAsia="黑体"/>
          <w:sz w:val="32"/>
        </w:rPr>
        <w:t>六、一般公共预算财政拨款基本支出决算情况说明</w:t>
      </w:r>
    </w:p>
    <w:p w14:paraId="19EA055C">
      <w:pPr>
        <w:spacing w:line="580" w:lineRule="exact"/>
        <w:ind w:firstLine="640"/>
        <w:jc w:val="both"/>
      </w:pPr>
      <w:r>
        <w:rPr>
          <w:rFonts w:ascii="仿宋_GB2312" w:hAnsi="仿宋_GB2312" w:eastAsia="仿宋_GB2312"/>
          <w:b w:val="0"/>
          <w:sz w:val="32"/>
        </w:rPr>
        <w:t>2024年度一般公共预算财政拨款基本支出276.04万元，其中：</w:t>
      </w:r>
      <w:r>
        <w:rPr>
          <w:rFonts w:ascii="仿宋_GB2312" w:hAnsi="仿宋_GB2312" w:eastAsia="仿宋_GB2312"/>
          <w:b/>
          <w:sz w:val="32"/>
        </w:rPr>
        <w:t>人员经费272.68万元，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包括：基本工资、津贴补贴、奖金、绩效工资、机关事业单位基本养老保险缴费、职业年金缴费、职工基本医疗保险缴费、公务员医疗补助缴费、其他社会保障缴费、住房公积金、医疗费、退休费。</w:t>
      </w:r>
    </w:p>
    <w:p w14:paraId="5A777F7E">
      <w:pPr>
        <w:spacing w:line="580" w:lineRule="exact"/>
        <w:ind w:firstLine="640"/>
        <w:jc w:val="both"/>
      </w:pPr>
      <w:r>
        <w:rPr>
          <w:rFonts w:ascii="仿宋_GB2312" w:hAnsi="仿宋_GB2312" w:eastAsia="仿宋_GB2312"/>
          <w:b/>
          <w:sz w:val="32"/>
        </w:rPr>
        <w:t>公用经费3.36万元，</w:t>
      </w:r>
      <w:r>
        <w:rPr>
          <w:rFonts w:ascii="仿宋_GB2312" w:hAnsi="仿宋_GB2312" w:eastAsia="仿宋_GB2312"/>
          <w:b w:val="0"/>
          <w:sz w:val="32"/>
        </w:rPr>
        <w:t>包括：办公费、印刷费、咨询费、邮电费、差旅费。</w:t>
      </w:r>
    </w:p>
    <w:p w14:paraId="2006B997">
      <w:pPr>
        <w:spacing w:line="640" w:lineRule="exact"/>
        <w:ind w:firstLine="640"/>
        <w:jc w:val="both"/>
        <w:outlineLvl w:val="2"/>
      </w:pPr>
      <w:r>
        <w:rPr>
          <w:rFonts w:ascii="黑体" w:hAnsi="黑体" w:eastAsia="黑体"/>
          <w:sz w:val="32"/>
        </w:rPr>
        <w:t>七、政府性基金预算财政拨款收入支出决算情况说明</w:t>
      </w:r>
    </w:p>
    <w:p w14:paraId="5A30081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80436B">
      <w:pPr>
        <w:spacing w:line="640" w:lineRule="exact"/>
        <w:ind w:firstLine="640"/>
        <w:jc w:val="both"/>
        <w:outlineLvl w:val="2"/>
      </w:pPr>
      <w:r>
        <w:rPr>
          <w:rFonts w:ascii="黑体" w:hAnsi="黑体" w:eastAsia="黑体"/>
          <w:sz w:val="32"/>
        </w:rPr>
        <w:t>八、国有资本经营预算财政拨款收入支出决算情况说明</w:t>
      </w:r>
    </w:p>
    <w:p w14:paraId="09A171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505954">
      <w:pPr>
        <w:spacing w:line="640" w:lineRule="exact"/>
        <w:ind w:firstLine="640"/>
        <w:jc w:val="both"/>
        <w:outlineLvl w:val="2"/>
      </w:pPr>
      <w:r>
        <w:rPr>
          <w:rFonts w:ascii="黑体" w:hAnsi="黑体" w:eastAsia="黑体"/>
          <w:sz w:val="32"/>
        </w:rPr>
        <w:t>九、财政拨款“三公”经费支出决算情况说明</w:t>
      </w:r>
    </w:p>
    <w:p w14:paraId="043AEDC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430F03">
      <w:pPr>
        <w:spacing w:line="580" w:lineRule="exact"/>
        <w:ind w:firstLine="640"/>
        <w:jc w:val="both"/>
      </w:pPr>
      <w:r>
        <w:rPr>
          <w:rFonts w:ascii="仿宋_GB2312" w:hAnsi="仿宋_GB2312" w:eastAsia="仿宋_GB2312"/>
          <w:b/>
          <w:sz w:val="32"/>
        </w:rPr>
        <w:t>具体情况如下：</w:t>
      </w:r>
    </w:p>
    <w:p w14:paraId="4A9AC3C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27798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36E69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6867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4BB81A7">
      <w:pPr>
        <w:spacing w:line="640" w:lineRule="exact"/>
        <w:ind w:firstLine="640"/>
        <w:jc w:val="both"/>
        <w:outlineLvl w:val="2"/>
      </w:pPr>
      <w:r>
        <w:rPr>
          <w:rFonts w:ascii="黑体" w:hAnsi="黑体" w:eastAsia="黑体"/>
          <w:sz w:val="32"/>
        </w:rPr>
        <w:t>十、其他重要事项的情况说明</w:t>
      </w:r>
    </w:p>
    <w:p w14:paraId="3FDA98A5">
      <w:pPr>
        <w:spacing w:line="640" w:lineRule="exact"/>
        <w:ind w:firstLine="640"/>
        <w:jc w:val="both"/>
        <w:outlineLvl w:val="3"/>
      </w:pPr>
      <w:r>
        <w:rPr>
          <w:rFonts w:ascii="楷体_GB2312" w:hAnsi="楷体_GB2312" w:eastAsia="楷体_GB2312"/>
          <w:b/>
          <w:sz w:val="32"/>
        </w:rPr>
        <w:t>（一）机关运行经费及公用经费支出情况</w:t>
      </w:r>
    </w:p>
    <w:p w14:paraId="374CF2E5">
      <w:pPr>
        <w:spacing w:line="580" w:lineRule="exact"/>
        <w:ind w:firstLine="640"/>
        <w:jc w:val="both"/>
      </w:pPr>
      <w:r>
        <w:rPr>
          <w:rFonts w:ascii="仿宋_GB2312" w:hAnsi="仿宋_GB2312" w:eastAsia="仿宋_GB2312"/>
          <w:b w:val="0"/>
          <w:sz w:val="32"/>
        </w:rPr>
        <w:t>2024年度民丰县医疗保障局（行政单位和参照公务员法管理事业单位）机关运行经费支出3.36万元，比上年减少4.82万元，下降58.92%，主要原因是：严格执行中央八项规定，厉行节约，减少不必要的支出。</w:t>
      </w:r>
    </w:p>
    <w:p w14:paraId="22CBC635">
      <w:pPr>
        <w:spacing w:line="640" w:lineRule="exact"/>
        <w:ind w:firstLine="640"/>
        <w:jc w:val="both"/>
        <w:outlineLvl w:val="3"/>
      </w:pPr>
      <w:r>
        <w:rPr>
          <w:rFonts w:ascii="楷体_GB2312" w:hAnsi="楷体_GB2312" w:eastAsia="楷体_GB2312"/>
          <w:b/>
          <w:sz w:val="32"/>
        </w:rPr>
        <w:t>（二）政府采购情况</w:t>
      </w:r>
    </w:p>
    <w:p w14:paraId="2267F6DB">
      <w:pPr>
        <w:spacing w:line="580" w:lineRule="exact"/>
        <w:ind w:firstLine="640"/>
        <w:jc w:val="both"/>
      </w:pPr>
      <w:r>
        <w:rPr>
          <w:rFonts w:ascii="仿宋_GB2312" w:hAnsi="仿宋_GB2312" w:eastAsia="仿宋_GB2312"/>
          <w:b w:val="0"/>
          <w:sz w:val="32"/>
        </w:rPr>
        <w:t>2024年度政府采购支出总额3.23万元，其中：政府采购货物支出3.23万元、政府采购工程支出0.00万元、政府采购服务支出0.00万元。</w:t>
      </w:r>
    </w:p>
    <w:p w14:paraId="71EC1BAF">
      <w:pPr>
        <w:spacing w:line="580" w:lineRule="exact"/>
        <w:ind w:firstLine="640"/>
        <w:jc w:val="both"/>
      </w:pPr>
      <w:r>
        <w:rPr>
          <w:rFonts w:ascii="仿宋_GB2312" w:hAnsi="仿宋_GB2312" w:eastAsia="仿宋_GB2312"/>
          <w:b w:val="0"/>
          <w:sz w:val="32"/>
        </w:rPr>
        <w:t>授予中小企业合同金额3.23万元，占政府采购支出总额的100.00%，其中：授予小微企业合同金额3.23万元，占政府采购支出总额的100.00%。</w:t>
      </w:r>
    </w:p>
    <w:p w14:paraId="6E7D5ABB">
      <w:pPr>
        <w:spacing w:line="640" w:lineRule="exact"/>
        <w:ind w:firstLine="640"/>
        <w:jc w:val="both"/>
        <w:outlineLvl w:val="3"/>
      </w:pPr>
      <w:r>
        <w:rPr>
          <w:rFonts w:ascii="楷体_GB2312" w:hAnsi="楷体_GB2312" w:eastAsia="楷体_GB2312"/>
          <w:b/>
          <w:sz w:val="32"/>
        </w:rPr>
        <w:t>（三）国有资产占用情况说明</w:t>
      </w:r>
    </w:p>
    <w:p w14:paraId="1738F342">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1BC1213">
      <w:pPr>
        <w:spacing w:line="640" w:lineRule="exact"/>
        <w:ind w:firstLine="640"/>
        <w:jc w:val="both"/>
        <w:outlineLvl w:val="2"/>
      </w:pPr>
      <w:r>
        <w:rPr>
          <w:rFonts w:ascii="黑体" w:hAnsi="黑体" w:eastAsia="黑体"/>
          <w:sz w:val="32"/>
        </w:rPr>
        <w:t>十一、预算绩效的情况说明</w:t>
      </w:r>
    </w:p>
    <w:p w14:paraId="7C4615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279.08万元，实际执行总额279.08万元；预算绩效评价项目2个，全年预算数20.50万元，全年执行数20.09万元。预算绩效管理取得的成效：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0E9CA01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8817CC">
        <w:tblPrEx>
          <w:tblCellMar>
            <w:top w:w="0" w:type="dxa"/>
            <w:left w:w="108" w:type="dxa"/>
            <w:bottom w:w="0" w:type="dxa"/>
            <w:right w:w="108" w:type="dxa"/>
          </w:tblCellMar>
        </w:tblPrEx>
        <w:tc>
          <w:tcPr>
            <w:tcW w:w="8847" w:type="dxa"/>
            <w:gridSpan w:val="9"/>
            <w:vAlign w:val="center"/>
          </w:tcPr>
          <w:p w14:paraId="4F2BA554">
            <w:pPr>
              <w:jc w:val="center"/>
            </w:pPr>
            <w:r>
              <w:rPr>
                <w:rFonts w:ascii="宋体" w:hAnsi="宋体" w:eastAsia="宋体"/>
                <w:sz w:val="24"/>
              </w:rPr>
              <w:t>单位整体支出绩效自评表</w:t>
            </w:r>
          </w:p>
        </w:tc>
      </w:tr>
      <w:tr w14:paraId="117D2831">
        <w:tblPrEx>
          <w:tblCellMar>
            <w:top w:w="0" w:type="dxa"/>
            <w:left w:w="108" w:type="dxa"/>
            <w:bottom w:w="0" w:type="dxa"/>
            <w:right w:w="108" w:type="dxa"/>
          </w:tblCellMar>
        </w:tblPrEx>
        <w:tc>
          <w:tcPr>
            <w:tcW w:w="8847" w:type="dxa"/>
            <w:gridSpan w:val="9"/>
            <w:vAlign w:val="center"/>
          </w:tcPr>
          <w:p w14:paraId="632F2A3D">
            <w:pPr>
              <w:jc w:val="center"/>
            </w:pPr>
            <w:r>
              <w:rPr>
                <w:rFonts w:ascii="宋体" w:hAnsi="宋体" w:eastAsia="宋体"/>
                <w:sz w:val="24"/>
              </w:rPr>
              <w:t>（2024年度）</w:t>
            </w:r>
          </w:p>
        </w:tc>
      </w:tr>
      <w:tr w14:paraId="33AF3A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A2F0B">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0093E7">
            <w:pPr>
              <w:jc w:val="center"/>
            </w:pPr>
            <w:r>
              <w:rPr>
                <w:rFonts w:ascii="宋体" w:hAnsi="宋体" w:eastAsia="宋体"/>
                <w:sz w:val="16"/>
              </w:rPr>
              <w:t>民丰县医疗保障局</w:t>
            </w:r>
          </w:p>
        </w:tc>
      </w:tr>
      <w:tr w14:paraId="68DF94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9158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1E98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3BE0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BDB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FA31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749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DBFC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B4CB5">
            <w:pPr>
              <w:jc w:val="center"/>
            </w:pPr>
            <w:r>
              <w:rPr>
                <w:rFonts w:ascii="宋体" w:hAnsi="宋体" w:eastAsia="宋体"/>
                <w:sz w:val="16"/>
              </w:rPr>
              <w:t>得分</w:t>
            </w:r>
          </w:p>
        </w:tc>
      </w:tr>
      <w:tr w14:paraId="5C9737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396C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5157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1383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9FF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AF57F">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DFF1">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586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F97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8D940">
            <w:pPr>
              <w:jc w:val="center"/>
            </w:pPr>
            <w:r>
              <w:rPr>
                <w:rFonts w:ascii="宋体" w:hAnsi="宋体" w:eastAsia="宋体"/>
                <w:sz w:val="16"/>
              </w:rPr>
              <w:t>-</w:t>
            </w:r>
          </w:p>
        </w:tc>
      </w:tr>
      <w:tr w14:paraId="414441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980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0C8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EB2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E5E3E">
            <w:pPr>
              <w:jc w:val="center"/>
            </w:pPr>
            <w:r>
              <w:rPr>
                <w:rFonts w:ascii="宋体" w:hAnsi="宋体" w:eastAsia="宋体"/>
                <w:sz w:val="16"/>
              </w:rPr>
              <w:t>295.62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B917D">
            <w:pPr>
              <w:jc w:val="center"/>
            </w:pPr>
            <w:r>
              <w:rPr>
                <w:rFonts w:ascii="宋体" w:hAnsi="宋体" w:eastAsia="宋体"/>
                <w:sz w:val="16"/>
              </w:rPr>
              <w:t>276.04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3A95F">
            <w:pPr>
              <w:jc w:val="center"/>
            </w:pPr>
            <w:r>
              <w:rPr>
                <w:rFonts w:ascii="宋体" w:hAnsi="宋体" w:eastAsia="宋体"/>
                <w:sz w:val="16"/>
              </w:rPr>
              <w:t>276.04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911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B2F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E6EAB">
            <w:pPr>
              <w:jc w:val="center"/>
            </w:pPr>
            <w:r>
              <w:rPr>
                <w:rFonts w:ascii="宋体" w:hAnsi="宋体" w:eastAsia="宋体"/>
                <w:sz w:val="16"/>
              </w:rPr>
              <w:t>-</w:t>
            </w:r>
          </w:p>
        </w:tc>
      </w:tr>
      <w:tr w14:paraId="3A1DB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01CA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62B4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FCC0">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F9A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A8839">
            <w:pPr>
              <w:jc w:val="center"/>
            </w:pPr>
            <w:r>
              <w:rPr>
                <w:rFonts w:ascii="宋体" w:hAnsi="宋体" w:eastAsia="宋体"/>
                <w:sz w:val="16"/>
              </w:rPr>
              <w:t>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977D">
            <w:pPr>
              <w:jc w:val="center"/>
            </w:pPr>
            <w:r>
              <w:rPr>
                <w:rFonts w:ascii="宋体" w:hAnsi="宋体" w:eastAsia="宋体"/>
                <w:sz w:val="16"/>
              </w:rPr>
              <w:t>0.55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98C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8C4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5FAEB">
            <w:pPr>
              <w:jc w:val="center"/>
            </w:pPr>
            <w:r>
              <w:rPr>
                <w:rFonts w:ascii="宋体" w:hAnsi="宋体" w:eastAsia="宋体"/>
                <w:sz w:val="16"/>
              </w:rPr>
              <w:t>-</w:t>
            </w:r>
          </w:p>
        </w:tc>
      </w:tr>
      <w:tr w14:paraId="786479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2B5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89C7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392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8E3D6">
            <w:pPr>
              <w:jc w:val="center"/>
            </w:pPr>
            <w:r>
              <w:rPr>
                <w:rFonts w:ascii="宋体" w:hAnsi="宋体" w:eastAsia="宋体"/>
                <w:sz w:val="16"/>
              </w:rPr>
              <w:t>295.62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BC520">
            <w:pPr>
              <w:jc w:val="center"/>
            </w:pPr>
            <w:r>
              <w:rPr>
                <w:rFonts w:ascii="宋体" w:hAnsi="宋体" w:eastAsia="宋体"/>
                <w:sz w:val="16"/>
              </w:rPr>
              <w:t>279.08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2F79">
            <w:pPr>
              <w:jc w:val="center"/>
            </w:pPr>
            <w:r>
              <w:rPr>
                <w:rFonts w:ascii="宋体" w:hAnsi="宋体" w:eastAsia="宋体"/>
                <w:sz w:val="16"/>
              </w:rPr>
              <w:t>279.08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E5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D59E">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D26F4">
            <w:pPr>
              <w:jc w:val="center"/>
            </w:pPr>
            <w:r>
              <w:rPr>
                <w:rFonts w:ascii="宋体" w:hAnsi="宋体" w:eastAsia="宋体"/>
                <w:sz w:val="16"/>
              </w:rPr>
              <w:t>10</w:t>
            </w:r>
          </w:p>
        </w:tc>
      </w:tr>
      <w:tr w14:paraId="62F4C3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A3A5F">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169211">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AC70F7">
            <w:pPr>
              <w:jc w:val="center"/>
            </w:pPr>
            <w:r>
              <w:rPr>
                <w:rFonts w:ascii="宋体" w:hAnsi="宋体" w:eastAsia="宋体"/>
                <w:sz w:val="16"/>
              </w:rPr>
              <w:t>实际完成情况</w:t>
            </w:r>
          </w:p>
        </w:tc>
      </w:tr>
      <w:tr w14:paraId="56380E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7834B"/>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3F1A49">
            <w:pPr>
              <w:jc w:val="both"/>
            </w:pPr>
            <w:r>
              <w:rPr>
                <w:rFonts w:ascii="宋体" w:hAnsi="宋体" w:eastAsia="宋体"/>
                <w:sz w:val="16"/>
              </w:rPr>
              <w:t>目标1：加快落实全面实施社保扩面提质工程，确保城乡医疗保险参保率保持在95%以上，困难群体参保率100%。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目标2：统筹落实好医疗救助工作，参保资助做到应资尽资。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目标3：加强医保基金监管，重拳打击欺诈骗保行为，坚决兜牢民生底线。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目标4：稳妥推进DRG支付方式改革工作。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目标5：严格落实药品耗材集中带量采购政策。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目标6：全力推进基层医保经办示范点创建工作。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目标7：强化医保干部队伍建设，促进服务能力提升。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47720A">
            <w:pPr>
              <w:jc w:val="both"/>
            </w:pPr>
            <w:r>
              <w:rPr>
                <w:rFonts w:ascii="宋体" w:hAnsi="宋体" w:eastAsia="宋体"/>
                <w:sz w:val="16"/>
              </w:rPr>
              <w:t>2024年本单位已完成加快落实全面实施社保扩面提质工程，确保城乡医疗保险参保率保持在95%以上，困难群体参保率100%。统筹落实好医疗救助工作，参保资助做到应资尽资。加强医保基金监管，重拳打击欺诈骗保行为，坚决兜牢民生底线。稳妥推进DRG支付方式改革工作。严格落实药品耗材集中带量采购政策。全力推进基层医保经办示范点创建工作。强化医保干部队伍建设，促进服务能力提升。</w:t>
            </w:r>
          </w:p>
        </w:tc>
      </w:tr>
      <w:tr w14:paraId="3B84F2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FAB6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8A32A">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07F1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5B236">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DD0D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21FA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42B9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D6346">
            <w:pPr>
              <w:jc w:val="center"/>
            </w:pPr>
            <w:r>
              <w:rPr>
                <w:rFonts w:ascii="宋体" w:hAnsi="宋体" w:eastAsia="宋体"/>
                <w:sz w:val="16"/>
              </w:rPr>
              <w:t>得分</w:t>
            </w:r>
          </w:p>
        </w:tc>
      </w:tr>
      <w:tr w14:paraId="38FF69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A550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DC80">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322B">
            <w:pPr>
              <w:jc w:val="center"/>
            </w:pPr>
            <w:r>
              <w:rPr>
                <w:rFonts w:ascii="宋体" w:hAnsi="宋体" w:eastAsia="宋体"/>
                <w:sz w:val="16"/>
              </w:rPr>
              <w:t>城乡居民参保率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A723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6487E">
            <w:pPr>
              <w:jc w:val="center"/>
            </w:pPr>
            <w:r>
              <w:rPr>
                <w:rFonts w:ascii="宋体" w:hAnsi="宋体" w:eastAsia="宋体"/>
                <w:sz w:val="16"/>
              </w:rPr>
              <w:t>民财预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F59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AD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D3878">
            <w:pPr>
              <w:jc w:val="center"/>
            </w:pPr>
            <w:r>
              <w:rPr>
                <w:rFonts w:ascii="宋体" w:hAnsi="宋体" w:eastAsia="宋体"/>
                <w:sz w:val="16"/>
              </w:rPr>
              <w:t>15</w:t>
            </w:r>
          </w:p>
        </w:tc>
      </w:tr>
      <w:tr w14:paraId="2DF1FD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D94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44DB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C3DF">
            <w:pPr>
              <w:jc w:val="center"/>
            </w:pPr>
            <w:r>
              <w:rPr>
                <w:rFonts w:ascii="宋体" w:hAnsi="宋体" w:eastAsia="宋体"/>
                <w:sz w:val="16"/>
              </w:rPr>
              <w:t>困难群体参保率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6C0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5AD3E">
            <w:pPr>
              <w:jc w:val="center"/>
            </w:pPr>
            <w:r>
              <w:rPr>
                <w:rFonts w:ascii="宋体" w:hAnsi="宋体" w:eastAsia="宋体"/>
                <w:sz w:val="16"/>
              </w:rPr>
              <w:t>民财预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BCAB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30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50FB0">
            <w:pPr>
              <w:jc w:val="center"/>
            </w:pPr>
            <w:r>
              <w:rPr>
                <w:rFonts w:ascii="宋体" w:hAnsi="宋体" w:eastAsia="宋体"/>
                <w:sz w:val="16"/>
              </w:rPr>
              <w:t>15</w:t>
            </w:r>
          </w:p>
        </w:tc>
      </w:tr>
      <w:tr w14:paraId="7978A4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824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8B7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A7A0C">
            <w:pPr>
              <w:jc w:val="center"/>
            </w:pPr>
            <w:r>
              <w:rPr>
                <w:rFonts w:ascii="宋体" w:hAnsi="宋体" w:eastAsia="宋体"/>
                <w:sz w:val="16"/>
              </w:rPr>
              <w:t>医疗救助参保人员资助率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0A2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A73C">
            <w:pPr>
              <w:jc w:val="center"/>
            </w:pPr>
            <w:r>
              <w:rPr>
                <w:rFonts w:ascii="宋体" w:hAnsi="宋体" w:eastAsia="宋体"/>
                <w:sz w:val="16"/>
              </w:rPr>
              <w:t>民财预</w:t>
            </w:r>
            <w:r>
              <w:rPr>
                <w:rFonts w:hint="eastAsia" w:ascii="宋体" w:hAnsi="宋体"/>
                <w:sz w:val="16"/>
                <w:lang w:eastAsia="zh-CN"/>
              </w:rPr>
              <w:t>〔2024〕1号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846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4E7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783C0">
            <w:pPr>
              <w:jc w:val="center"/>
            </w:pPr>
            <w:r>
              <w:rPr>
                <w:rFonts w:ascii="宋体" w:hAnsi="宋体" w:eastAsia="宋体"/>
                <w:sz w:val="16"/>
              </w:rPr>
              <w:t>15</w:t>
            </w:r>
          </w:p>
        </w:tc>
      </w:tr>
      <w:tr w14:paraId="421905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DC5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E96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53A1">
            <w:pPr>
              <w:jc w:val="center"/>
            </w:pPr>
            <w:r>
              <w:rPr>
                <w:rFonts w:ascii="宋体" w:hAnsi="宋体" w:eastAsia="宋体"/>
                <w:sz w:val="16"/>
              </w:rPr>
              <w:t>医疗保险补助人数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472AB">
            <w:pPr>
              <w:jc w:val="center"/>
            </w:pPr>
            <w:r>
              <w:rPr>
                <w:rFonts w:ascii="宋体" w:hAnsi="宋体" w:eastAsia="宋体"/>
                <w:sz w:val="16"/>
              </w:rPr>
              <w:t>&gt;=3.60万人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8561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1A40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FF930">
            <w:pPr>
              <w:jc w:val="center"/>
            </w:pPr>
            <w:r>
              <w:rPr>
                <w:rFonts w:ascii="宋体" w:hAnsi="宋体" w:eastAsia="宋体"/>
                <w:sz w:val="16"/>
              </w:rPr>
              <w:t>3.52万人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D6B6A">
            <w:pPr>
              <w:jc w:val="center"/>
            </w:pPr>
            <w:r>
              <w:rPr>
                <w:rFonts w:ascii="宋体" w:hAnsi="宋体" w:eastAsia="宋体"/>
                <w:sz w:val="16"/>
              </w:rPr>
              <w:t>14.7</w:t>
            </w:r>
          </w:p>
        </w:tc>
      </w:tr>
      <w:tr w14:paraId="63ACFF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355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F9E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28C33">
            <w:pPr>
              <w:jc w:val="center"/>
            </w:pPr>
            <w:r>
              <w:rPr>
                <w:rFonts w:ascii="宋体" w:hAnsi="宋体" w:eastAsia="宋体"/>
                <w:sz w:val="16"/>
              </w:rPr>
              <w:t>政策宣传次数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ADF6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65E6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5099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6EDB1">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04EB">
            <w:pPr>
              <w:jc w:val="center"/>
            </w:pPr>
            <w:r>
              <w:rPr>
                <w:rFonts w:ascii="宋体" w:hAnsi="宋体" w:eastAsia="宋体"/>
                <w:sz w:val="16"/>
              </w:rPr>
              <w:t>15</w:t>
            </w:r>
          </w:p>
        </w:tc>
      </w:tr>
      <w:tr w14:paraId="4B8EC7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B5D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1C40B">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65513">
            <w:pPr>
              <w:jc w:val="center"/>
            </w:pPr>
            <w:r>
              <w:rPr>
                <w:rFonts w:ascii="宋体" w:hAnsi="宋体" w:eastAsia="宋体"/>
                <w:sz w:val="16"/>
              </w:rPr>
              <w:t>“一站式”即时结算覆盖率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488B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44D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B482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E81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D7483">
            <w:pPr>
              <w:jc w:val="center"/>
            </w:pPr>
            <w:r>
              <w:rPr>
                <w:rFonts w:ascii="宋体" w:hAnsi="宋体" w:eastAsia="宋体"/>
                <w:sz w:val="16"/>
              </w:rPr>
              <w:t>15</w:t>
            </w:r>
          </w:p>
        </w:tc>
      </w:tr>
    </w:tbl>
    <w:p w14:paraId="519B74D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68EBB7">
        <w:tblPrEx>
          <w:tblCellMar>
            <w:top w:w="0" w:type="dxa"/>
            <w:left w:w="108" w:type="dxa"/>
            <w:bottom w:w="0" w:type="dxa"/>
            <w:right w:w="108" w:type="dxa"/>
          </w:tblCellMar>
        </w:tblPrEx>
        <w:tc>
          <w:tcPr>
            <w:tcW w:w="8847" w:type="dxa"/>
            <w:gridSpan w:val="9"/>
            <w:vAlign w:val="center"/>
          </w:tcPr>
          <w:p w14:paraId="6D26AC15">
            <w:pPr>
              <w:jc w:val="center"/>
            </w:pPr>
            <w:r>
              <w:rPr>
                <w:rFonts w:ascii="宋体" w:hAnsi="宋体" w:eastAsia="宋体"/>
                <w:sz w:val="24"/>
              </w:rPr>
              <w:t>项目支出绩效自评表</w:t>
            </w:r>
          </w:p>
        </w:tc>
      </w:tr>
      <w:tr w14:paraId="02FD3B70">
        <w:tblPrEx>
          <w:tblCellMar>
            <w:top w:w="0" w:type="dxa"/>
            <w:left w:w="108" w:type="dxa"/>
            <w:bottom w:w="0" w:type="dxa"/>
            <w:right w:w="108" w:type="dxa"/>
          </w:tblCellMar>
        </w:tblPrEx>
        <w:tc>
          <w:tcPr>
            <w:tcW w:w="8847" w:type="dxa"/>
            <w:gridSpan w:val="9"/>
            <w:vAlign w:val="center"/>
          </w:tcPr>
          <w:p w14:paraId="0AC4E585">
            <w:pPr>
              <w:jc w:val="center"/>
            </w:pPr>
            <w:r>
              <w:rPr>
                <w:rFonts w:ascii="宋体" w:hAnsi="宋体" w:eastAsia="宋体"/>
                <w:sz w:val="24"/>
              </w:rPr>
              <w:t>(2024年度)</w:t>
            </w:r>
          </w:p>
        </w:tc>
      </w:tr>
      <w:tr w14:paraId="7704A8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E2A6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F535C09">
            <w:pPr>
              <w:jc w:val="center"/>
            </w:pPr>
            <w:r>
              <w:rPr>
                <w:rFonts w:ascii="宋体" w:hAnsi="宋体" w:eastAsia="宋体"/>
                <w:sz w:val="16"/>
              </w:rPr>
              <w:t>2024年自治区财政全民参保及医疗服务经费</w:t>
            </w:r>
          </w:p>
        </w:tc>
      </w:tr>
      <w:tr w14:paraId="1A5F21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512C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DF382A">
            <w:pPr>
              <w:jc w:val="center"/>
            </w:pPr>
            <w:r>
              <w:rPr>
                <w:rFonts w:ascii="宋体" w:hAnsi="宋体" w:eastAsia="宋体"/>
                <w:sz w:val="16"/>
              </w:rPr>
              <w:t>民丰县医疗保障局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8E84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D4EA3C">
            <w:pPr>
              <w:jc w:val="center"/>
            </w:pPr>
            <w:r>
              <w:rPr>
                <w:rFonts w:ascii="宋体" w:hAnsi="宋体" w:eastAsia="宋体"/>
                <w:sz w:val="16"/>
              </w:rPr>
              <w:t>民丰县医疗保障局</w:t>
            </w:r>
          </w:p>
        </w:tc>
      </w:tr>
      <w:tr w14:paraId="028CEA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3074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DC2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BCC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2E9C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23DC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A015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84C5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C79C9">
            <w:pPr>
              <w:jc w:val="center"/>
            </w:pPr>
            <w:r>
              <w:rPr>
                <w:rFonts w:ascii="宋体" w:hAnsi="宋体" w:eastAsia="宋体"/>
                <w:sz w:val="16"/>
              </w:rPr>
              <w:t>得分</w:t>
            </w:r>
          </w:p>
        </w:tc>
      </w:tr>
      <w:tr w14:paraId="2AF3FE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24D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F13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CC6D9">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6A0B1">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3661E">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94B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19DEC">
            <w:pPr>
              <w:jc w:val="center"/>
            </w:pPr>
            <w:r>
              <w:rPr>
                <w:rFonts w:ascii="宋体" w:hAnsi="宋体" w:eastAsia="宋体"/>
                <w:sz w:val="16"/>
              </w:rPr>
              <w:t xml:space="preserve">99.60%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92AF">
            <w:pPr>
              <w:jc w:val="center"/>
            </w:pPr>
            <w:r>
              <w:rPr>
                <w:rFonts w:ascii="宋体" w:hAnsi="宋体" w:eastAsia="宋体"/>
                <w:sz w:val="16"/>
              </w:rPr>
              <w:t>9.90分</w:t>
            </w:r>
          </w:p>
        </w:tc>
      </w:tr>
      <w:tr w14:paraId="4EEACE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D96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CCDB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74F4">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7632E">
            <w:pPr>
              <w:jc w:val="center"/>
            </w:pPr>
            <w:r>
              <w:rPr>
                <w:rFonts w:ascii="宋体" w:hAnsi="宋体" w:eastAsia="宋体"/>
                <w:sz w:val="16"/>
              </w:rPr>
              <w:t>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16D2">
            <w:pPr>
              <w:jc w:val="center"/>
            </w:pPr>
            <w:r>
              <w:rPr>
                <w:rFonts w:ascii="宋体" w:hAnsi="宋体" w:eastAsia="宋体"/>
                <w:sz w:val="16"/>
              </w:rPr>
              <w:t>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53E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8D0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FA70C">
            <w:pPr>
              <w:jc w:val="center"/>
            </w:pPr>
            <w:r>
              <w:rPr>
                <w:rFonts w:ascii="宋体" w:hAnsi="宋体" w:eastAsia="宋体"/>
                <w:sz w:val="16"/>
              </w:rPr>
              <w:t>—</w:t>
            </w:r>
          </w:p>
        </w:tc>
      </w:tr>
      <w:tr w14:paraId="3D1946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8C4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E668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48C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FD8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BC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E1B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639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15C6">
            <w:pPr>
              <w:jc w:val="center"/>
            </w:pPr>
            <w:r>
              <w:rPr>
                <w:rFonts w:ascii="宋体" w:hAnsi="宋体" w:eastAsia="宋体"/>
                <w:sz w:val="16"/>
              </w:rPr>
              <w:t>—</w:t>
            </w:r>
          </w:p>
        </w:tc>
      </w:tr>
      <w:tr w14:paraId="570406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AC88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B7E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F51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75D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422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126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50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A87BE">
            <w:pPr>
              <w:jc w:val="center"/>
            </w:pPr>
            <w:r>
              <w:rPr>
                <w:rFonts w:ascii="宋体" w:hAnsi="宋体" w:eastAsia="宋体"/>
                <w:sz w:val="16"/>
              </w:rPr>
              <w:t>—</w:t>
            </w:r>
          </w:p>
        </w:tc>
      </w:tr>
      <w:tr w14:paraId="70EA49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9506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56116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0AD7BE">
            <w:pPr>
              <w:jc w:val="center"/>
            </w:pPr>
            <w:r>
              <w:rPr>
                <w:rFonts w:ascii="宋体" w:hAnsi="宋体" w:eastAsia="宋体"/>
                <w:sz w:val="16"/>
              </w:rPr>
              <w:t>实际完成情况</w:t>
            </w:r>
          </w:p>
        </w:tc>
      </w:tr>
      <w:tr w14:paraId="5080AA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5AD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67281C">
            <w:pPr>
              <w:jc w:val="both"/>
            </w:pPr>
            <w:r>
              <w:rPr>
                <w:rFonts w:ascii="宋体" w:hAnsi="宋体" w:eastAsia="宋体"/>
                <w:sz w:val="16"/>
              </w:rPr>
              <w:t>主要用于全民参保及医疗服务补助宣传政策3次，购买宣传材料及办公用品2批。对医保业务档案实现全面的数字化 ，有效提高两定机构医疗保险服务质量、规范医疗服务行为、保障参保人员权益、提升基金使用率、规范协议管理等工作，医疗保险代办员工作以提升业务工作效率为着力点，围绕提高为民服务质量为重点，医疗保险经办机构服务水平明显提高，使国家社保惠民的知晓率有</w:t>
            </w:r>
            <w:r>
              <w:rPr>
                <w:rFonts w:hint="eastAsia" w:ascii="宋体" w:hAnsi="宋体"/>
                <w:sz w:val="16"/>
                <w:lang w:eastAsia="zh-CN"/>
              </w:rPr>
              <w:t>很大提高</w:t>
            </w:r>
            <w:r>
              <w:rPr>
                <w:rFonts w:ascii="宋体" w:hAnsi="宋体" w:eastAsia="宋体"/>
                <w:sz w:val="16"/>
              </w:rPr>
              <w:t>。</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200D9D">
            <w:pPr>
              <w:jc w:val="both"/>
            </w:pPr>
            <w:r>
              <w:rPr>
                <w:rFonts w:ascii="宋体" w:hAnsi="宋体" w:eastAsia="宋体"/>
                <w:sz w:val="16"/>
              </w:rPr>
              <w:t>截至自评时间，项目支出2.49万元，预算执行率99.6%。该项目已完成</w:t>
            </w:r>
            <w:r>
              <w:rPr>
                <w:rFonts w:hint="eastAsia" w:ascii="宋体" w:hAnsi="宋体"/>
                <w:sz w:val="16"/>
                <w:lang w:eastAsia="zh-CN"/>
              </w:rPr>
              <w:t>全</w:t>
            </w:r>
            <w:r>
              <w:rPr>
                <w:rFonts w:ascii="宋体" w:hAnsi="宋体" w:eastAsia="宋体"/>
                <w:sz w:val="16"/>
              </w:rPr>
              <w:t>民参保及医疗服务补助宣传政策3次，购买宣传材料及办公用品2批。对医保业务档案实现全面的数字化 ，有效提高了两定机构医疗保险服务质量、规范了医疗服务行为、保障参保人员权益、提升基金使用率、规范协议管理等工作，医疗保险代办员工作以提升业务工作效率为着力点，围绕提高为民服务质量为重点，医疗保险经办机构服务水平明显提高，使国家社保惠民的知晓率有</w:t>
            </w:r>
            <w:r>
              <w:rPr>
                <w:rFonts w:hint="eastAsia" w:ascii="宋体" w:hAnsi="宋体"/>
                <w:sz w:val="16"/>
                <w:lang w:eastAsia="zh-CN"/>
              </w:rPr>
              <w:t>很大</w:t>
            </w:r>
            <w:r>
              <w:rPr>
                <w:rFonts w:ascii="宋体" w:hAnsi="宋体" w:eastAsia="宋体"/>
                <w:sz w:val="16"/>
              </w:rPr>
              <w:t>提高。</w:t>
            </w:r>
          </w:p>
        </w:tc>
      </w:tr>
      <w:tr w14:paraId="091B0E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6BD7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1FBA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2B3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E230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8BB7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5AB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C3D1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CF38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1891">
            <w:pPr>
              <w:jc w:val="center"/>
            </w:pPr>
            <w:r>
              <w:rPr>
                <w:rFonts w:ascii="宋体" w:hAnsi="宋体" w:eastAsia="宋体"/>
                <w:sz w:val="16"/>
              </w:rPr>
              <w:t>偏差原因分析及改进措施</w:t>
            </w:r>
          </w:p>
        </w:tc>
      </w:tr>
      <w:tr w14:paraId="7A161A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8036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013C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61CA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5ABE">
            <w:pPr>
              <w:jc w:val="center"/>
            </w:pPr>
            <w:r>
              <w:rPr>
                <w:rFonts w:ascii="宋体" w:hAnsi="宋体" w:eastAsia="宋体"/>
                <w:sz w:val="16"/>
              </w:rPr>
              <w:t>宣传政策次数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874D6">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8BFA">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76D4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2DA1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20536">
            <w:pPr>
              <w:jc w:val="center"/>
            </w:pPr>
          </w:p>
        </w:tc>
      </w:tr>
      <w:tr w14:paraId="3FC43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CB5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5CE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646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1513D">
            <w:pPr>
              <w:jc w:val="center"/>
            </w:pPr>
            <w:r>
              <w:rPr>
                <w:rFonts w:ascii="宋体" w:hAnsi="宋体" w:eastAsia="宋体"/>
                <w:sz w:val="16"/>
              </w:rPr>
              <w:t>购买宣传材料及办公用品数量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77FCC">
            <w:pPr>
              <w:jc w:val="center"/>
            </w:pPr>
            <w:r>
              <w:rPr>
                <w:rFonts w:ascii="宋体" w:hAnsi="宋体" w:eastAsia="宋体"/>
                <w:sz w:val="16"/>
              </w:rPr>
              <w:t>&gt;=2批次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7CF2B">
            <w:pPr>
              <w:jc w:val="center"/>
            </w:pPr>
            <w:r>
              <w:rPr>
                <w:rFonts w:ascii="宋体" w:hAnsi="宋体" w:eastAsia="宋体"/>
                <w:sz w:val="16"/>
              </w:rPr>
              <w:t>=2批次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D207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20C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91F0E">
            <w:pPr>
              <w:jc w:val="center"/>
            </w:pPr>
          </w:p>
        </w:tc>
      </w:tr>
      <w:tr w14:paraId="5A0286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E18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19A2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7D6E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F54D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A9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C4A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0DF5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297C2">
            <w:pPr>
              <w:jc w:val="center"/>
            </w:pPr>
            <w:r>
              <w:rPr>
                <w:rFonts w:ascii="宋体" w:hAnsi="宋体" w:eastAsia="宋体"/>
                <w:sz w:val="16"/>
              </w:rPr>
              <w:t>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B3345">
            <w:pPr>
              <w:jc w:val="center"/>
            </w:pPr>
            <w:r>
              <w:rPr>
                <w:rFonts w:ascii="宋体" w:hAnsi="宋体" w:eastAsia="宋体"/>
                <w:sz w:val="16"/>
              </w:rPr>
              <w:t>偏差原因：采购价较预算低，资金节约。改进措施：提高预算精确度。</w:t>
            </w:r>
          </w:p>
        </w:tc>
      </w:tr>
      <w:tr w14:paraId="144704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74F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01B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E59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7ADB">
            <w:pPr>
              <w:jc w:val="center"/>
            </w:pPr>
            <w:r>
              <w:rPr>
                <w:rFonts w:ascii="宋体" w:hAnsi="宋体" w:eastAsia="宋体"/>
                <w:sz w:val="16"/>
              </w:rPr>
              <w:t>宣传政策覆盖率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959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EA7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720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1CEF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228E5">
            <w:pPr>
              <w:jc w:val="center"/>
            </w:pPr>
          </w:p>
        </w:tc>
      </w:tr>
      <w:tr w14:paraId="7586D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F7D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1B4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C90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E1FC5">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862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BAE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2E81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41B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D4DFF">
            <w:pPr>
              <w:jc w:val="center"/>
            </w:pPr>
          </w:p>
        </w:tc>
      </w:tr>
      <w:tr w14:paraId="056B94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DD6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5721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0AD8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5C81E">
            <w:pPr>
              <w:jc w:val="center"/>
            </w:pPr>
            <w:r>
              <w:rPr>
                <w:rFonts w:ascii="宋体" w:hAnsi="宋体" w:eastAsia="宋体"/>
                <w:sz w:val="16"/>
              </w:rPr>
              <w:t>购买宣传材料及办公用品成本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2B3B">
            <w:pPr>
              <w:jc w:val="center"/>
            </w:pPr>
            <w:r>
              <w:rPr>
                <w:rFonts w:ascii="宋体" w:hAnsi="宋体" w:eastAsia="宋体"/>
                <w:sz w:val="16"/>
              </w:rPr>
              <w:t>&lt;=2.50万元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3223C">
            <w:pPr>
              <w:jc w:val="center"/>
            </w:pPr>
            <w:r>
              <w:rPr>
                <w:rFonts w:ascii="宋体" w:hAnsi="宋体" w:eastAsia="宋体"/>
                <w:sz w:val="16"/>
              </w:rPr>
              <w:t>=2.49万元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33A6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F21B0">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4D4A4">
            <w:pPr>
              <w:jc w:val="center"/>
            </w:pPr>
            <w:r>
              <w:rPr>
                <w:rFonts w:ascii="宋体" w:hAnsi="宋体" w:eastAsia="宋体"/>
                <w:sz w:val="16"/>
              </w:rPr>
              <w:t>偏差原因：采购价较预算低，资金节约。改进措施：提高预算精确度。</w:t>
            </w:r>
          </w:p>
        </w:tc>
      </w:tr>
      <w:tr w14:paraId="71682B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454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6D113">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4743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125FC">
            <w:pPr>
              <w:jc w:val="center"/>
            </w:pPr>
            <w:r>
              <w:rPr>
                <w:rFonts w:ascii="宋体" w:hAnsi="宋体" w:eastAsia="宋体"/>
                <w:sz w:val="16"/>
              </w:rPr>
              <w:t>提升医保信息化水平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FCCDF">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EC71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613A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FCDB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958EF">
            <w:pPr>
              <w:jc w:val="center"/>
            </w:pPr>
            <w:r>
              <w:rPr>
                <w:rFonts w:ascii="宋体" w:hAnsi="宋体" w:eastAsia="宋体"/>
                <w:sz w:val="16"/>
              </w:rPr>
              <w:t>资金执行速度较慢，影响了经费使用的效果</w:t>
            </w:r>
          </w:p>
        </w:tc>
      </w:tr>
      <w:tr w14:paraId="14B40D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F33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771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DDC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5A97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5E2A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C3D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499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1C3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906C6">
            <w:pPr>
              <w:jc w:val="center"/>
            </w:pPr>
            <w:r>
              <w:rPr>
                <w:rFonts w:ascii="宋体" w:hAnsi="宋体" w:eastAsia="宋体"/>
                <w:sz w:val="16"/>
              </w:rPr>
              <w:t>资金执行速度较慢，影响了经费使用的效果</w:t>
            </w:r>
          </w:p>
        </w:tc>
      </w:tr>
      <w:tr w14:paraId="26E5040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20148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0AEF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2F0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DFC54">
            <w:pPr>
              <w:jc w:val="center"/>
            </w:pPr>
            <w:r>
              <w:rPr>
                <w:rFonts w:ascii="宋体" w:hAnsi="宋体" w:eastAsia="宋体"/>
                <w:sz w:val="16"/>
              </w:rPr>
              <w:t>99.62分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F149EC"/>
        </w:tc>
      </w:tr>
    </w:tbl>
    <w:p w14:paraId="188ACA8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16B66D">
        <w:tblPrEx>
          <w:tblCellMar>
            <w:top w:w="0" w:type="dxa"/>
            <w:left w:w="108" w:type="dxa"/>
            <w:bottom w:w="0" w:type="dxa"/>
            <w:right w:w="108" w:type="dxa"/>
          </w:tblCellMar>
        </w:tblPrEx>
        <w:tc>
          <w:tcPr>
            <w:tcW w:w="8847" w:type="dxa"/>
            <w:gridSpan w:val="9"/>
            <w:vAlign w:val="center"/>
          </w:tcPr>
          <w:p w14:paraId="15C3BD6A">
            <w:pPr>
              <w:jc w:val="center"/>
            </w:pPr>
            <w:r>
              <w:rPr>
                <w:rFonts w:ascii="宋体" w:hAnsi="宋体" w:eastAsia="宋体"/>
                <w:sz w:val="24"/>
              </w:rPr>
              <w:t>项目支出绩效自评表</w:t>
            </w:r>
          </w:p>
        </w:tc>
      </w:tr>
      <w:tr w14:paraId="2CCA2BBA">
        <w:tblPrEx>
          <w:tblCellMar>
            <w:top w:w="0" w:type="dxa"/>
            <w:left w:w="108" w:type="dxa"/>
            <w:bottom w:w="0" w:type="dxa"/>
            <w:right w:w="108" w:type="dxa"/>
          </w:tblCellMar>
        </w:tblPrEx>
        <w:tc>
          <w:tcPr>
            <w:tcW w:w="8847" w:type="dxa"/>
            <w:gridSpan w:val="9"/>
            <w:vAlign w:val="center"/>
          </w:tcPr>
          <w:p w14:paraId="788AB756">
            <w:pPr>
              <w:jc w:val="center"/>
            </w:pPr>
            <w:r>
              <w:rPr>
                <w:rFonts w:ascii="宋体" w:hAnsi="宋体" w:eastAsia="宋体"/>
                <w:sz w:val="24"/>
              </w:rPr>
              <w:t>(2024年度)</w:t>
            </w:r>
          </w:p>
        </w:tc>
      </w:tr>
      <w:tr w14:paraId="4AC605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385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0A7484">
            <w:pPr>
              <w:jc w:val="center"/>
            </w:pPr>
            <w:r>
              <w:rPr>
                <w:rFonts w:hint="eastAsia" w:ascii="宋体" w:hAnsi="宋体"/>
                <w:sz w:val="16"/>
                <w:lang w:eastAsia="zh-CN"/>
              </w:rPr>
              <w:t>城乡居民基本医疗保险</w:t>
            </w:r>
            <w:r>
              <w:rPr>
                <w:rFonts w:ascii="宋体" w:hAnsi="宋体" w:eastAsia="宋体"/>
                <w:sz w:val="16"/>
              </w:rPr>
              <w:t>参保县配套补助资金</w:t>
            </w:r>
          </w:p>
        </w:tc>
      </w:tr>
      <w:tr w14:paraId="4C1A60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BA9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92971F">
            <w:pPr>
              <w:jc w:val="center"/>
            </w:pPr>
            <w:r>
              <w:rPr>
                <w:rFonts w:ascii="宋体" w:hAnsi="宋体" w:eastAsia="宋体"/>
                <w:sz w:val="16"/>
              </w:rPr>
              <w:t>民丰县医疗保障局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E3DD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2CF396">
            <w:pPr>
              <w:jc w:val="center"/>
            </w:pPr>
            <w:r>
              <w:rPr>
                <w:rFonts w:ascii="宋体" w:hAnsi="宋体" w:eastAsia="宋体"/>
                <w:sz w:val="16"/>
              </w:rPr>
              <w:t>民丰县医疗保障局</w:t>
            </w:r>
          </w:p>
        </w:tc>
      </w:tr>
      <w:tr w14:paraId="216D99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CA76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B5A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72AA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5BA1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9AC0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918C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3AF6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6FBF5">
            <w:pPr>
              <w:jc w:val="center"/>
            </w:pPr>
            <w:r>
              <w:rPr>
                <w:rFonts w:ascii="宋体" w:hAnsi="宋体" w:eastAsia="宋体"/>
                <w:sz w:val="16"/>
              </w:rPr>
              <w:t>得分</w:t>
            </w:r>
          </w:p>
        </w:tc>
      </w:tr>
      <w:tr w14:paraId="142FBE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E83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3B6A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8921">
            <w:pPr>
              <w:jc w:val="center"/>
            </w:pPr>
            <w:r>
              <w:rPr>
                <w:rFonts w:ascii="宋体" w:hAnsi="宋体" w:eastAsia="宋体"/>
                <w:sz w:val="16"/>
              </w:rPr>
              <w:t>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2CE1B">
            <w:pPr>
              <w:jc w:val="center"/>
            </w:pPr>
            <w:r>
              <w:rPr>
                <w:rFonts w:ascii="宋体" w:hAnsi="宋体" w:eastAsia="宋体"/>
                <w:sz w:val="16"/>
              </w:rPr>
              <w:t>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0D2E5">
            <w:pPr>
              <w:jc w:val="center"/>
            </w:pPr>
            <w:r>
              <w:rPr>
                <w:rFonts w:ascii="宋体" w:hAnsi="宋体" w:eastAsia="宋体"/>
                <w:sz w:val="16"/>
              </w:rPr>
              <w:t>17.60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92E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0EA2">
            <w:pPr>
              <w:jc w:val="center"/>
            </w:pPr>
            <w:r>
              <w:rPr>
                <w:rFonts w:ascii="宋体" w:hAnsi="宋体" w:eastAsia="宋体"/>
                <w:sz w:val="16"/>
              </w:rPr>
              <w:t xml:space="preserve">97.78%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B1964">
            <w:pPr>
              <w:jc w:val="center"/>
            </w:pPr>
            <w:r>
              <w:rPr>
                <w:rFonts w:ascii="宋体" w:hAnsi="宋体" w:eastAsia="宋体"/>
                <w:sz w:val="16"/>
              </w:rPr>
              <w:t>9.45分</w:t>
            </w:r>
          </w:p>
        </w:tc>
      </w:tr>
      <w:tr w14:paraId="14EE4B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BEB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9988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9791">
            <w:pPr>
              <w:jc w:val="center"/>
            </w:pPr>
            <w:r>
              <w:rPr>
                <w:rFonts w:ascii="宋体" w:hAnsi="宋体" w:eastAsia="宋体"/>
                <w:sz w:val="16"/>
              </w:rPr>
              <w:t>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9C3EA">
            <w:pPr>
              <w:jc w:val="center"/>
            </w:pPr>
            <w:r>
              <w:rPr>
                <w:rFonts w:ascii="宋体" w:hAnsi="宋体" w:eastAsia="宋体"/>
                <w:sz w:val="16"/>
              </w:rPr>
              <w:t>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A368E">
            <w:pPr>
              <w:jc w:val="center"/>
            </w:pPr>
            <w:r>
              <w:rPr>
                <w:rFonts w:ascii="宋体" w:hAnsi="宋体" w:eastAsia="宋体"/>
                <w:sz w:val="16"/>
              </w:rPr>
              <w:t>17.60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2AB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80A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C9399">
            <w:pPr>
              <w:jc w:val="center"/>
            </w:pPr>
            <w:r>
              <w:rPr>
                <w:rFonts w:ascii="宋体" w:hAnsi="宋体" w:eastAsia="宋体"/>
                <w:sz w:val="16"/>
              </w:rPr>
              <w:t>—</w:t>
            </w:r>
          </w:p>
        </w:tc>
      </w:tr>
      <w:tr w14:paraId="05FE26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C97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01A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BF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C29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ABD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7F0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7C6E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1CB1A">
            <w:pPr>
              <w:jc w:val="center"/>
            </w:pPr>
            <w:r>
              <w:rPr>
                <w:rFonts w:ascii="宋体" w:hAnsi="宋体" w:eastAsia="宋体"/>
                <w:sz w:val="16"/>
              </w:rPr>
              <w:t>—</w:t>
            </w:r>
          </w:p>
        </w:tc>
      </w:tr>
      <w:tr w14:paraId="3FAC8A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5FD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0F1D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1F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69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459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C2B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149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A3B5D">
            <w:pPr>
              <w:jc w:val="center"/>
            </w:pPr>
            <w:r>
              <w:rPr>
                <w:rFonts w:ascii="宋体" w:hAnsi="宋体" w:eastAsia="宋体"/>
                <w:sz w:val="16"/>
              </w:rPr>
              <w:t>—</w:t>
            </w:r>
          </w:p>
        </w:tc>
      </w:tr>
      <w:tr w14:paraId="02BC19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E0F1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D5E7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A36681">
            <w:pPr>
              <w:jc w:val="center"/>
            </w:pPr>
            <w:r>
              <w:rPr>
                <w:rFonts w:ascii="宋体" w:hAnsi="宋体" w:eastAsia="宋体"/>
                <w:sz w:val="16"/>
              </w:rPr>
              <w:t>实际完成情况</w:t>
            </w:r>
          </w:p>
        </w:tc>
      </w:tr>
      <w:tr w14:paraId="56A151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B1F7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D39220">
            <w:pPr>
              <w:jc w:val="both"/>
            </w:pPr>
            <w:r>
              <w:rPr>
                <w:rFonts w:ascii="宋体" w:hAnsi="宋体" w:eastAsia="宋体"/>
                <w:sz w:val="16"/>
              </w:rPr>
              <w:t>目标1：对贫困人口扶持，缴纳医疗保险补助人数36000人，医疗保险补助标准5元/年/人。</w:t>
            </w:r>
            <w:r>
              <w:rPr>
                <w:rFonts w:ascii="宋体" w:hAnsi="宋体" w:eastAsia="宋体"/>
                <w:sz w:val="16"/>
              </w:rPr>
              <w:br w:type="textWrapping"/>
            </w:r>
            <w:r>
              <w:rPr>
                <w:rFonts w:ascii="宋体" w:hAnsi="宋体" w:eastAsia="宋体"/>
                <w:sz w:val="16"/>
              </w:rPr>
              <w:t>目标2：通过本项目的实施，进一步加大对贫困人口扶持，完善公平适度的待遇保障机制，减轻城乡居民的医疗负担。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C6A3B5">
            <w:pPr>
              <w:jc w:val="both"/>
            </w:pPr>
            <w:r>
              <w:rPr>
                <w:rFonts w:ascii="宋体" w:hAnsi="宋体" w:eastAsia="宋体"/>
                <w:sz w:val="16"/>
              </w:rPr>
              <w:t>截至自评时间项目支付17.6万元，预算执行率97.78%。已完成对贫困人口扶持，缴纳医疗保险补助人数35198人，医疗保险补助标准5元/年/人。 通过本项目的实施，进一步加大对贫困人口扶持，完善公平适度的待遇保障机制，减轻了城乡居民的医疗负担。</w:t>
            </w:r>
          </w:p>
        </w:tc>
      </w:tr>
      <w:tr w14:paraId="63E81D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455F3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040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B350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D078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227E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0F0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692E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FB3D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BF50">
            <w:pPr>
              <w:jc w:val="center"/>
            </w:pPr>
            <w:r>
              <w:rPr>
                <w:rFonts w:ascii="宋体" w:hAnsi="宋体" w:eastAsia="宋体"/>
                <w:sz w:val="16"/>
              </w:rPr>
              <w:t>偏差原因分析及改进措施</w:t>
            </w:r>
          </w:p>
        </w:tc>
      </w:tr>
      <w:tr w14:paraId="31F336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20E4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E814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524F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8A32B">
            <w:pPr>
              <w:jc w:val="center"/>
            </w:pPr>
            <w:r>
              <w:rPr>
                <w:rFonts w:ascii="宋体" w:hAnsi="宋体" w:eastAsia="宋体"/>
                <w:sz w:val="16"/>
              </w:rPr>
              <w:t>医疗保险补助人数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83670">
            <w:pPr>
              <w:jc w:val="center"/>
            </w:pPr>
            <w:r>
              <w:rPr>
                <w:rFonts w:ascii="宋体" w:hAnsi="宋体" w:eastAsia="宋体"/>
                <w:sz w:val="16"/>
              </w:rPr>
              <w:t>&gt;=36000人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359AB">
            <w:pPr>
              <w:jc w:val="center"/>
            </w:pPr>
            <w:r>
              <w:rPr>
                <w:rFonts w:ascii="宋体" w:hAnsi="宋体" w:eastAsia="宋体"/>
                <w:sz w:val="16"/>
              </w:rPr>
              <w:t>=35198人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2D9C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D6BD9">
            <w:pPr>
              <w:jc w:val="center"/>
            </w:pPr>
            <w:r>
              <w:rPr>
                <w:rFonts w:ascii="宋体" w:hAnsi="宋体" w:eastAsia="宋体"/>
                <w:sz w:val="16"/>
              </w:rPr>
              <w:t>12.35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1E136">
            <w:pPr>
              <w:jc w:val="center"/>
            </w:pPr>
            <w:r>
              <w:rPr>
                <w:rFonts w:ascii="宋体" w:hAnsi="宋体" w:eastAsia="宋体"/>
                <w:sz w:val="16"/>
              </w:rPr>
              <w:t>偏差原因：系统清理重复参保人员。改进措施：加强宣传政策，提高居民参保率</w:t>
            </w:r>
          </w:p>
        </w:tc>
      </w:tr>
      <w:tr w14:paraId="7CE6A0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477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AB7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2924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FF013">
            <w:pPr>
              <w:jc w:val="center"/>
            </w:pPr>
            <w:r>
              <w:rPr>
                <w:rFonts w:ascii="宋体" w:hAnsi="宋体" w:eastAsia="宋体"/>
                <w:sz w:val="16"/>
              </w:rPr>
              <w:t>医疗保险补助准确率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0E7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CE7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BEC3">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1269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2D3E4">
            <w:pPr>
              <w:jc w:val="center"/>
            </w:pPr>
          </w:p>
        </w:tc>
      </w:tr>
      <w:tr w14:paraId="5DB8B5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780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5BA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8865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5E3CF">
            <w:pPr>
              <w:jc w:val="center"/>
            </w:pPr>
            <w:r>
              <w:rPr>
                <w:rFonts w:ascii="宋体" w:hAnsi="宋体" w:eastAsia="宋体"/>
                <w:sz w:val="16"/>
              </w:rPr>
              <w:t>医疗保险补助及时率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E7C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F38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379FC">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4916">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3B7EF">
            <w:pPr>
              <w:jc w:val="center"/>
            </w:pPr>
          </w:p>
        </w:tc>
      </w:tr>
      <w:tr w14:paraId="600E56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4360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3030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685B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1C16A">
            <w:pPr>
              <w:jc w:val="center"/>
            </w:pPr>
            <w:r>
              <w:rPr>
                <w:rFonts w:ascii="宋体" w:hAnsi="宋体" w:eastAsia="宋体"/>
                <w:sz w:val="16"/>
              </w:rPr>
              <w:t>医疗保险补助标准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87044">
            <w:pPr>
              <w:jc w:val="center"/>
            </w:pPr>
            <w:r>
              <w:rPr>
                <w:rFonts w:ascii="宋体" w:hAnsi="宋体" w:eastAsia="宋体"/>
                <w:sz w:val="16"/>
              </w:rPr>
              <w:t>&lt;=5元/年/人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9DC60">
            <w:pPr>
              <w:jc w:val="center"/>
            </w:pPr>
            <w:r>
              <w:rPr>
                <w:rFonts w:ascii="宋体" w:hAnsi="宋体" w:eastAsia="宋体"/>
                <w:sz w:val="16"/>
              </w:rPr>
              <w:t>=5元/年/人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745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84F45">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C2578">
            <w:pPr>
              <w:jc w:val="center"/>
            </w:pPr>
            <w:r>
              <w:rPr>
                <w:rFonts w:ascii="宋体" w:hAnsi="宋体" w:eastAsia="宋体"/>
                <w:sz w:val="16"/>
              </w:rPr>
              <w:t>偏差原因：系统清理重复参保人员。改进措施：加强宣传政策，提高居民参保率</w:t>
            </w:r>
          </w:p>
        </w:tc>
      </w:tr>
      <w:tr w14:paraId="188519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47B4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7BC4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24B2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87F4C">
            <w:pPr>
              <w:jc w:val="center"/>
            </w:pPr>
            <w:r>
              <w:rPr>
                <w:rFonts w:ascii="宋体" w:hAnsi="宋体" w:eastAsia="宋体"/>
                <w:sz w:val="16"/>
              </w:rPr>
              <w:t>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7B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BED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701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684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F5258">
            <w:pPr>
              <w:jc w:val="center"/>
            </w:pPr>
            <w:r>
              <w:rPr>
                <w:rFonts w:ascii="宋体" w:hAnsi="宋体" w:eastAsia="宋体"/>
                <w:sz w:val="16"/>
              </w:rPr>
              <w:t>加强宣传力度</w:t>
            </w:r>
          </w:p>
        </w:tc>
      </w:tr>
      <w:tr w14:paraId="036C17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276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0F7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B8D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DE9C5">
            <w:pPr>
              <w:jc w:val="center"/>
            </w:pPr>
            <w:r>
              <w:rPr>
                <w:rFonts w:ascii="宋体" w:hAnsi="宋体" w:eastAsia="宋体"/>
                <w:sz w:val="16"/>
              </w:rPr>
              <w:t>城乡居民生活保障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CF469">
            <w:pPr>
              <w:jc w:val="center"/>
            </w:pPr>
            <w:r>
              <w:rPr>
                <w:rFonts w:ascii="宋体" w:hAnsi="宋体" w:eastAsia="宋体"/>
                <w:sz w:val="16"/>
              </w:rPr>
              <w:t>显著提升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243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0D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F649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CE343">
            <w:pPr>
              <w:jc w:val="center"/>
            </w:pPr>
          </w:p>
        </w:tc>
      </w:tr>
      <w:tr w14:paraId="5B2A86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A095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AB9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202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E7E01">
            <w:pPr>
              <w:jc w:val="center"/>
            </w:pPr>
            <w:r>
              <w:rPr>
                <w:rFonts w:ascii="宋体" w:hAnsi="宋体" w:eastAsia="宋体"/>
                <w:sz w:val="16"/>
              </w:rPr>
              <w:t>减轻城乡居民的医疗负担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C4904">
            <w:pPr>
              <w:jc w:val="center"/>
            </w:pPr>
            <w:r>
              <w:rPr>
                <w:rFonts w:ascii="宋体" w:hAnsi="宋体" w:eastAsia="宋体"/>
                <w:sz w:val="16"/>
              </w:rPr>
              <w:t>明显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0E4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EEA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A993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412A">
            <w:pPr>
              <w:jc w:val="center"/>
            </w:pPr>
          </w:p>
        </w:tc>
      </w:tr>
      <w:tr w14:paraId="4C9DC2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48F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6F40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37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D488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C4C5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C05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99D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374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3A8DD">
            <w:pPr>
              <w:jc w:val="center"/>
            </w:pPr>
            <w:r>
              <w:rPr>
                <w:rFonts w:ascii="宋体" w:hAnsi="宋体" w:eastAsia="宋体"/>
                <w:sz w:val="16"/>
              </w:rPr>
              <w:t>进一步加大对贫困人口扶持，完善公平适度的待遇保障机制，减轻城乡居民的医疗负担。</w:t>
            </w:r>
          </w:p>
        </w:tc>
      </w:tr>
      <w:tr w14:paraId="5054C60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793B0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2015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3A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E14A2">
            <w:pPr>
              <w:jc w:val="center"/>
            </w:pPr>
            <w:r>
              <w:rPr>
                <w:rFonts w:ascii="宋体" w:hAnsi="宋体" w:eastAsia="宋体"/>
                <w:sz w:val="16"/>
              </w:rPr>
              <w:t>97.69分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4C63F4"/>
        </w:tc>
      </w:tr>
    </w:tbl>
    <w:p w14:paraId="32E99BBC">
      <w:r>
        <w:br w:type="page"/>
      </w:r>
    </w:p>
    <w:p w14:paraId="513DB099">
      <w:pPr>
        <w:spacing w:line="640" w:lineRule="exact"/>
        <w:ind w:firstLine="640"/>
        <w:jc w:val="both"/>
        <w:outlineLvl w:val="2"/>
      </w:pPr>
      <w:r>
        <w:rPr>
          <w:rFonts w:ascii="黑体" w:hAnsi="黑体" w:eastAsia="黑体"/>
          <w:sz w:val="32"/>
        </w:rPr>
        <w:t>十二、其他需说明的事项</w:t>
      </w:r>
    </w:p>
    <w:p w14:paraId="5AFEF821">
      <w:pPr>
        <w:spacing w:line="580" w:lineRule="exact"/>
        <w:ind w:firstLine="640"/>
        <w:jc w:val="both"/>
      </w:pPr>
      <w:r>
        <w:rPr>
          <w:rFonts w:ascii="仿宋_GB2312" w:hAnsi="仿宋_GB2312" w:eastAsia="仿宋_GB2312"/>
          <w:b w:val="0"/>
          <w:sz w:val="32"/>
        </w:rPr>
        <w:t>本单位无其他需说明的事项。</w:t>
      </w:r>
    </w:p>
    <w:p w14:paraId="2CECF01A">
      <w:r>
        <w:br w:type="page"/>
      </w:r>
    </w:p>
    <w:p w14:paraId="74D782E1">
      <w:pPr>
        <w:spacing w:line="240" w:lineRule="auto"/>
        <w:jc w:val="center"/>
        <w:outlineLvl w:val="1"/>
      </w:pPr>
      <w:r>
        <w:rPr>
          <w:rFonts w:ascii="黑体" w:hAnsi="黑体" w:eastAsia="黑体"/>
          <w:sz w:val="32"/>
        </w:rPr>
        <w:t>第三部分 专业名词解释</w:t>
      </w:r>
    </w:p>
    <w:p w14:paraId="2B283A8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EF0AB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07A3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E85E9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CA7D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24E7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A5444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04F52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6B745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4D49C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0DE4F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61481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42EC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703C2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7B49F9">
      <w:r>
        <w:br w:type="page"/>
      </w:r>
    </w:p>
    <w:p w14:paraId="0ED77A57">
      <w:pPr>
        <w:spacing w:line="240" w:lineRule="auto"/>
        <w:jc w:val="center"/>
        <w:outlineLvl w:val="1"/>
      </w:pPr>
      <w:r>
        <w:rPr>
          <w:rFonts w:ascii="黑体" w:hAnsi="黑体" w:eastAsia="黑体"/>
          <w:sz w:val="32"/>
        </w:rPr>
        <w:t>第四部分 部门决算报表（见附表）</w:t>
      </w:r>
    </w:p>
    <w:p w14:paraId="10E79A45">
      <w:pPr>
        <w:spacing w:line="240" w:lineRule="auto"/>
        <w:ind w:firstLine="640"/>
        <w:jc w:val="both"/>
      </w:pPr>
      <w:r>
        <w:rPr>
          <w:rFonts w:ascii="仿宋_GB2312" w:hAnsi="仿宋_GB2312" w:eastAsia="仿宋_GB2312"/>
          <w:b w:val="0"/>
          <w:sz w:val="32"/>
        </w:rPr>
        <w:t>一、《收入支出决算总表》</w:t>
      </w:r>
    </w:p>
    <w:p w14:paraId="57084233">
      <w:pPr>
        <w:spacing w:line="240" w:lineRule="auto"/>
        <w:ind w:firstLine="640"/>
        <w:jc w:val="both"/>
      </w:pPr>
      <w:r>
        <w:rPr>
          <w:rFonts w:ascii="仿宋_GB2312" w:hAnsi="仿宋_GB2312" w:eastAsia="仿宋_GB2312"/>
          <w:b w:val="0"/>
          <w:sz w:val="32"/>
        </w:rPr>
        <w:t>二、《收入决算表》</w:t>
      </w:r>
    </w:p>
    <w:p w14:paraId="4945B410">
      <w:pPr>
        <w:spacing w:line="240" w:lineRule="auto"/>
        <w:ind w:firstLine="640"/>
        <w:jc w:val="both"/>
      </w:pPr>
      <w:r>
        <w:rPr>
          <w:rFonts w:ascii="仿宋_GB2312" w:hAnsi="仿宋_GB2312" w:eastAsia="仿宋_GB2312"/>
          <w:b w:val="0"/>
          <w:sz w:val="32"/>
        </w:rPr>
        <w:t>三、《支出决算表》</w:t>
      </w:r>
    </w:p>
    <w:p w14:paraId="05D96A34">
      <w:pPr>
        <w:spacing w:line="240" w:lineRule="auto"/>
        <w:ind w:firstLine="640"/>
        <w:jc w:val="both"/>
      </w:pPr>
      <w:r>
        <w:rPr>
          <w:rFonts w:ascii="仿宋_GB2312" w:hAnsi="仿宋_GB2312" w:eastAsia="仿宋_GB2312"/>
          <w:b w:val="0"/>
          <w:sz w:val="32"/>
        </w:rPr>
        <w:t>四、《财政拨款收入支出决算总表》</w:t>
      </w:r>
    </w:p>
    <w:p w14:paraId="56BE35E1">
      <w:pPr>
        <w:spacing w:line="240" w:lineRule="auto"/>
        <w:ind w:firstLine="640"/>
        <w:jc w:val="both"/>
      </w:pPr>
      <w:r>
        <w:rPr>
          <w:rFonts w:ascii="仿宋_GB2312" w:hAnsi="仿宋_GB2312" w:eastAsia="仿宋_GB2312"/>
          <w:b w:val="0"/>
          <w:sz w:val="32"/>
        </w:rPr>
        <w:t>五、《一般公共预算财政拨款支出决算表》</w:t>
      </w:r>
    </w:p>
    <w:p w14:paraId="105768B1">
      <w:pPr>
        <w:spacing w:line="240" w:lineRule="auto"/>
        <w:ind w:firstLine="640"/>
        <w:jc w:val="both"/>
      </w:pPr>
      <w:r>
        <w:rPr>
          <w:rFonts w:ascii="仿宋_GB2312" w:hAnsi="仿宋_GB2312" w:eastAsia="仿宋_GB2312"/>
          <w:b w:val="0"/>
          <w:sz w:val="32"/>
        </w:rPr>
        <w:t>六、《一般公共预算财政拨款基本支出决算表》</w:t>
      </w:r>
    </w:p>
    <w:p w14:paraId="17025A6E">
      <w:pPr>
        <w:spacing w:line="240" w:lineRule="auto"/>
        <w:ind w:firstLine="640"/>
        <w:jc w:val="both"/>
      </w:pPr>
      <w:r>
        <w:rPr>
          <w:rFonts w:ascii="仿宋_GB2312" w:hAnsi="仿宋_GB2312" w:eastAsia="仿宋_GB2312"/>
          <w:b w:val="0"/>
          <w:sz w:val="32"/>
        </w:rPr>
        <w:t>七、《政府性基金预算财政拨款收入支出决算表》</w:t>
      </w:r>
    </w:p>
    <w:p w14:paraId="5FD7EC86">
      <w:pPr>
        <w:spacing w:line="240" w:lineRule="auto"/>
        <w:ind w:firstLine="640"/>
        <w:jc w:val="both"/>
      </w:pPr>
      <w:r>
        <w:rPr>
          <w:rFonts w:ascii="仿宋_GB2312" w:hAnsi="仿宋_GB2312" w:eastAsia="仿宋_GB2312"/>
          <w:b w:val="0"/>
          <w:sz w:val="32"/>
        </w:rPr>
        <w:t>八、《国有资本经营预算财政拨款收入支出决算表》</w:t>
      </w:r>
    </w:p>
    <w:p w14:paraId="0BD153C2">
      <w:pPr>
        <w:spacing w:line="240" w:lineRule="auto"/>
        <w:ind w:firstLine="640"/>
        <w:jc w:val="both"/>
      </w:pPr>
      <w:r>
        <w:rPr>
          <w:rFonts w:ascii="仿宋_GB2312" w:hAnsi="仿宋_GB2312" w:eastAsia="仿宋_GB2312"/>
          <w:b w:val="0"/>
          <w:sz w:val="32"/>
        </w:rPr>
        <w:t>九、《财政拨款“三公”经费支出决算表》</w:t>
      </w:r>
    </w:p>
    <w:p w14:paraId="769AE15C">
      <w:pPr>
        <w:spacing w:line="240" w:lineRule="auto"/>
        <w:ind w:firstLine="640"/>
        <w:jc w:val="both"/>
      </w:pPr>
    </w:p>
    <w:p w14:paraId="430A34DC">
      <w:pPr>
        <w:spacing w:line="240" w:lineRule="auto"/>
        <w:ind w:firstLine="640"/>
        <w:jc w:val="both"/>
      </w:pPr>
    </w:p>
    <w:p w14:paraId="127B5335">
      <w:pPr>
        <w:spacing w:line="240" w:lineRule="auto"/>
        <w:ind w:firstLine="640"/>
        <w:jc w:val="both"/>
      </w:pPr>
    </w:p>
    <w:p w14:paraId="40705A62">
      <w:pPr>
        <w:spacing w:line="240" w:lineRule="auto"/>
        <w:ind w:firstLine="640"/>
        <w:jc w:val="both"/>
      </w:pPr>
    </w:p>
    <w:p w14:paraId="0348136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023F6C"/>
    <w:rsid w:val="50DB5F45"/>
    <w:rsid w:val="52F92565"/>
    <w:rsid w:val="543D17CB"/>
    <w:rsid w:val="55601533"/>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5420</Words>
  <Characters>6244</Characters>
  <Lines>0</Lines>
  <Paragraphs>0</Paragraphs>
  <TotalTime>9</TotalTime>
  <ScaleCrop>false</ScaleCrop>
  <LinksUpToDate>false</LinksUpToDate>
  <CharactersWithSpaces>6252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2025-09-25T03:35:37Z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