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4AEF4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民丰县农业农村局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2566956">
      <w:r>
        <w:br w:type="page"/>
      </w:r>
    </w:p>
    <w:p w14:paraId="56BD7AC9">
      <w:pPr>
        <w:spacing w:line="640" w:lineRule="exact"/>
        <w:jc w:val="center"/>
        <w:outlineLvl w:val="1"/>
      </w:pPr>
      <w:r>
        <w:rPr>
          <w:rFonts w:ascii="黑体" w:hAnsi="黑体" w:eastAsia="黑体"/>
          <w:sz w:val="32"/>
        </w:rPr>
        <w:t>第一部分 单位概况</w:t>
      </w:r>
    </w:p>
    <w:p w14:paraId="3A502EF3">
      <w:pPr>
        <w:spacing w:line="640" w:lineRule="exact"/>
        <w:ind w:firstLine="640"/>
        <w:jc w:val="both"/>
        <w:outlineLvl w:val="2"/>
      </w:pPr>
      <w:r>
        <w:rPr>
          <w:rFonts w:ascii="黑体" w:hAnsi="黑体" w:eastAsia="黑体"/>
          <w:sz w:val="32"/>
        </w:rPr>
        <w:t>一、主要职能</w:t>
      </w:r>
    </w:p>
    <w:p w14:paraId="6C88965B">
      <w:pPr>
        <w:spacing w:line="580" w:lineRule="exact"/>
        <w:ind w:firstLine="640"/>
        <w:jc w:val="both"/>
      </w:pPr>
      <w:r>
        <w:rPr>
          <w:rFonts w:ascii="仿宋_GB2312" w:hAnsi="仿宋_GB2312" w:eastAsia="仿宋_GB2312"/>
          <w:sz w:val="32"/>
        </w:rPr>
        <w:t>农业农村局负责贯彻落实党中央关于</w:t>
      </w:r>
      <w:r>
        <w:rPr>
          <w:rFonts w:hint="eastAsia" w:ascii="仿宋_GB2312" w:hAnsi="仿宋_GB2312" w:eastAsia="仿宋_GB2312"/>
          <w:sz w:val="32"/>
          <w:lang w:eastAsia="zh-CN"/>
        </w:rPr>
        <w:t>“三农”</w:t>
      </w:r>
      <w:r>
        <w:rPr>
          <w:rFonts w:ascii="仿宋_GB2312" w:hAnsi="仿宋_GB2312" w:eastAsia="仿宋_GB2312"/>
          <w:sz w:val="32"/>
        </w:rPr>
        <w:t>工作的方针政策、自治区党委决策部署、地委工作要求和县委工作安排，把坚持和加强党对</w:t>
      </w:r>
      <w:r>
        <w:rPr>
          <w:rFonts w:hint="eastAsia" w:ascii="仿宋_GB2312" w:hAnsi="仿宋_GB2312" w:eastAsia="仿宋_GB2312"/>
          <w:sz w:val="32"/>
          <w:lang w:eastAsia="zh-CN"/>
        </w:rPr>
        <w:t>“三农”</w:t>
      </w:r>
      <w:r>
        <w:rPr>
          <w:rFonts w:ascii="仿宋_GB2312" w:hAnsi="仿宋_GB2312" w:eastAsia="仿宋_GB2312"/>
          <w:sz w:val="32"/>
        </w:rPr>
        <w:t>工作的集中统一领导落实到履行职责过程中。主要职责是。</w:t>
      </w:r>
    </w:p>
    <w:p w14:paraId="73A7FD5A">
      <w:pPr>
        <w:spacing w:line="580" w:lineRule="exact"/>
        <w:ind w:firstLine="640"/>
        <w:jc w:val="both"/>
      </w:pPr>
      <w:r>
        <w:rPr>
          <w:rFonts w:ascii="仿宋_GB2312" w:hAnsi="仿宋_GB2312" w:eastAsia="仿宋_GB2312"/>
          <w:sz w:val="32"/>
        </w:rPr>
        <w:t>（一）统筹研究和组织实施以乡村振兴为重心的</w:t>
      </w:r>
      <w:r>
        <w:rPr>
          <w:rFonts w:hint="eastAsia" w:ascii="仿宋_GB2312" w:hAnsi="仿宋_GB2312" w:eastAsia="仿宋_GB2312"/>
          <w:sz w:val="32"/>
          <w:lang w:eastAsia="zh-CN"/>
        </w:rPr>
        <w:t>“三农”</w:t>
      </w:r>
      <w:r>
        <w:rPr>
          <w:rFonts w:ascii="仿宋_GB2312" w:hAnsi="仿宋_GB2312" w:eastAsia="仿宋_GB2312"/>
          <w:sz w:val="32"/>
        </w:rPr>
        <w:t>工作发展战略、中长期规划、重大政策。组织起草农业农村和乡村振兴有关规范性文件和草案，负责和指导监督农业综合执法。参与涉农的财税、价格、收储、金融保险等政策研究。</w:t>
      </w:r>
    </w:p>
    <w:p w14:paraId="024B203D">
      <w:pPr>
        <w:spacing w:line="580" w:lineRule="exact"/>
        <w:ind w:firstLine="640"/>
        <w:jc w:val="both"/>
      </w:pPr>
      <w:r>
        <w:rPr>
          <w:rFonts w:ascii="仿宋_GB2312" w:hAnsi="仿宋_GB2312" w:eastAsia="仿宋_GB2312"/>
          <w:sz w:val="32"/>
        </w:rPr>
        <w:t>（二）统筹推动发展农村社会事业、农村公共服务、农村文化、农村基础设施和乡村治理。牵头组织改善农村人居环境。指导农村精神文明和优秀农耕文化建设。指导农业行业安全生产工作。</w:t>
      </w:r>
    </w:p>
    <w:p w14:paraId="03372608">
      <w:pPr>
        <w:spacing w:line="580" w:lineRule="exact"/>
        <w:ind w:firstLine="640"/>
        <w:jc w:val="both"/>
      </w:pPr>
      <w:r>
        <w:rPr>
          <w:rFonts w:ascii="仿宋_GB2312" w:hAnsi="仿宋_GB2312" w:eastAsia="仿宋_GB2312"/>
          <w:sz w:val="32"/>
        </w:rPr>
        <w:t>（三）负责农民承包地、农村宅基地、农村集体产权制度改革和管理有关工作。拟订深化农村经济体制改革和巩固完善农村基本经营制度的政策。指导农村集体经济组织发展和集体资产管理工作。指导农民合作经济组织、农业社会化服务体系、新型农业经营主体建设与发展。</w:t>
      </w:r>
    </w:p>
    <w:p w14:paraId="60CF00DD">
      <w:pPr>
        <w:spacing w:line="580" w:lineRule="exact"/>
        <w:ind w:firstLine="640"/>
        <w:jc w:val="both"/>
      </w:pPr>
      <w:r>
        <w:rPr>
          <w:rFonts w:ascii="仿宋_GB2312" w:hAnsi="仿宋_GB2312" w:eastAsia="仿宋_GB2312"/>
          <w:sz w:val="32"/>
        </w:rPr>
        <w:t>（四）负责巩固拓展脱贫攻坚成果有关工作。牵头开展防止返贫监测和帮扶，贯彻落实乡村振兴重点帮扶县帮扶政策。组织开展对口支援、社会帮扶，会同相关部门组织实施过渡期内巩固拓展脱贫攻坚成果相关考核评估工作。研究提出中央、自治区、地区、县财政衔接推进乡村振兴相关资金分配建议方案并指导、监督资金使用，推动乡村帮扶产业发展。承担农村低收入人口常态化帮扶有关工作，构建长效帮扶机制。</w:t>
      </w:r>
    </w:p>
    <w:p w14:paraId="0028C508">
      <w:pPr>
        <w:spacing w:line="580" w:lineRule="exact"/>
        <w:ind w:firstLine="640"/>
        <w:jc w:val="both"/>
      </w:pPr>
      <w:r>
        <w:rPr>
          <w:rFonts w:ascii="仿宋_GB2312" w:hAnsi="仿宋_GB2312" w:eastAsia="仿宋_GB2312"/>
          <w:sz w:val="32"/>
        </w:rPr>
        <w:t>（五）负责指导全县乡村特色产业、农产品加工业、休闲农业和乡镇企业发展工作，推动延长农产品产业链。提出促进大宗农产品流通的建议，培育、保护农业品牌。发布农业农村经济信息，监测分析农业农村经济运行。承担农业统计和农业农村信息化有关工作。</w:t>
      </w:r>
    </w:p>
    <w:p w14:paraId="275DB3E4">
      <w:pPr>
        <w:spacing w:line="580" w:lineRule="exact"/>
        <w:ind w:firstLine="640"/>
        <w:jc w:val="both"/>
      </w:pPr>
      <w:r>
        <w:rPr>
          <w:rFonts w:ascii="仿宋_GB2312" w:hAnsi="仿宋_GB2312" w:eastAsia="仿宋_GB2312"/>
          <w:sz w:val="32"/>
        </w:rPr>
        <w:t>（六）负责种植业、畜牧业、渔业、农业机械化等农业各产业的监督管理。指导粮食等农产品生产，推进构建多元化食物供给体系。组织构建现代农业产业体系、生产体系、经营体系，指导农业标准化生产。</w:t>
      </w:r>
    </w:p>
    <w:p w14:paraId="0AB7FA2E">
      <w:pPr>
        <w:spacing w:line="580" w:lineRule="exact"/>
        <w:ind w:firstLine="640"/>
        <w:jc w:val="both"/>
      </w:pPr>
      <w:r>
        <w:rPr>
          <w:rFonts w:ascii="仿宋_GB2312" w:hAnsi="仿宋_GB2312" w:eastAsia="仿宋_GB2312"/>
          <w:sz w:val="32"/>
        </w:rPr>
        <w:t>（七）负责农产品质量安全监督管理。组织开展农产品质量安全监测、追溯、风险评估。参与制定有关农产品质量安全地方标准并会同有关部门组织实施。指导农产品检验检测体系建设。</w:t>
      </w:r>
    </w:p>
    <w:p w14:paraId="072149E5">
      <w:pPr>
        <w:spacing w:line="580" w:lineRule="exact"/>
        <w:ind w:firstLine="640"/>
        <w:jc w:val="both"/>
      </w:pPr>
      <w:r>
        <w:rPr>
          <w:rFonts w:ascii="仿宋_GB2312" w:hAnsi="仿宋_GB2312" w:eastAsia="仿宋_GB2312"/>
          <w:sz w:val="32"/>
        </w:rPr>
        <w:t>（八）负责耕地、永久基本农田质量保护和高标准农田建设工作。组织农业资源区划工作。指导农用地、渔业水域以及农业生物物种资源的保护与管理，负责水生野生动植物保护工作。指导农产品产地环境管理和农业清洁生产。指导设施农业、生态循环农业、节水农业发展以及农村可再生能源综合开发利用、农业生物质产业发展。承担外来物种相关管理工作。</w:t>
      </w:r>
    </w:p>
    <w:p w14:paraId="014BF571">
      <w:pPr>
        <w:spacing w:line="580" w:lineRule="exact"/>
        <w:ind w:firstLine="640"/>
        <w:jc w:val="both"/>
      </w:pPr>
      <w:r>
        <w:rPr>
          <w:rFonts w:ascii="仿宋_GB2312" w:hAnsi="仿宋_GB2312" w:eastAsia="仿宋_GB2312"/>
          <w:sz w:val="32"/>
        </w:rPr>
        <w:t>（九）负责全县有关农业生产资料和农业投入品的监督管理。组织农业生产资料市场体系建设，参与有关农业生产资料地方标准拟定并监督实施。拟订全县农作物种业发展规划和计划。落实兽药质量、兽药残留限量和残留检测方法地方性标准并按规定执行。组织开展兽医医政、兽药药政药检工作，负责饲料饲草和畜禽屠宰行业管理。</w:t>
      </w:r>
    </w:p>
    <w:p w14:paraId="689DD9A6">
      <w:pPr>
        <w:spacing w:line="580" w:lineRule="exact"/>
        <w:ind w:firstLine="640"/>
        <w:jc w:val="both"/>
      </w:pPr>
      <w:r>
        <w:rPr>
          <w:rFonts w:ascii="仿宋_GB2312" w:hAnsi="仿宋_GB2312" w:eastAsia="仿宋_GB2312"/>
          <w:sz w:val="32"/>
        </w:rPr>
        <w:t>（十）负责农业防灾减灾、农作物重大病虫害防治工作。指导动植物防疫检疫体系建设，组织、监督县内动植物防疫检疫工作，组织扑灭</w:t>
      </w:r>
      <w:r>
        <w:rPr>
          <w:rFonts w:hint="eastAsia" w:ascii="仿宋_GB2312" w:hAnsi="仿宋_GB2312" w:eastAsia="仿宋_GB2312"/>
          <w:sz w:val="32"/>
          <w:lang w:eastAsia="zh-CN"/>
        </w:rPr>
        <w:t>YQ</w:t>
      </w:r>
      <w:r>
        <w:rPr>
          <w:rFonts w:ascii="仿宋_GB2312" w:hAnsi="仿宋_GB2312" w:eastAsia="仿宋_GB2312"/>
          <w:sz w:val="32"/>
        </w:rPr>
        <w:t>。</w:t>
      </w:r>
    </w:p>
    <w:p w14:paraId="4369455A">
      <w:pPr>
        <w:spacing w:line="580" w:lineRule="exact"/>
        <w:ind w:firstLine="640"/>
        <w:jc w:val="both"/>
      </w:pPr>
      <w:r>
        <w:rPr>
          <w:rFonts w:ascii="仿宋_GB2312" w:hAnsi="仿宋_GB2312" w:eastAsia="仿宋_GB2312"/>
          <w:sz w:val="32"/>
        </w:rPr>
        <w:t>（十一）负责农业投资管理。提出农业投融资体制机制改革建议。编制中央、自治区、地区、县投资安排的农业投资项目建设规划，提出农业投资规模和方向、扶持农业农村发展财政项目的建议，按规定权限审批和上报农业投资项目，负责农业投资项目资金安排和监督管理。</w:t>
      </w:r>
    </w:p>
    <w:p w14:paraId="0ECD51CA">
      <w:pPr>
        <w:spacing w:line="580" w:lineRule="exact"/>
        <w:ind w:firstLine="640"/>
        <w:jc w:val="both"/>
      </w:pPr>
      <w:r>
        <w:rPr>
          <w:rFonts w:ascii="仿宋_GB2312" w:hAnsi="仿宋_GB2312" w:eastAsia="仿宋_GB2312"/>
          <w:sz w:val="32"/>
        </w:rPr>
        <w:t>（十二）指导农业产业技术体系和农技推广体系建设，组织开展农业领域高新技术的应用和推广。负责农业转基因生物安全监督管理，负责农业植物新品种保护。</w:t>
      </w:r>
    </w:p>
    <w:p w14:paraId="59A89F35">
      <w:pPr>
        <w:spacing w:line="580" w:lineRule="exact"/>
        <w:ind w:firstLine="640"/>
        <w:jc w:val="both"/>
      </w:pPr>
      <w:r>
        <w:rPr>
          <w:rFonts w:ascii="仿宋_GB2312" w:hAnsi="仿宋_GB2312" w:eastAsia="仿宋_GB2312"/>
          <w:sz w:val="32"/>
        </w:rPr>
        <w:t>（十三）指导农业农村人才工作。拟订农业农村人才队伍建设规划并组织实施，指导农业教育和农业职业技能开发，指导高素质农民培育、农业科技人才培养和农村实用人才培训工作。</w:t>
      </w:r>
    </w:p>
    <w:p w14:paraId="40526285">
      <w:pPr>
        <w:spacing w:line="580" w:lineRule="exact"/>
        <w:ind w:firstLine="640"/>
        <w:jc w:val="both"/>
      </w:pPr>
      <w:r>
        <w:rPr>
          <w:rFonts w:ascii="仿宋_GB2312" w:hAnsi="仿宋_GB2312" w:eastAsia="仿宋_GB2312"/>
          <w:sz w:val="32"/>
        </w:rPr>
        <w:t>（十四）牵头开展农业对外合作工作。承办农业涉外事务，参与县农业贸易促进和有关国际交流合作，参与制定县农业对外援助政策和规划，协助有关部门组织实施有关农业援助项目。</w:t>
      </w:r>
    </w:p>
    <w:p w14:paraId="067780E0">
      <w:pPr>
        <w:spacing w:line="580" w:lineRule="exact"/>
        <w:ind w:firstLine="640"/>
        <w:jc w:val="both"/>
      </w:pPr>
      <w:r>
        <w:rPr>
          <w:rFonts w:ascii="仿宋_GB2312" w:hAnsi="仿宋_GB2312" w:eastAsia="仿宋_GB2312"/>
          <w:sz w:val="32"/>
        </w:rPr>
        <w:t>（十五）完成县委、县政府交办的其他任务。</w:t>
      </w:r>
    </w:p>
    <w:p w14:paraId="5BE927CE">
      <w:pPr>
        <w:spacing w:line="640" w:lineRule="exact"/>
        <w:ind w:firstLine="640"/>
        <w:jc w:val="both"/>
        <w:outlineLvl w:val="2"/>
      </w:pPr>
      <w:r>
        <w:rPr>
          <w:rFonts w:ascii="黑体" w:hAnsi="黑体" w:eastAsia="黑体"/>
          <w:sz w:val="32"/>
        </w:rPr>
        <w:t>二、机构设置及人员情况</w:t>
      </w:r>
    </w:p>
    <w:p w14:paraId="7A5523CA">
      <w:pPr>
        <w:spacing w:line="580" w:lineRule="exact"/>
        <w:ind w:firstLine="640"/>
        <w:jc w:val="both"/>
      </w:pPr>
      <w:r>
        <w:rPr>
          <w:rFonts w:ascii="仿宋_GB2312" w:hAnsi="仿宋_GB2312" w:eastAsia="仿宋_GB2312"/>
          <w:sz w:val="32"/>
        </w:rPr>
        <w:t>民丰县农业农村局2024年度，实有人数41人，其中：在职人员23人，增加23人；离休人员0人，增加0人；退休人员18人,增加18人。</w:t>
      </w:r>
    </w:p>
    <w:p w14:paraId="2DB49153">
      <w:pPr>
        <w:spacing w:line="580" w:lineRule="exact"/>
        <w:ind w:firstLine="640"/>
        <w:jc w:val="both"/>
      </w:pPr>
      <w:r>
        <w:rPr>
          <w:rFonts w:ascii="仿宋_GB2312" w:hAnsi="仿宋_GB2312" w:eastAsia="仿宋_GB2312"/>
          <w:sz w:val="32"/>
        </w:rPr>
        <w:t>民丰县农业农村局无下属预算单位，下设14个科室，分别是：农机发展中心、畜牧技术发展中心、乡村振兴发展中心、农经发展中心、种业发展中心、农业技术推广站、农产品质量安全监测中心、综合科、秘书科、财务科、机要保密科、专用通讯科、史志办、档案馆。</w:t>
      </w:r>
    </w:p>
    <w:p w14:paraId="281FCBB0">
      <w:r>
        <w:br w:type="page"/>
      </w:r>
    </w:p>
    <w:p w14:paraId="7682218D">
      <w:pPr>
        <w:spacing w:line="240" w:lineRule="auto"/>
        <w:jc w:val="center"/>
        <w:outlineLvl w:val="1"/>
      </w:pPr>
      <w:r>
        <w:rPr>
          <w:rFonts w:ascii="黑体" w:hAnsi="黑体" w:eastAsia="黑体"/>
          <w:sz w:val="32"/>
        </w:rPr>
        <w:t>第二部分 部门决算情况说明</w:t>
      </w:r>
    </w:p>
    <w:p w14:paraId="0AA918EB">
      <w:pPr>
        <w:spacing w:line="640" w:lineRule="exact"/>
        <w:ind w:firstLine="640"/>
        <w:jc w:val="both"/>
        <w:outlineLvl w:val="2"/>
      </w:pPr>
      <w:r>
        <w:rPr>
          <w:rFonts w:ascii="黑体" w:hAnsi="黑体" w:eastAsia="黑体"/>
          <w:sz w:val="32"/>
        </w:rPr>
        <w:t>一、收入支出决算总体情况说明</w:t>
      </w:r>
    </w:p>
    <w:p w14:paraId="56DCC270">
      <w:pPr>
        <w:spacing w:line="580" w:lineRule="exact"/>
        <w:ind w:firstLine="640"/>
        <w:jc w:val="both"/>
      </w:pPr>
      <w:r>
        <w:rPr>
          <w:rFonts w:ascii="仿宋_GB2312" w:hAnsi="仿宋_GB2312" w:eastAsia="仿宋_GB2312"/>
          <w:b/>
          <w:sz w:val="32"/>
        </w:rPr>
        <w:t>2024年度收入总计3,199.25万元，</w:t>
      </w:r>
      <w:r>
        <w:rPr>
          <w:rFonts w:ascii="仿宋_GB2312" w:hAnsi="仿宋_GB2312" w:eastAsia="仿宋_GB2312"/>
          <w:b w:val="0"/>
          <w:sz w:val="32"/>
        </w:rPr>
        <w:t>其中：本年收入合计3,199.25万元，使用非财政拨款结余（含专用结余）0.00万元，年初结转和结余0.00万元。</w:t>
      </w:r>
    </w:p>
    <w:p w14:paraId="555A32B7">
      <w:pPr>
        <w:spacing w:line="580" w:lineRule="exact"/>
        <w:ind w:firstLine="640"/>
        <w:jc w:val="both"/>
      </w:pPr>
      <w:r>
        <w:rPr>
          <w:rFonts w:ascii="仿宋_GB2312" w:hAnsi="仿宋_GB2312" w:eastAsia="仿宋_GB2312"/>
          <w:b/>
          <w:sz w:val="32"/>
        </w:rPr>
        <w:t>2024年度支出总计3,199.25万元，</w:t>
      </w:r>
      <w:r>
        <w:rPr>
          <w:rFonts w:ascii="仿宋_GB2312" w:hAnsi="仿宋_GB2312" w:eastAsia="仿宋_GB2312"/>
          <w:b w:val="0"/>
          <w:sz w:val="32"/>
        </w:rPr>
        <w:t>其中：本年支出合计3,199.25万元，结余分配0.00万元，年末结转和结余0.00万元。</w:t>
      </w:r>
    </w:p>
    <w:p w14:paraId="4F30B3FF">
      <w:pPr>
        <w:spacing w:line="580" w:lineRule="exact"/>
        <w:ind w:firstLine="640"/>
        <w:jc w:val="both"/>
      </w:pPr>
      <w:r>
        <w:rPr>
          <w:rFonts w:ascii="仿宋_GB2312" w:hAnsi="仿宋_GB2312" w:eastAsia="仿宋_GB2312"/>
          <w:b w:val="0"/>
          <w:sz w:val="32"/>
        </w:rPr>
        <w:t>收入支出总体与上年相比，增加3,199.25万元，增长100.00%，主要原因是：机构改革，2024年8月份新成立单位，无上年对比数。</w:t>
      </w:r>
    </w:p>
    <w:p w14:paraId="3D2E15EA">
      <w:pPr>
        <w:spacing w:line="640" w:lineRule="exact"/>
        <w:ind w:firstLine="640"/>
        <w:jc w:val="both"/>
        <w:outlineLvl w:val="2"/>
      </w:pPr>
      <w:r>
        <w:rPr>
          <w:rFonts w:ascii="黑体" w:hAnsi="黑体" w:eastAsia="黑体"/>
          <w:sz w:val="32"/>
        </w:rPr>
        <w:t>二、收入决算情况说明</w:t>
      </w:r>
    </w:p>
    <w:p w14:paraId="5C3C3B40">
      <w:pPr>
        <w:spacing w:line="580" w:lineRule="exact"/>
        <w:ind w:firstLine="640"/>
        <w:jc w:val="both"/>
      </w:pPr>
      <w:r>
        <w:rPr>
          <w:rFonts w:ascii="仿宋_GB2312" w:hAnsi="仿宋_GB2312" w:eastAsia="仿宋_GB2312"/>
          <w:b/>
          <w:sz w:val="32"/>
        </w:rPr>
        <w:t>本年收入3,199.25万元，</w:t>
      </w:r>
      <w:r>
        <w:rPr>
          <w:rFonts w:ascii="仿宋_GB2312" w:hAnsi="仿宋_GB2312" w:eastAsia="仿宋_GB2312"/>
          <w:b w:val="0"/>
          <w:sz w:val="32"/>
        </w:rPr>
        <w:t>其中：财政拨款收入2,583.02万元，占80.74%；上级补助收入0.00万元，占0.00%；事业收入0.00万元，占0.00%；经营收入0.00万元，占0.00%；附属单位上缴收入0.00万元，占0.00%；其他收入616.23万元，占19.26%。</w:t>
      </w:r>
    </w:p>
    <w:p w14:paraId="68D891B9">
      <w:pPr>
        <w:spacing w:line="640" w:lineRule="exact"/>
        <w:ind w:firstLine="640"/>
        <w:jc w:val="both"/>
        <w:outlineLvl w:val="2"/>
      </w:pPr>
      <w:r>
        <w:rPr>
          <w:rFonts w:ascii="黑体" w:hAnsi="黑体" w:eastAsia="黑体"/>
          <w:sz w:val="32"/>
        </w:rPr>
        <w:t>三、支出决算情况说明</w:t>
      </w:r>
    </w:p>
    <w:p w14:paraId="2112D7DD">
      <w:pPr>
        <w:spacing w:line="580" w:lineRule="exact"/>
        <w:ind w:firstLine="640"/>
        <w:jc w:val="both"/>
      </w:pPr>
      <w:r>
        <w:rPr>
          <w:rFonts w:ascii="仿宋_GB2312" w:hAnsi="仿宋_GB2312" w:eastAsia="仿宋_GB2312"/>
          <w:b/>
          <w:sz w:val="32"/>
        </w:rPr>
        <w:t>本年支出3,199.25万元，</w:t>
      </w:r>
      <w:r>
        <w:rPr>
          <w:rFonts w:ascii="仿宋_GB2312" w:hAnsi="仿宋_GB2312" w:eastAsia="仿宋_GB2312"/>
          <w:b w:val="0"/>
          <w:sz w:val="32"/>
        </w:rPr>
        <w:t>其中：基本支出1,120.33万元，占35.02%；项目支出2,078.92万元，占64.98%；上缴上级支出0.00万元，占0.00%；经营支出0.00万元，占0.00%；对附属单位补助支出0.00万元，占0.00%。</w:t>
      </w:r>
    </w:p>
    <w:p w14:paraId="5370CCB3">
      <w:pPr>
        <w:spacing w:line="640" w:lineRule="exact"/>
        <w:ind w:firstLine="640"/>
        <w:jc w:val="both"/>
        <w:outlineLvl w:val="2"/>
      </w:pPr>
      <w:r>
        <w:rPr>
          <w:rFonts w:ascii="黑体" w:hAnsi="黑体" w:eastAsia="黑体"/>
          <w:sz w:val="32"/>
        </w:rPr>
        <w:t>四、财政拨款收入支出决算总体情况说明</w:t>
      </w:r>
    </w:p>
    <w:p w14:paraId="6BCC3A9F">
      <w:pPr>
        <w:spacing w:line="580" w:lineRule="exact"/>
        <w:ind w:firstLine="640"/>
        <w:jc w:val="both"/>
      </w:pPr>
      <w:r>
        <w:rPr>
          <w:rFonts w:ascii="仿宋_GB2312" w:hAnsi="仿宋_GB2312" w:eastAsia="仿宋_GB2312"/>
          <w:b/>
          <w:sz w:val="32"/>
        </w:rPr>
        <w:t>2024年度财政拨款收入总计2,583.02万元，</w:t>
      </w:r>
      <w:r>
        <w:rPr>
          <w:rFonts w:ascii="仿宋_GB2312" w:hAnsi="仿宋_GB2312" w:eastAsia="仿宋_GB2312"/>
          <w:b w:val="0"/>
          <w:sz w:val="32"/>
        </w:rPr>
        <w:t>其中：年初财政拨款结转和结余0.00万元，本年财政拨款收入2,583.02万元。</w:t>
      </w:r>
      <w:r>
        <w:rPr>
          <w:rFonts w:ascii="仿宋_GB2312" w:hAnsi="仿宋_GB2312" w:eastAsia="仿宋_GB2312"/>
          <w:b/>
          <w:sz w:val="32"/>
        </w:rPr>
        <w:t>财政拨款支出总计2,583.02万元，</w:t>
      </w:r>
      <w:r>
        <w:rPr>
          <w:rFonts w:ascii="仿宋_GB2312" w:hAnsi="仿宋_GB2312" w:eastAsia="仿宋_GB2312"/>
          <w:b w:val="0"/>
          <w:sz w:val="32"/>
        </w:rPr>
        <w:t>其中：年末财政拨款结转和结余0.00万元，本年财政拨款支出2,583.02万元。</w:t>
      </w:r>
    </w:p>
    <w:p w14:paraId="0F3DF9F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增加2,583.02万元，增长100.00%，主要原因是：机构改革，2024年8月份新成立单位，无上年对比数。</w:t>
      </w:r>
      <w:r>
        <w:rPr>
          <w:rFonts w:ascii="仿宋_GB2312" w:hAnsi="仿宋_GB2312" w:eastAsia="仿宋_GB2312"/>
          <w:b/>
          <w:sz w:val="32"/>
        </w:rPr>
        <w:t>与年初预算相比，</w:t>
      </w:r>
      <w:r>
        <w:rPr>
          <w:rFonts w:ascii="仿宋_GB2312" w:hAnsi="仿宋_GB2312" w:eastAsia="仿宋_GB2312"/>
          <w:b w:val="0"/>
          <w:sz w:val="32"/>
        </w:rPr>
        <w:t>年初预算数0.00万元，决算数2,583.02万元，预决算差异率100.00%，主要原因是：机构改革，2024年8月份新成立单位，经费均为年中追加，导致预决算存在差异。</w:t>
      </w:r>
    </w:p>
    <w:p w14:paraId="564230EC">
      <w:pPr>
        <w:spacing w:line="640" w:lineRule="exact"/>
        <w:ind w:firstLine="640"/>
        <w:jc w:val="both"/>
        <w:outlineLvl w:val="2"/>
      </w:pPr>
      <w:r>
        <w:rPr>
          <w:rFonts w:ascii="黑体" w:hAnsi="黑体" w:eastAsia="黑体"/>
          <w:sz w:val="32"/>
        </w:rPr>
        <w:t>五、一般公共预算财政拨款支出决算情况说明</w:t>
      </w:r>
    </w:p>
    <w:p w14:paraId="4F53BE9B">
      <w:pPr>
        <w:spacing w:line="640" w:lineRule="exact"/>
        <w:ind w:firstLine="640"/>
        <w:jc w:val="both"/>
        <w:outlineLvl w:val="3"/>
      </w:pPr>
      <w:r>
        <w:rPr>
          <w:rFonts w:ascii="楷体_GB2312" w:hAnsi="楷体_GB2312" w:eastAsia="楷体_GB2312"/>
          <w:b/>
          <w:sz w:val="32"/>
        </w:rPr>
        <w:t>（一）一般公共预算财政拨款支出决算总体情况</w:t>
      </w:r>
    </w:p>
    <w:p w14:paraId="0CA3D4ED">
      <w:pPr>
        <w:spacing w:line="580" w:lineRule="exact"/>
        <w:ind w:firstLine="640"/>
        <w:jc w:val="both"/>
      </w:pPr>
      <w:r>
        <w:rPr>
          <w:rFonts w:ascii="仿宋_GB2312" w:hAnsi="仿宋_GB2312" w:eastAsia="仿宋_GB2312"/>
          <w:b/>
          <w:sz w:val="32"/>
        </w:rPr>
        <w:t>2024年度一般公共预算财政拨款支出2,568.03万元，</w:t>
      </w:r>
      <w:r>
        <w:rPr>
          <w:rFonts w:ascii="仿宋_GB2312" w:hAnsi="仿宋_GB2312" w:eastAsia="仿宋_GB2312"/>
          <w:b w:val="0"/>
          <w:sz w:val="32"/>
        </w:rPr>
        <w:t>占本年支出合计的80.27%。</w:t>
      </w:r>
      <w:r>
        <w:rPr>
          <w:rFonts w:ascii="仿宋_GB2312" w:hAnsi="仿宋_GB2312" w:eastAsia="仿宋_GB2312"/>
          <w:b/>
          <w:sz w:val="32"/>
        </w:rPr>
        <w:t>与上年相比，</w:t>
      </w:r>
      <w:r>
        <w:rPr>
          <w:rFonts w:ascii="仿宋_GB2312" w:hAnsi="仿宋_GB2312" w:eastAsia="仿宋_GB2312"/>
          <w:b w:val="0"/>
          <w:sz w:val="32"/>
        </w:rPr>
        <w:t>增加2,568.03万元，增长100.00%，主要原因是：机构改革，2024年8月份新成立单位，无上年对比数。</w:t>
      </w:r>
      <w:r>
        <w:rPr>
          <w:rFonts w:ascii="仿宋_GB2312" w:hAnsi="仿宋_GB2312" w:eastAsia="仿宋_GB2312"/>
          <w:b/>
          <w:sz w:val="32"/>
        </w:rPr>
        <w:t>与年初预算相比,</w:t>
      </w:r>
      <w:r>
        <w:rPr>
          <w:rFonts w:ascii="仿宋_GB2312" w:hAnsi="仿宋_GB2312" w:eastAsia="仿宋_GB2312"/>
          <w:b w:val="0"/>
          <w:sz w:val="32"/>
        </w:rPr>
        <w:t>年初预算数0.00万元，决算数2,568.03万元，预决算差异率100.00%，主要原因是：机构改革，2024年8月份新成立单位，经费均为年中追加，导致预决算存在差异。</w:t>
      </w:r>
    </w:p>
    <w:p w14:paraId="0BC6296C">
      <w:pPr>
        <w:spacing w:line="640" w:lineRule="exact"/>
        <w:ind w:firstLine="640"/>
        <w:jc w:val="both"/>
        <w:outlineLvl w:val="3"/>
      </w:pPr>
      <w:r>
        <w:rPr>
          <w:rFonts w:ascii="楷体_GB2312" w:hAnsi="楷体_GB2312" w:eastAsia="楷体_GB2312"/>
          <w:b/>
          <w:sz w:val="32"/>
        </w:rPr>
        <w:t>（二）一般公共预算财政拨款支出决算结构情况</w:t>
      </w:r>
    </w:p>
    <w:p w14:paraId="76F4F596">
      <w:pPr>
        <w:spacing w:line="580" w:lineRule="exact"/>
        <w:ind w:firstLine="640"/>
        <w:jc w:val="both"/>
      </w:pPr>
      <w:r>
        <w:rPr>
          <w:rFonts w:ascii="仿宋_GB2312" w:hAnsi="仿宋_GB2312" w:eastAsia="仿宋_GB2312"/>
          <w:b w:val="0"/>
          <w:sz w:val="32"/>
        </w:rPr>
        <w:t>1.科学技术支出(类)2.00万元,占0.08%。</w:t>
      </w:r>
    </w:p>
    <w:p w14:paraId="6289A124">
      <w:pPr>
        <w:spacing w:line="580" w:lineRule="exact"/>
        <w:ind w:firstLine="640"/>
        <w:jc w:val="both"/>
      </w:pPr>
      <w:r>
        <w:rPr>
          <w:rFonts w:ascii="仿宋_GB2312" w:hAnsi="仿宋_GB2312" w:eastAsia="仿宋_GB2312"/>
          <w:b w:val="0"/>
          <w:sz w:val="32"/>
        </w:rPr>
        <w:t>2.社会保障和就业支出(类)140.38万元,占5.47%。</w:t>
      </w:r>
    </w:p>
    <w:p w14:paraId="124E91C3">
      <w:pPr>
        <w:spacing w:line="580" w:lineRule="exact"/>
        <w:ind w:firstLine="640"/>
        <w:jc w:val="both"/>
      </w:pPr>
      <w:r>
        <w:rPr>
          <w:rFonts w:ascii="仿宋_GB2312" w:hAnsi="仿宋_GB2312" w:eastAsia="仿宋_GB2312"/>
          <w:b w:val="0"/>
          <w:sz w:val="32"/>
        </w:rPr>
        <w:t>3.卫生健康支出(类)34.07万元,占1.33%。</w:t>
      </w:r>
    </w:p>
    <w:p w14:paraId="708CF78A">
      <w:pPr>
        <w:spacing w:line="580" w:lineRule="exact"/>
        <w:ind w:firstLine="640"/>
        <w:jc w:val="both"/>
      </w:pPr>
      <w:r>
        <w:rPr>
          <w:rFonts w:ascii="仿宋_GB2312" w:hAnsi="仿宋_GB2312" w:eastAsia="仿宋_GB2312"/>
          <w:b w:val="0"/>
          <w:sz w:val="32"/>
        </w:rPr>
        <w:t>4.农林水支出(类)2,345.67万元,占91.34%。</w:t>
      </w:r>
    </w:p>
    <w:p w14:paraId="43899E6F">
      <w:pPr>
        <w:spacing w:line="580" w:lineRule="exact"/>
        <w:ind w:firstLine="640"/>
        <w:jc w:val="both"/>
      </w:pPr>
      <w:r>
        <w:rPr>
          <w:rFonts w:ascii="仿宋_GB2312" w:hAnsi="仿宋_GB2312" w:eastAsia="仿宋_GB2312"/>
          <w:b w:val="0"/>
          <w:sz w:val="32"/>
        </w:rPr>
        <w:t>5.住房保障支出(类)45.92万元,占1.79%。</w:t>
      </w:r>
    </w:p>
    <w:p w14:paraId="045AF0F7">
      <w:pPr>
        <w:spacing w:line="640" w:lineRule="exact"/>
        <w:ind w:firstLine="640"/>
        <w:jc w:val="both"/>
        <w:outlineLvl w:val="3"/>
      </w:pPr>
      <w:r>
        <w:rPr>
          <w:rFonts w:ascii="楷体_GB2312" w:hAnsi="楷体_GB2312" w:eastAsia="楷体_GB2312"/>
          <w:b/>
          <w:sz w:val="32"/>
        </w:rPr>
        <w:t>（三）一般公共预算财政拨款支出决算具体情况</w:t>
      </w:r>
    </w:p>
    <w:p w14:paraId="1547963C">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1.科学技术支出(类)科技条件与服务(款)其他科技条件与服务支出(项):支出决算数为2.00万元，比上年决算增加2.00万元，增长100.00%,主要原因是：机构改革，2024年8月份新成立单位，无上年对比数。</w:t>
      </w:r>
    </w:p>
    <w:p w14:paraId="324D9B5D">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2.社会保障和就业支出(类)行政事业单位养老支出(款)行政单位离退休(项):支出决算数为26.79万元，比上年决算增加26.79万元，增长100.00%,主要原因是：机构改革，2024年8月份新成立单位，无上年对比数。</w:t>
      </w:r>
    </w:p>
    <w:p w14:paraId="3B131AC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58.49万元，比上年决算增加58.49万元，增长100.00%,主要原因是：机构改革，2024年8月份新成立单位，无上年对比数。</w:t>
      </w:r>
    </w:p>
    <w:p w14:paraId="7897902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55.10万元，比上年决算增加55.10万元，增长100.00%,主要原因是：机构改革，2024年8月份新成立单位，无上年对比数。</w:t>
      </w:r>
    </w:p>
    <w:p w14:paraId="45BAE249">
      <w:pPr>
        <w:spacing w:line="580" w:lineRule="exact"/>
        <w:ind w:firstLine="640"/>
        <w:jc w:val="both"/>
      </w:pPr>
      <w:r>
        <w:rPr>
          <w:rFonts w:ascii="仿宋_GB2312" w:hAnsi="仿宋_GB2312" w:eastAsia="仿宋_GB2312"/>
          <w:b w:val="0"/>
          <w:sz w:val="32"/>
        </w:rPr>
        <w:t>5.卫生健康支出(类)行政事业单位医疗(款)行政单位医疗(项):支出决算数为24.30万元，比上年决算增加24.30万元，增长100.00%,主要原因是：机构改革，2024年8月份新成立单位，无上年对比数。</w:t>
      </w:r>
    </w:p>
    <w:p w14:paraId="3061BCAF">
      <w:pPr>
        <w:spacing w:line="580" w:lineRule="exact"/>
        <w:ind w:firstLine="640"/>
        <w:jc w:val="both"/>
      </w:pPr>
      <w:r>
        <w:rPr>
          <w:rFonts w:ascii="仿宋_GB2312" w:hAnsi="仿宋_GB2312" w:eastAsia="仿宋_GB2312"/>
          <w:b w:val="0"/>
          <w:sz w:val="32"/>
        </w:rPr>
        <w:t>6.卫生健康支出(类)行政事业单位医疗(款)公务员医疗补助(项):支出决算数为7.81万元，比上年决算增加7.81万元，增长100.00%,主要原因是：机构改革，2024年8月份新成立单位，无上年对比数。</w:t>
      </w:r>
    </w:p>
    <w:p w14:paraId="78E78C93">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7.卫生健康支出(类)行政事业单位医疗(款)其他行政事业单位医疗支出(项):支出决算数为1.95万元，比上年决算增加1.95万元，增长100.00%,主要原因是：机构改革，2024年8月份新成立单位，无上年对比数。</w:t>
      </w:r>
    </w:p>
    <w:p w14:paraId="0ECAECEF">
      <w:pPr>
        <w:spacing w:line="580" w:lineRule="exact"/>
        <w:ind w:firstLine="640"/>
        <w:jc w:val="both"/>
      </w:pPr>
      <w:r>
        <w:rPr>
          <w:rFonts w:ascii="仿宋_GB2312" w:hAnsi="仿宋_GB2312" w:eastAsia="仿宋_GB2312"/>
          <w:b w:val="0"/>
          <w:sz w:val="32"/>
        </w:rPr>
        <w:t>8.农林水支出(类)农业农村(款)行政运行(项):支出决算数为899.62万元，比上年决算增加899.62万元，增长100.00%,主要原因是：机构改革，2024年8月份新成立单位，无上年对比数。</w:t>
      </w:r>
    </w:p>
    <w:p w14:paraId="45BFB666">
      <w:pPr>
        <w:spacing w:line="580" w:lineRule="exact"/>
        <w:ind w:firstLine="640"/>
        <w:jc w:val="both"/>
      </w:pPr>
      <w:r>
        <w:rPr>
          <w:rFonts w:ascii="仿宋_GB2312" w:hAnsi="仿宋_GB2312" w:eastAsia="仿宋_GB2312"/>
          <w:b w:val="0"/>
          <w:sz w:val="32"/>
        </w:rPr>
        <w:t>9.农林水支出(类)农业农村(款)病虫害控制(项):支出决算数为55.71万元，比上年决算增加55.71万元，增长100.00%,主要原因是：机构改革，2024年8月份新成立单位，无上年对比数。</w:t>
      </w:r>
    </w:p>
    <w:p w14:paraId="6C03DA1D">
      <w:pPr>
        <w:spacing w:line="580" w:lineRule="exact"/>
        <w:ind w:firstLine="640"/>
        <w:jc w:val="both"/>
      </w:pPr>
      <w:r>
        <w:rPr>
          <w:rFonts w:ascii="仿宋_GB2312" w:hAnsi="仿宋_GB2312" w:eastAsia="仿宋_GB2312"/>
          <w:b w:val="0"/>
          <w:sz w:val="32"/>
        </w:rPr>
        <w:t>10.农林水支出(类)农业农村(款)农产品质量安全(项):支出决算数为11.61万元，比上年决算增加11.61万元，增长100.00%,主要原因是：机构改革，2024年8月份新成立单位，无上年对比数。</w:t>
      </w:r>
    </w:p>
    <w:p w14:paraId="7BF9CF5C">
      <w:pPr>
        <w:spacing w:line="580" w:lineRule="exact"/>
        <w:ind w:firstLine="640"/>
        <w:jc w:val="both"/>
      </w:pPr>
      <w:r>
        <w:rPr>
          <w:rFonts w:ascii="仿宋_GB2312" w:hAnsi="仿宋_GB2312" w:eastAsia="仿宋_GB2312"/>
          <w:b w:val="0"/>
          <w:sz w:val="32"/>
        </w:rPr>
        <w:t>11.农林水支出(类)农业农村(款)稳定农民收入补贴(项):支出决算数为8.62万元，比上年决算增加8.62万元，增长100.00%,主要原因是：机构改革，2024年8月份新成立单位，无上年对比数。</w:t>
      </w:r>
    </w:p>
    <w:p w14:paraId="3C6DE04C">
      <w:pPr>
        <w:spacing w:line="580" w:lineRule="exact"/>
        <w:ind w:firstLine="640"/>
        <w:jc w:val="both"/>
      </w:pPr>
      <w:r>
        <w:rPr>
          <w:rFonts w:ascii="仿宋_GB2312" w:hAnsi="仿宋_GB2312" w:eastAsia="仿宋_GB2312"/>
          <w:b w:val="0"/>
          <w:sz w:val="32"/>
        </w:rPr>
        <w:t>12.农林水支出(类)农业农村(款)农业生产发展(项):支出决算数为105.61万元，比上年决算增加105.61万元，增长100.00%,主要原因是：机构改革，2024年8月份新成立单位，无上年对比数。</w:t>
      </w:r>
    </w:p>
    <w:p w14:paraId="1C135E63">
      <w:pPr>
        <w:spacing w:line="580" w:lineRule="exact"/>
        <w:ind w:firstLine="640"/>
        <w:jc w:val="both"/>
      </w:pPr>
      <w:r>
        <w:rPr>
          <w:rFonts w:ascii="仿宋_GB2312" w:hAnsi="仿宋_GB2312" w:eastAsia="仿宋_GB2312"/>
          <w:b w:val="0"/>
          <w:sz w:val="32"/>
        </w:rPr>
        <w:t>13.农林水支出(类)农业农村(款)农村合作经济(项):支出决算数为90.81万元，比上年决算增加90.81万元，增长100.00%,主要原因是：机构改革，2024年8月份新成立单位，无上年对比数。</w:t>
      </w:r>
    </w:p>
    <w:p w14:paraId="3BC5BE87">
      <w:pPr>
        <w:spacing w:line="580" w:lineRule="exact"/>
        <w:ind w:firstLine="640"/>
        <w:jc w:val="both"/>
      </w:pPr>
      <w:r>
        <w:rPr>
          <w:rFonts w:ascii="仿宋_GB2312" w:hAnsi="仿宋_GB2312" w:eastAsia="仿宋_GB2312"/>
          <w:b w:val="0"/>
          <w:sz w:val="32"/>
        </w:rPr>
        <w:t>14.农林水支出(类)农业农村(款)农业生态资源保护(项):支出决算数为405.99万元，比上年决算增加405.99万元，增长100.00%,主要原因是：机构改革，2024年8月份新成立单位，无上年对比数。</w:t>
      </w:r>
    </w:p>
    <w:p w14:paraId="1CE47C56">
      <w:pPr>
        <w:spacing w:line="580" w:lineRule="exact"/>
        <w:ind w:firstLine="640"/>
        <w:jc w:val="both"/>
      </w:pPr>
      <w:r>
        <w:rPr>
          <w:rFonts w:ascii="仿宋_GB2312" w:hAnsi="仿宋_GB2312" w:eastAsia="仿宋_GB2312"/>
          <w:b w:val="0"/>
          <w:sz w:val="32"/>
        </w:rPr>
        <w:t>15.农林水支出(类)农业农村(款)渔业发展(项):支出决算数为29.67万元，比上年决算增加29.67万元，增长100.00%,主要原因是：机构改革，2024年8月份新成立单位，无上年对比数。</w:t>
      </w:r>
    </w:p>
    <w:p w14:paraId="6E6E51A9">
      <w:pPr>
        <w:spacing w:line="580" w:lineRule="exact"/>
        <w:ind w:firstLine="640"/>
        <w:jc w:val="both"/>
      </w:pPr>
      <w:r>
        <w:rPr>
          <w:rFonts w:ascii="仿宋_GB2312" w:hAnsi="仿宋_GB2312" w:eastAsia="仿宋_GB2312"/>
          <w:b w:val="0"/>
          <w:sz w:val="32"/>
        </w:rPr>
        <w:t>16.农林水支出(类)农业农村(款)耕地建设与利用(项):支出决算数为45.27万元，比上年决算增加45.27万元，增长100.00%,主要原因是：机构改革，2024年8月份新成立单位，无上年对比数。</w:t>
      </w:r>
    </w:p>
    <w:p w14:paraId="47C5190B">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17.农林水支出(类)巩固脱贫攻坚成果衔接乡村振兴(款)农村基础设施建设(项):支出决算数为300.00万元，比上年决算增加300.00万元，增长100.00%,主要原因是：机构改革，2024年8月份新成立单位，无上年对比数。</w:t>
      </w:r>
    </w:p>
    <w:p w14:paraId="235A0740">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18.农林水支出(类)巩固脱贫攻坚成果衔接乡村振兴(款)生产发展(项):支出决算数为197.60万元，比上年决算增加197.60万元，增长100.00%,主要原因是：机构改革，2024年8月份新成立单位，无上年对比数。</w:t>
      </w:r>
    </w:p>
    <w:p w14:paraId="0B7556FA">
      <w:pPr>
        <w:spacing w:line="580" w:lineRule="exact"/>
        <w:ind w:firstLine="640"/>
        <w:jc w:val="both"/>
      </w:pPr>
      <w:r>
        <w:rPr>
          <w:rFonts w:ascii="仿宋_GB2312" w:hAnsi="仿宋_GB2312" w:eastAsia="仿宋_GB2312"/>
          <w:b w:val="0"/>
          <w:sz w:val="32"/>
        </w:rPr>
        <w:t>19.农林水支出(类)巩固脱贫攻坚成果衔接乡村振兴(款)贷款奖补和贴息(项):支出决算数为71.34万元，比上年决算增加71.34万元，增长100.00%,主要原因是：机构改革，2024年8月份新成立单位，无上年对比数。</w:t>
      </w:r>
    </w:p>
    <w:p w14:paraId="40D809BB">
      <w:pPr>
        <w:spacing w:line="580" w:lineRule="exact"/>
        <w:ind w:firstLine="640"/>
        <w:jc w:val="both"/>
      </w:pPr>
      <w:r>
        <w:rPr>
          <w:rFonts w:ascii="仿宋_GB2312" w:hAnsi="仿宋_GB2312" w:eastAsia="仿宋_GB2312"/>
          <w:b w:val="0"/>
          <w:sz w:val="32"/>
        </w:rPr>
        <w:t>20.农林水支出(类)巩固脱贫攻坚成果衔接乡村振兴(款)其他巩固脱贫攻坚成果衔接乡村振兴支出(项):支出决算数为62.27万元，比上年决算增加62.27万元，增长100.00%,主要原因是：机构改革，2024年8月份新成立单位，无上年对比数。</w:t>
      </w:r>
    </w:p>
    <w:p w14:paraId="67007598">
      <w:pPr>
        <w:spacing w:line="580" w:lineRule="exact"/>
        <w:ind w:firstLine="640"/>
        <w:jc w:val="both"/>
      </w:pPr>
      <w:r>
        <w:rPr>
          <w:rFonts w:ascii="仿宋_GB2312" w:hAnsi="仿宋_GB2312" w:eastAsia="仿宋_GB2312"/>
          <w:b w:val="0"/>
          <w:sz w:val="32"/>
        </w:rPr>
        <w:t>21.农林水支出(类)农村综合改革(款)对村级公益事业建设的补助(项):支出决算数为11.70万元，比上年决算增加11.70万元，增长100.00%,主要原因是：机构改革，2024年8月份新成立单位，无上年对比数。</w:t>
      </w:r>
    </w:p>
    <w:p w14:paraId="12459EEF">
      <w:pPr>
        <w:spacing w:line="580" w:lineRule="exact"/>
        <w:ind w:firstLine="640"/>
        <w:jc w:val="both"/>
      </w:pPr>
      <w:r>
        <w:rPr>
          <w:rFonts w:ascii="仿宋_GB2312" w:hAnsi="仿宋_GB2312" w:eastAsia="仿宋_GB2312"/>
          <w:b w:val="0"/>
          <w:sz w:val="32"/>
        </w:rPr>
        <w:t>22.农林水支出(类)普惠金融发展支出(款)农业保险保费补贴(项):支出决算数为49.85万元，比上年决算增加49.85万元，增长100.00%,主要原因是：机构改革，2024年8月份新成立单位，无上年对比数。</w:t>
      </w:r>
    </w:p>
    <w:p w14:paraId="770B27F3">
      <w:pPr>
        <w:spacing w:line="580" w:lineRule="exact"/>
        <w:ind w:firstLine="640"/>
        <w:jc w:val="both"/>
      </w:pPr>
      <w:r>
        <w:rPr>
          <w:rFonts w:ascii="仿宋_GB2312" w:hAnsi="仿宋_GB2312" w:eastAsia="仿宋_GB2312"/>
          <w:b w:val="0"/>
          <w:sz w:val="32"/>
        </w:rPr>
        <w:t>23.住房保障支出(类)住房改革支出(款)住房公积金(项):支出决算数为45.92万元，比上年决算增加45.92万元，增长100.00%,主要原因是：机构改革，2024年8月份新成立单位，无上年对比数。</w:t>
      </w:r>
    </w:p>
    <w:p w14:paraId="171A125F">
      <w:pPr>
        <w:spacing w:line="640" w:lineRule="exact"/>
        <w:ind w:firstLine="640"/>
        <w:jc w:val="both"/>
        <w:outlineLvl w:val="2"/>
      </w:pPr>
      <w:r>
        <w:rPr>
          <w:rFonts w:ascii="黑体" w:hAnsi="黑体" w:eastAsia="黑体"/>
          <w:sz w:val="32"/>
        </w:rPr>
        <w:t>六、一般公共预算财政拨款基本支出决算情况说明</w:t>
      </w:r>
    </w:p>
    <w:p w14:paraId="360414FA">
      <w:pPr>
        <w:spacing w:line="580" w:lineRule="exact"/>
        <w:ind w:firstLine="640"/>
        <w:jc w:val="both"/>
      </w:pPr>
      <w:r>
        <w:rPr>
          <w:rFonts w:ascii="仿宋_GB2312" w:hAnsi="仿宋_GB2312" w:eastAsia="仿宋_GB2312"/>
          <w:b w:val="0"/>
          <w:sz w:val="32"/>
        </w:rPr>
        <w:t>2024年度一般公共预算财政拨款基本支出1,119.99万元，其中：</w:t>
      </w:r>
      <w:r>
        <w:rPr>
          <w:rFonts w:ascii="仿宋_GB2312" w:hAnsi="仿宋_GB2312" w:eastAsia="仿宋_GB2312"/>
          <w:b/>
          <w:sz w:val="32"/>
        </w:rPr>
        <w:t>人员经费1,102.56万元，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EF2AD86">
      <w:pPr>
        <w:spacing w:line="580" w:lineRule="exact"/>
        <w:ind w:firstLine="640"/>
        <w:jc w:val="both"/>
      </w:pPr>
      <w:r>
        <w:rPr>
          <w:rFonts w:ascii="仿宋_GB2312" w:hAnsi="仿宋_GB2312" w:eastAsia="仿宋_GB2312"/>
          <w:b/>
          <w:sz w:val="32"/>
        </w:rPr>
        <w:t>公用经费17.43万元，</w:t>
      </w:r>
      <w:r>
        <w:rPr>
          <w:rFonts w:ascii="仿宋_GB2312" w:hAnsi="仿宋_GB2312" w:eastAsia="仿宋_GB2312"/>
          <w:b w:val="0"/>
          <w:sz w:val="32"/>
        </w:rPr>
        <w:t>包括：办公费、水费、电费、差旅费、公务用车运行维护费、其他交通费用。</w:t>
      </w:r>
    </w:p>
    <w:p w14:paraId="72FFA106">
      <w:pPr>
        <w:spacing w:line="640" w:lineRule="exact"/>
        <w:ind w:firstLine="640"/>
        <w:jc w:val="both"/>
        <w:outlineLvl w:val="2"/>
      </w:pPr>
      <w:r>
        <w:rPr>
          <w:rFonts w:ascii="黑体" w:hAnsi="黑体" w:eastAsia="黑体"/>
          <w:sz w:val="32"/>
        </w:rPr>
        <w:t>七、政府性基金预算财政拨款收入支出决算情况说明</w:t>
      </w:r>
    </w:p>
    <w:p w14:paraId="1E4A9695">
      <w:pPr>
        <w:spacing w:line="580" w:lineRule="exact"/>
        <w:ind w:firstLine="640"/>
        <w:jc w:val="both"/>
      </w:pPr>
      <w:r>
        <w:rPr>
          <w:rFonts w:ascii="仿宋_GB2312" w:hAnsi="仿宋_GB2312" w:eastAsia="仿宋_GB2312"/>
          <w:b/>
          <w:sz w:val="32"/>
        </w:rPr>
        <w:t>2024年度政府性基金预算财政拨款收入总计15.00万元，</w:t>
      </w:r>
      <w:r>
        <w:rPr>
          <w:rFonts w:ascii="仿宋_GB2312" w:hAnsi="仿宋_GB2312" w:eastAsia="仿宋_GB2312"/>
          <w:b w:val="0"/>
          <w:sz w:val="32"/>
        </w:rPr>
        <w:t>其中：年初结转和结余0.00万元，本年收入15.00万元。</w:t>
      </w:r>
      <w:r>
        <w:rPr>
          <w:rFonts w:ascii="仿宋_GB2312" w:hAnsi="仿宋_GB2312" w:eastAsia="仿宋_GB2312"/>
          <w:b/>
          <w:sz w:val="32"/>
        </w:rPr>
        <w:t>政府性基金预算财政拨款支出总计15.00万元，</w:t>
      </w:r>
      <w:r>
        <w:rPr>
          <w:rFonts w:ascii="仿宋_GB2312" w:hAnsi="仿宋_GB2312" w:eastAsia="仿宋_GB2312"/>
          <w:b w:val="0"/>
          <w:sz w:val="32"/>
        </w:rPr>
        <w:t>其中：年末结转和结余0.00万元，本年支出15.00万元。</w:t>
      </w:r>
    </w:p>
    <w:p w14:paraId="0883218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增加15.00万元，增长100.00%，主要原因是：机构改革，2024年8月份新成立单位，无上年对比数。</w:t>
      </w:r>
      <w:r>
        <w:rPr>
          <w:rFonts w:ascii="仿宋_GB2312" w:hAnsi="仿宋_GB2312" w:eastAsia="仿宋_GB2312"/>
          <w:b/>
          <w:sz w:val="32"/>
        </w:rPr>
        <w:t>与年初预算相比，</w:t>
      </w:r>
      <w:r>
        <w:rPr>
          <w:rFonts w:ascii="仿宋_GB2312" w:hAnsi="仿宋_GB2312" w:eastAsia="仿宋_GB2312"/>
          <w:b w:val="0"/>
          <w:sz w:val="32"/>
        </w:rPr>
        <w:t>年初预算数0.00万元，决算数15.00万元，预决算差异率100.00%，主要原因是：年中追加制造业（农机报废更新补贴），导致预决算存在差异。</w:t>
      </w:r>
    </w:p>
    <w:p w14:paraId="72378873">
      <w:pPr>
        <w:spacing w:line="580" w:lineRule="exact"/>
        <w:ind w:firstLine="640"/>
        <w:jc w:val="both"/>
      </w:pPr>
      <w:r>
        <w:rPr>
          <w:rFonts w:ascii="仿宋_GB2312" w:hAnsi="仿宋_GB2312" w:eastAsia="仿宋_GB2312"/>
          <w:b w:val="0"/>
          <w:sz w:val="32"/>
        </w:rPr>
        <w:t>政府性基金预算财政拨款支出15.00万元。</w:t>
      </w:r>
    </w:p>
    <w:p w14:paraId="570B7974">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1.资源勘探工业信息等支出(类)超长期特别国债安排的支出(款)制造业(项):支出决算数为15.00万元，比上年决算增加15.00万元，增长100.00%,主要原因是：机构改革，2024年8月份新成立单位，无上年对比数。</w:t>
      </w:r>
    </w:p>
    <w:p w14:paraId="32999DB7">
      <w:pPr>
        <w:spacing w:line="640" w:lineRule="exact"/>
        <w:ind w:firstLine="640"/>
        <w:jc w:val="both"/>
        <w:outlineLvl w:val="2"/>
      </w:pPr>
      <w:r>
        <w:rPr>
          <w:rFonts w:ascii="黑体" w:hAnsi="黑体" w:eastAsia="黑体"/>
          <w:sz w:val="32"/>
        </w:rPr>
        <w:t>八、国有资本经营预算财政拨款收入支出决算情况说明</w:t>
      </w:r>
    </w:p>
    <w:p w14:paraId="6A41B22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3D2CEA">
      <w:pPr>
        <w:spacing w:line="640" w:lineRule="exact"/>
        <w:ind w:firstLine="640"/>
        <w:jc w:val="both"/>
        <w:outlineLvl w:val="2"/>
      </w:pPr>
      <w:r>
        <w:rPr>
          <w:rFonts w:ascii="黑体" w:hAnsi="黑体" w:eastAsia="黑体"/>
          <w:sz w:val="32"/>
        </w:rPr>
        <w:t>九、财政拨款“三公”经费支出决算情况说明</w:t>
      </w:r>
    </w:p>
    <w:p w14:paraId="61F670B8">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1.50万元，增长100.00%，主要原因是：机构改革，2024年8月份新成立单位，无上年对比数。其中：因公出国（境）费支出0.00万元，占0.00%，比上年增加0.00万元，增长0.00%，主要原因是：2024年未安排因公出国（境）费支出。公务用车购置及运行维护费支出1.50万元，占100.00%，比上年增加1.50万元，增长100.00%，主要原因是：机构改革，2024年8月份新成立单位，无上年对比数。公务接待费支出0.00万元，占0.00%，比上年增加0.00万元，增长0.00%，主要原因是：2024年未安排公务接待费支出。</w:t>
      </w:r>
    </w:p>
    <w:p w14:paraId="4E5878A7">
      <w:pPr>
        <w:spacing w:line="580" w:lineRule="exact"/>
        <w:ind w:firstLine="640"/>
        <w:jc w:val="both"/>
      </w:pPr>
      <w:r>
        <w:rPr>
          <w:rFonts w:ascii="仿宋_GB2312" w:hAnsi="仿宋_GB2312" w:eastAsia="仿宋_GB2312"/>
          <w:b/>
          <w:sz w:val="32"/>
        </w:rPr>
        <w:t>具体情况如下：</w:t>
      </w:r>
    </w:p>
    <w:p w14:paraId="28651D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527960">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0辆，与公务用车保有量差异原因是：借用其他单位车辆，车辆费用由</w:t>
      </w:r>
      <w:bookmarkStart w:id="0" w:name="_GoBack"/>
      <w:r>
        <w:rPr>
          <w:rFonts w:ascii="仿宋_GB2312" w:hAnsi="仿宋_GB2312" w:eastAsia="仿宋_GB2312"/>
          <w:b w:val="0"/>
          <w:sz w:val="32"/>
        </w:rPr>
        <w:t>本单位</w:t>
      </w:r>
      <w:bookmarkEnd w:id="0"/>
      <w:r>
        <w:rPr>
          <w:rFonts w:ascii="仿宋_GB2312" w:hAnsi="仿宋_GB2312" w:eastAsia="仿宋_GB2312"/>
          <w:b w:val="0"/>
          <w:sz w:val="32"/>
        </w:rPr>
        <w:t>支付。</w:t>
      </w:r>
    </w:p>
    <w:p w14:paraId="7CD42A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DB0EBD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70E29A31">
      <w:pPr>
        <w:spacing w:line="640" w:lineRule="exact"/>
        <w:ind w:firstLine="640"/>
        <w:jc w:val="both"/>
        <w:outlineLvl w:val="2"/>
      </w:pPr>
      <w:r>
        <w:rPr>
          <w:rFonts w:ascii="黑体" w:hAnsi="黑体" w:eastAsia="黑体"/>
          <w:sz w:val="32"/>
        </w:rPr>
        <w:t>十、其他重要事项的情况说明</w:t>
      </w:r>
    </w:p>
    <w:p w14:paraId="76F33BD5">
      <w:pPr>
        <w:spacing w:line="640" w:lineRule="exact"/>
        <w:ind w:firstLine="640"/>
        <w:jc w:val="both"/>
        <w:outlineLvl w:val="3"/>
      </w:pPr>
      <w:r>
        <w:rPr>
          <w:rFonts w:ascii="楷体_GB2312" w:hAnsi="楷体_GB2312" w:eastAsia="楷体_GB2312"/>
          <w:b/>
          <w:sz w:val="32"/>
        </w:rPr>
        <w:t>（一）机关运行经费及公用经费支出情况</w:t>
      </w:r>
    </w:p>
    <w:p w14:paraId="7A130A81">
      <w:pPr>
        <w:spacing w:line="580" w:lineRule="exact"/>
        <w:ind w:firstLine="640"/>
        <w:jc w:val="both"/>
      </w:pPr>
      <w:r>
        <w:rPr>
          <w:rFonts w:ascii="仿宋_GB2312" w:hAnsi="仿宋_GB2312" w:eastAsia="仿宋_GB2312"/>
          <w:b w:val="0"/>
          <w:sz w:val="32"/>
        </w:rPr>
        <w:t>2024年度民丰县农业农村局（行政单位和参照公务员法管理事业单位）机关运行经费支出17.43万元，比上年增加17.43万元，增长100.00%，主要原因是：机构改革，2024年8月份新成立单位，无上年对比数。</w:t>
      </w:r>
    </w:p>
    <w:p w14:paraId="7705CBD9">
      <w:pPr>
        <w:spacing w:line="640" w:lineRule="exact"/>
        <w:ind w:firstLine="640"/>
        <w:jc w:val="both"/>
        <w:outlineLvl w:val="3"/>
      </w:pPr>
      <w:r>
        <w:rPr>
          <w:rFonts w:ascii="楷体_GB2312" w:hAnsi="楷体_GB2312" w:eastAsia="楷体_GB2312"/>
          <w:b/>
          <w:sz w:val="32"/>
        </w:rPr>
        <w:t>（二）政府采购情况</w:t>
      </w:r>
    </w:p>
    <w:p w14:paraId="28A101DD">
      <w:pPr>
        <w:spacing w:line="580" w:lineRule="exact"/>
        <w:ind w:firstLine="640"/>
        <w:jc w:val="both"/>
      </w:pPr>
      <w:r>
        <w:rPr>
          <w:rFonts w:ascii="仿宋_GB2312" w:hAnsi="仿宋_GB2312" w:eastAsia="仿宋_GB2312"/>
          <w:b w:val="0"/>
          <w:sz w:val="32"/>
        </w:rPr>
        <w:t>2024年度政府采购支出总额262.35万元，其中：政府采购货物支出122.10万元、政府采购工程支出98.32万元、政府采购服务支出41.93万元。</w:t>
      </w:r>
    </w:p>
    <w:p w14:paraId="346AD52D">
      <w:pPr>
        <w:spacing w:line="580" w:lineRule="exact"/>
        <w:ind w:firstLine="640"/>
        <w:jc w:val="both"/>
      </w:pPr>
      <w:r>
        <w:rPr>
          <w:rFonts w:ascii="仿宋_GB2312" w:hAnsi="仿宋_GB2312" w:eastAsia="仿宋_GB2312"/>
          <w:b w:val="0"/>
          <w:sz w:val="32"/>
        </w:rPr>
        <w:t>授予中小企业合同金额262.35万元，占政府采购支出总额的100.00%，其中：授予小微企业合同金额262.35万元，占政府采购支出总额的100.00%。</w:t>
      </w:r>
    </w:p>
    <w:p w14:paraId="56BE7C79">
      <w:pPr>
        <w:spacing w:line="640" w:lineRule="exact"/>
        <w:ind w:firstLine="640"/>
        <w:jc w:val="both"/>
        <w:outlineLvl w:val="3"/>
      </w:pPr>
      <w:r>
        <w:rPr>
          <w:rFonts w:ascii="楷体_GB2312" w:hAnsi="楷体_GB2312" w:eastAsia="楷体_GB2312"/>
          <w:b/>
          <w:sz w:val="32"/>
        </w:rPr>
        <w:t>（三）国有资产占用情况说明</w:t>
      </w:r>
    </w:p>
    <w:p w14:paraId="6405BCD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C9859B8">
      <w:pPr>
        <w:spacing w:line="640" w:lineRule="exact"/>
        <w:ind w:firstLine="640"/>
        <w:jc w:val="both"/>
        <w:outlineLvl w:val="2"/>
      </w:pPr>
      <w:r>
        <w:rPr>
          <w:rFonts w:ascii="黑体" w:hAnsi="黑体" w:eastAsia="黑体"/>
          <w:sz w:val="32"/>
        </w:rPr>
        <w:t>十一、预算绩效的情况说明</w:t>
      </w:r>
    </w:p>
    <w:p w14:paraId="730F8D5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10500526">
      <w:r>
        <w:br w:type="page"/>
      </w:r>
    </w:p>
    <w:p w14:paraId="328C42B7">
      <w:pPr>
        <w:spacing w:line="640" w:lineRule="exact"/>
        <w:ind w:firstLine="640"/>
        <w:jc w:val="both"/>
        <w:outlineLvl w:val="2"/>
      </w:pPr>
      <w:r>
        <w:rPr>
          <w:rFonts w:ascii="黑体" w:hAnsi="黑体" w:eastAsia="黑体"/>
          <w:sz w:val="32"/>
        </w:rPr>
        <w:t>十二、其他需说明的事项</w:t>
      </w:r>
    </w:p>
    <w:p w14:paraId="4B5BB2FB">
      <w:pPr>
        <w:spacing w:line="580" w:lineRule="exact"/>
        <w:ind w:firstLine="640"/>
        <w:jc w:val="both"/>
      </w:pPr>
      <w:r>
        <w:rPr>
          <w:rFonts w:ascii="仿宋_GB2312" w:hAnsi="仿宋_GB2312" w:eastAsia="仿宋_GB2312"/>
          <w:b w:val="0"/>
          <w:sz w:val="32"/>
        </w:rPr>
        <w:t>机构改革，2024年8月份新成立单位，未开展整体绩效自评表。</w:t>
      </w:r>
    </w:p>
    <w:p w14:paraId="54445234">
      <w:r>
        <w:br w:type="page"/>
      </w:r>
    </w:p>
    <w:p w14:paraId="01BBE49F">
      <w:pPr>
        <w:spacing w:line="240" w:lineRule="auto"/>
        <w:jc w:val="center"/>
        <w:outlineLvl w:val="1"/>
      </w:pPr>
      <w:r>
        <w:rPr>
          <w:rFonts w:ascii="黑体" w:hAnsi="黑体" w:eastAsia="黑体"/>
          <w:sz w:val="32"/>
        </w:rPr>
        <w:t>第三部分 专业名词解释</w:t>
      </w:r>
    </w:p>
    <w:p w14:paraId="090737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9BDF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228D3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3190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8D513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E882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700EA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5860C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4BE34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5328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97372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E6DE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0D1CC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F000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FB357F">
      <w:r>
        <w:br w:type="page"/>
      </w:r>
    </w:p>
    <w:p w14:paraId="02077CBC">
      <w:pPr>
        <w:spacing w:line="240" w:lineRule="auto"/>
        <w:jc w:val="center"/>
        <w:outlineLvl w:val="1"/>
      </w:pPr>
      <w:r>
        <w:rPr>
          <w:rFonts w:ascii="黑体" w:hAnsi="黑体" w:eastAsia="黑体"/>
          <w:sz w:val="32"/>
        </w:rPr>
        <w:t>第四部分 部门决算报表（见附表）</w:t>
      </w:r>
    </w:p>
    <w:p w14:paraId="4C4E932B">
      <w:pPr>
        <w:spacing w:line="240" w:lineRule="auto"/>
        <w:ind w:firstLine="640"/>
        <w:jc w:val="both"/>
      </w:pPr>
      <w:r>
        <w:rPr>
          <w:rFonts w:ascii="仿宋_GB2312" w:hAnsi="仿宋_GB2312" w:eastAsia="仿宋_GB2312"/>
          <w:b w:val="0"/>
          <w:sz w:val="32"/>
        </w:rPr>
        <w:t>一、《收入支出决算总表》</w:t>
      </w:r>
    </w:p>
    <w:p w14:paraId="11575FFA">
      <w:pPr>
        <w:spacing w:line="240" w:lineRule="auto"/>
        <w:ind w:firstLine="640"/>
        <w:jc w:val="both"/>
      </w:pPr>
      <w:r>
        <w:rPr>
          <w:rFonts w:ascii="仿宋_GB2312" w:hAnsi="仿宋_GB2312" w:eastAsia="仿宋_GB2312"/>
          <w:b w:val="0"/>
          <w:sz w:val="32"/>
        </w:rPr>
        <w:t>二、《收入决算表》</w:t>
      </w:r>
    </w:p>
    <w:p w14:paraId="669BA67B">
      <w:pPr>
        <w:spacing w:line="240" w:lineRule="auto"/>
        <w:ind w:firstLine="640"/>
        <w:jc w:val="both"/>
      </w:pPr>
      <w:r>
        <w:rPr>
          <w:rFonts w:ascii="仿宋_GB2312" w:hAnsi="仿宋_GB2312" w:eastAsia="仿宋_GB2312"/>
          <w:b w:val="0"/>
          <w:sz w:val="32"/>
        </w:rPr>
        <w:t>三、《支出决算表》</w:t>
      </w:r>
    </w:p>
    <w:p w14:paraId="2EB0D7EB">
      <w:pPr>
        <w:spacing w:line="240" w:lineRule="auto"/>
        <w:ind w:firstLine="640"/>
        <w:jc w:val="both"/>
      </w:pPr>
      <w:r>
        <w:rPr>
          <w:rFonts w:ascii="仿宋_GB2312" w:hAnsi="仿宋_GB2312" w:eastAsia="仿宋_GB2312"/>
          <w:b w:val="0"/>
          <w:sz w:val="32"/>
        </w:rPr>
        <w:t>四、《财政拨款收入支出决算总表》</w:t>
      </w:r>
    </w:p>
    <w:p w14:paraId="4FB64405">
      <w:pPr>
        <w:spacing w:line="240" w:lineRule="auto"/>
        <w:ind w:firstLine="640"/>
        <w:jc w:val="both"/>
      </w:pPr>
      <w:r>
        <w:rPr>
          <w:rFonts w:ascii="仿宋_GB2312" w:hAnsi="仿宋_GB2312" w:eastAsia="仿宋_GB2312"/>
          <w:b w:val="0"/>
          <w:sz w:val="32"/>
        </w:rPr>
        <w:t>五、《一般公共预算财政拨款支出决算表》</w:t>
      </w:r>
    </w:p>
    <w:p w14:paraId="60271798">
      <w:pPr>
        <w:spacing w:line="240" w:lineRule="auto"/>
        <w:ind w:firstLine="640"/>
        <w:jc w:val="both"/>
      </w:pPr>
      <w:r>
        <w:rPr>
          <w:rFonts w:ascii="仿宋_GB2312" w:hAnsi="仿宋_GB2312" w:eastAsia="仿宋_GB2312"/>
          <w:b w:val="0"/>
          <w:sz w:val="32"/>
        </w:rPr>
        <w:t>六、《一般公共预算财政拨款基本支出决算表》</w:t>
      </w:r>
    </w:p>
    <w:p w14:paraId="53A7CEB0">
      <w:pPr>
        <w:spacing w:line="240" w:lineRule="auto"/>
        <w:ind w:firstLine="640"/>
        <w:jc w:val="both"/>
      </w:pPr>
      <w:r>
        <w:rPr>
          <w:rFonts w:ascii="仿宋_GB2312" w:hAnsi="仿宋_GB2312" w:eastAsia="仿宋_GB2312"/>
          <w:b w:val="0"/>
          <w:sz w:val="32"/>
        </w:rPr>
        <w:t>七、《政府性基金预算财政拨款收入支出决算表》</w:t>
      </w:r>
    </w:p>
    <w:p w14:paraId="57AAA4BF">
      <w:pPr>
        <w:spacing w:line="240" w:lineRule="auto"/>
        <w:ind w:firstLine="640"/>
        <w:jc w:val="both"/>
      </w:pPr>
      <w:r>
        <w:rPr>
          <w:rFonts w:ascii="仿宋_GB2312" w:hAnsi="仿宋_GB2312" w:eastAsia="仿宋_GB2312"/>
          <w:b w:val="0"/>
          <w:sz w:val="32"/>
        </w:rPr>
        <w:t>八、《国有资本经营预算财政拨款收入支出决算表》</w:t>
      </w:r>
    </w:p>
    <w:p w14:paraId="6400BA7D">
      <w:pPr>
        <w:spacing w:line="240" w:lineRule="auto"/>
        <w:ind w:firstLine="640"/>
        <w:jc w:val="both"/>
      </w:pPr>
      <w:r>
        <w:rPr>
          <w:rFonts w:ascii="仿宋_GB2312" w:hAnsi="仿宋_GB2312" w:eastAsia="仿宋_GB2312"/>
          <w:b w:val="0"/>
          <w:sz w:val="32"/>
        </w:rPr>
        <w:t>九、《财政拨款“三公”经费支出决算表》</w:t>
      </w:r>
    </w:p>
    <w:p w14:paraId="611D1143">
      <w:pPr>
        <w:spacing w:line="240" w:lineRule="auto"/>
        <w:ind w:firstLine="640"/>
        <w:jc w:val="both"/>
      </w:pPr>
    </w:p>
    <w:p w14:paraId="321DE5FD">
      <w:pPr>
        <w:spacing w:line="240" w:lineRule="auto"/>
        <w:ind w:firstLine="640"/>
        <w:jc w:val="both"/>
      </w:pPr>
    </w:p>
    <w:p w14:paraId="32E820FC">
      <w:pPr>
        <w:spacing w:line="240" w:lineRule="auto"/>
        <w:ind w:firstLine="640"/>
        <w:jc w:val="both"/>
      </w:pPr>
    </w:p>
    <w:p w14:paraId="7E0E08A0">
      <w:pPr>
        <w:spacing w:line="240" w:lineRule="auto"/>
        <w:ind w:firstLine="640"/>
        <w:jc w:val="both"/>
      </w:pPr>
    </w:p>
    <w:p w14:paraId="598BFE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712545"/>
    <w:rsid w:val="423A32B2"/>
    <w:rsid w:val="423C0CB4"/>
    <w:rsid w:val="427B5743"/>
    <w:rsid w:val="42E64542"/>
    <w:rsid w:val="464B7E04"/>
    <w:rsid w:val="464F7E64"/>
    <w:rsid w:val="46901EEE"/>
    <w:rsid w:val="469C74D2"/>
    <w:rsid w:val="47445515"/>
    <w:rsid w:val="4B4C0111"/>
    <w:rsid w:val="4BB23021"/>
    <w:rsid w:val="4F3F074E"/>
    <w:rsid w:val="50DB5F45"/>
    <w:rsid w:val="525D3EC3"/>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8156</Words>
  <Characters>9323</Characters>
  <Lines>0</Lines>
  <Paragraphs>0</Paragraphs>
  <TotalTime>2</TotalTime>
  <ScaleCrop>false</ScaleCrop>
  <LinksUpToDate>false</LinksUpToDate>
  <CharactersWithSpaces>9333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