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民丰县供销合作社联合社2024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2585AED">
      <w:r>
        <w:br w:type="page"/>
      </w:r>
    </w:p>
    <w:p w14:paraId="112EBF13">
      <w:pPr>
        <w:spacing w:line="640" w:lineRule="exact"/>
        <w:jc w:val="center"/>
        <w:outlineLvl w:val="1"/>
      </w:pPr>
      <w:r>
        <w:rPr>
          <w:rFonts w:ascii="黑体" w:hAnsi="黑体" w:eastAsia="黑体"/>
          <w:sz w:val="32"/>
        </w:rPr>
        <w:t>第一部分 单位概况</w:t>
      </w:r>
    </w:p>
    <w:p w14:paraId="67EAC831">
      <w:pPr>
        <w:spacing w:line="640" w:lineRule="exact"/>
        <w:ind w:firstLine="640"/>
        <w:jc w:val="both"/>
        <w:outlineLvl w:val="2"/>
      </w:pPr>
      <w:r>
        <w:rPr>
          <w:rFonts w:ascii="黑体" w:hAnsi="黑体" w:eastAsia="黑体"/>
          <w:sz w:val="32"/>
        </w:rPr>
        <w:t>一、主要职能</w:t>
      </w:r>
    </w:p>
    <w:p w14:paraId="1B2FB5B2">
      <w:pPr>
        <w:spacing w:line="580" w:lineRule="exact"/>
        <w:ind w:firstLine="640"/>
        <w:jc w:val="both"/>
      </w:pPr>
      <w:r>
        <w:rPr>
          <w:rFonts w:ascii="仿宋_GB2312" w:hAnsi="仿宋_GB2312" w:eastAsia="仿宋_GB2312"/>
          <w:sz w:val="32"/>
        </w:rPr>
        <w:t>宣传贯彻党中央、国务院有关农村经济工作的方针政策；承担国家赋予的某些经济社会任务，保质保量完成国家委托的经营业务和社会服务任务；承担政府委托的任务，行使政府授权的某些职能；按照政府授权对重要农业生产资料、农副产品经营进行组织、协调、管理；承担重要农产品和农业生产资料国家储备任务；促进城乡物资交流；负责研究制定全国供销合作社的发展战略和发展规划，指导全国供销合作社的发展和改革；协调同有关部门的关系，指导全国供销合作社的业务活动，维护各级供销合作社的合法权益；代表中国合作社参与国际合作社联盟的各项活动。</w:t>
      </w:r>
    </w:p>
    <w:p w14:paraId="095110BC">
      <w:pPr>
        <w:spacing w:line="640" w:lineRule="exact"/>
        <w:ind w:firstLine="640"/>
        <w:jc w:val="both"/>
        <w:outlineLvl w:val="2"/>
      </w:pPr>
      <w:r>
        <w:rPr>
          <w:rFonts w:ascii="黑体" w:hAnsi="黑体" w:eastAsia="黑体"/>
          <w:sz w:val="32"/>
        </w:rPr>
        <w:t>二、机构设置及人员情况</w:t>
      </w:r>
    </w:p>
    <w:p w14:paraId="299B71DE">
      <w:pPr>
        <w:spacing w:line="580" w:lineRule="exact"/>
        <w:ind w:firstLine="640"/>
        <w:jc w:val="both"/>
      </w:pPr>
      <w:r>
        <w:rPr>
          <w:rFonts w:ascii="仿宋_GB2312" w:hAnsi="仿宋_GB2312" w:eastAsia="仿宋_GB2312"/>
          <w:sz w:val="32"/>
        </w:rPr>
        <w:t>民丰县供销合作社联合社2024年度，实有人数14人，其中：在职人员6人，增加1人；离休人员0人，增加0人；退休人员8人</w:t>
      </w:r>
      <w:bookmarkStart w:id="0" w:name="_GoBack"/>
      <w:r>
        <w:rPr>
          <w:rFonts w:ascii="仿宋_GB2312" w:hAnsi="仿宋_GB2312" w:eastAsia="仿宋_GB2312"/>
          <w:sz w:val="32"/>
        </w:rPr>
        <w:t>,</w:t>
      </w:r>
      <w:bookmarkEnd w:id="0"/>
      <w:r>
        <w:rPr>
          <w:rFonts w:ascii="仿宋_GB2312" w:hAnsi="仿宋_GB2312" w:eastAsia="仿宋_GB2312"/>
          <w:sz w:val="32"/>
        </w:rPr>
        <w:t>增加0人。</w:t>
      </w:r>
    </w:p>
    <w:p w14:paraId="1D66231C">
      <w:pPr>
        <w:spacing w:line="580" w:lineRule="exact"/>
        <w:ind w:firstLine="640"/>
        <w:jc w:val="both"/>
      </w:pPr>
      <w:r>
        <w:rPr>
          <w:rFonts w:ascii="仿宋_GB2312" w:hAnsi="仿宋_GB2312" w:eastAsia="仿宋_GB2312"/>
          <w:sz w:val="32"/>
        </w:rPr>
        <w:t>民丰县供销合作社联合社无下属预算单位，下设4个科室，分别是：办公室、企业发展股、财务股、资产运营股。</w:t>
      </w:r>
    </w:p>
    <w:p w14:paraId="3FC4C9B8">
      <w:r>
        <w:br w:type="page"/>
      </w:r>
    </w:p>
    <w:p w14:paraId="3A501DF3">
      <w:pPr>
        <w:spacing w:line="240" w:lineRule="auto"/>
        <w:jc w:val="center"/>
        <w:outlineLvl w:val="1"/>
      </w:pPr>
      <w:r>
        <w:rPr>
          <w:rFonts w:ascii="黑体" w:hAnsi="黑体" w:eastAsia="黑体"/>
          <w:sz w:val="32"/>
        </w:rPr>
        <w:t>第二部分 部门决算情况说明</w:t>
      </w:r>
    </w:p>
    <w:p w14:paraId="60E6BD86">
      <w:pPr>
        <w:spacing w:line="640" w:lineRule="exact"/>
        <w:ind w:firstLine="640"/>
        <w:jc w:val="both"/>
        <w:outlineLvl w:val="2"/>
      </w:pPr>
      <w:r>
        <w:rPr>
          <w:rFonts w:ascii="黑体" w:hAnsi="黑体" w:eastAsia="黑体"/>
          <w:sz w:val="32"/>
        </w:rPr>
        <w:t>一、收入支出决算总体情况说明</w:t>
      </w:r>
    </w:p>
    <w:p w14:paraId="60381B09">
      <w:pPr>
        <w:spacing w:line="580" w:lineRule="exact"/>
        <w:ind w:firstLine="640"/>
        <w:jc w:val="both"/>
      </w:pPr>
      <w:r>
        <w:rPr>
          <w:rFonts w:ascii="仿宋_GB2312" w:hAnsi="仿宋_GB2312" w:eastAsia="仿宋_GB2312"/>
          <w:b/>
          <w:sz w:val="32"/>
        </w:rPr>
        <w:t>2024年度收入总计269.63万元，</w:t>
      </w:r>
      <w:r>
        <w:rPr>
          <w:rFonts w:ascii="仿宋_GB2312" w:hAnsi="仿宋_GB2312" w:eastAsia="仿宋_GB2312"/>
          <w:b w:val="0"/>
          <w:sz w:val="32"/>
        </w:rPr>
        <w:t>其中：本年收入合计268.20万元，使用非财政拨款结余（含专用结余）0.00万元，年初结转和结余1.42万元。</w:t>
      </w:r>
    </w:p>
    <w:p w14:paraId="11A9100A">
      <w:pPr>
        <w:spacing w:line="580" w:lineRule="exact"/>
        <w:ind w:firstLine="640"/>
        <w:jc w:val="both"/>
      </w:pPr>
      <w:r>
        <w:rPr>
          <w:rFonts w:ascii="仿宋_GB2312" w:hAnsi="仿宋_GB2312" w:eastAsia="仿宋_GB2312"/>
          <w:b/>
          <w:sz w:val="32"/>
        </w:rPr>
        <w:t>2024年度支出总计269.63万元，</w:t>
      </w:r>
      <w:r>
        <w:rPr>
          <w:rFonts w:ascii="仿宋_GB2312" w:hAnsi="仿宋_GB2312" w:eastAsia="仿宋_GB2312"/>
          <w:b w:val="0"/>
          <w:sz w:val="32"/>
        </w:rPr>
        <w:t>其中：本年支出合计253.52万元，结余分配0.00万元，年末结转和结余16.11万元。</w:t>
      </w:r>
    </w:p>
    <w:p w14:paraId="307EB52F">
      <w:pPr>
        <w:spacing w:line="580" w:lineRule="exact"/>
        <w:ind w:firstLine="640"/>
        <w:jc w:val="both"/>
      </w:pPr>
      <w:r>
        <w:rPr>
          <w:rFonts w:ascii="仿宋_GB2312" w:hAnsi="仿宋_GB2312" w:eastAsia="仿宋_GB2312"/>
          <w:b w:val="0"/>
          <w:sz w:val="32"/>
        </w:rPr>
        <w:t>收入支出总体与上年相比，减少18.30万元，下降6.36%，主要原因是：本年在职人员调入调出，人员职级不同，缴费基数不同，导致人员经费减少；本年减少民丰县供销物流集散中心改造项目。</w:t>
      </w:r>
    </w:p>
    <w:p w14:paraId="7DC9FC5B">
      <w:pPr>
        <w:spacing w:line="640" w:lineRule="exact"/>
        <w:ind w:firstLine="640"/>
        <w:jc w:val="both"/>
        <w:outlineLvl w:val="2"/>
      </w:pPr>
      <w:r>
        <w:rPr>
          <w:rFonts w:ascii="黑体" w:hAnsi="黑体" w:eastAsia="黑体"/>
          <w:sz w:val="32"/>
        </w:rPr>
        <w:t>二、收入决算情况说明</w:t>
      </w:r>
    </w:p>
    <w:p w14:paraId="0BCE56B1">
      <w:pPr>
        <w:spacing w:line="580" w:lineRule="exact"/>
        <w:ind w:firstLine="640"/>
        <w:jc w:val="both"/>
      </w:pPr>
      <w:r>
        <w:rPr>
          <w:rFonts w:ascii="仿宋_GB2312" w:hAnsi="仿宋_GB2312" w:eastAsia="仿宋_GB2312"/>
          <w:b/>
          <w:sz w:val="32"/>
        </w:rPr>
        <w:t>本年收入268.20万元，</w:t>
      </w:r>
      <w:r>
        <w:rPr>
          <w:rFonts w:ascii="仿宋_GB2312" w:hAnsi="仿宋_GB2312" w:eastAsia="仿宋_GB2312"/>
          <w:b w:val="0"/>
          <w:sz w:val="32"/>
        </w:rPr>
        <w:t>其中：财政拨款收入156.14万元，占58.22%；上级补助收入0.00万元，占0.00%；事业收入0.00万元，占0.00%；经营收入0.00万元，占0.00%；附属单位上缴收入0.00万元，占0.00%；其他收入112.06万元，占41.78%。</w:t>
      </w:r>
    </w:p>
    <w:p w14:paraId="1A39BC1B">
      <w:pPr>
        <w:spacing w:line="640" w:lineRule="exact"/>
        <w:ind w:firstLine="640"/>
        <w:jc w:val="both"/>
        <w:outlineLvl w:val="2"/>
      </w:pPr>
      <w:r>
        <w:rPr>
          <w:rFonts w:ascii="黑体" w:hAnsi="黑体" w:eastAsia="黑体"/>
          <w:sz w:val="32"/>
        </w:rPr>
        <w:t>三、支出决算情况说明</w:t>
      </w:r>
    </w:p>
    <w:p w14:paraId="581F8BCA">
      <w:pPr>
        <w:spacing w:line="580" w:lineRule="exact"/>
        <w:ind w:firstLine="640"/>
        <w:jc w:val="both"/>
      </w:pPr>
      <w:r>
        <w:rPr>
          <w:rFonts w:ascii="仿宋_GB2312" w:hAnsi="仿宋_GB2312" w:eastAsia="仿宋_GB2312"/>
          <w:b/>
          <w:sz w:val="32"/>
        </w:rPr>
        <w:t>本年支出253.52万元，</w:t>
      </w:r>
      <w:r>
        <w:rPr>
          <w:rFonts w:ascii="仿宋_GB2312" w:hAnsi="仿宋_GB2312" w:eastAsia="仿宋_GB2312"/>
          <w:b w:val="0"/>
          <w:sz w:val="32"/>
        </w:rPr>
        <w:t>其中：基本支出156.14万元，占61.59%；项目支出97.38万元，占38.41%；上缴上级支出0.00万元，占0.00%；经营支出0.00万元，占0.00%；对附属单位补助支出0.00万元，占0.00%。</w:t>
      </w:r>
    </w:p>
    <w:p w14:paraId="4A6338EC">
      <w:pPr>
        <w:spacing w:line="640" w:lineRule="exact"/>
        <w:ind w:firstLine="640"/>
        <w:jc w:val="both"/>
        <w:outlineLvl w:val="2"/>
      </w:pPr>
      <w:r>
        <w:rPr>
          <w:rFonts w:ascii="黑体" w:hAnsi="黑体" w:eastAsia="黑体"/>
          <w:sz w:val="32"/>
        </w:rPr>
        <w:t>四、财政拨款收入支出决算总体情况说明</w:t>
      </w:r>
    </w:p>
    <w:p w14:paraId="64E721A6">
      <w:pPr>
        <w:spacing w:line="580" w:lineRule="exact"/>
        <w:ind w:firstLine="640"/>
        <w:jc w:val="both"/>
      </w:pPr>
      <w:r>
        <w:rPr>
          <w:rFonts w:ascii="仿宋_GB2312" w:hAnsi="仿宋_GB2312" w:eastAsia="仿宋_GB2312"/>
          <w:b/>
          <w:sz w:val="32"/>
        </w:rPr>
        <w:t>2024年度财政拨款收入总计156.14万元，</w:t>
      </w:r>
      <w:r>
        <w:rPr>
          <w:rFonts w:ascii="仿宋_GB2312" w:hAnsi="仿宋_GB2312" w:eastAsia="仿宋_GB2312"/>
          <w:b w:val="0"/>
          <w:sz w:val="32"/>
        </w:rPr>
        <w:t>其中：年初财政拨款结转和结余0.00万元，本年财政拨款收入156.14万元。</w:t>
      </w:r>
      <w:r>
        <w:rPr>
          <w:rFonts w:ascii="仿宋_GB2312" w:hAnsi="仿宋_GB2312" w:eastAsia="仿宋_GB2312"/>
          <w:b/>
          <w:sz w:val="32"/>
        </w:rPr>
        <w:t>财政拨款支出总计156.14万元，</w:t>
      </w:r>
      <w:r>
        <w:rPr>
          <w:rFonts w:ascii="仿宋_GB2312" w:hAnsi="仿宋_GB2312" w:eastAsia="仿宋_GB2312"/>
          <w:b w:val="0"/>
          <w:sz w:val="32"/>
        </w:rPr>
        <w:t>其中：年末财政拨款结转和结余0.00万元，本年财政拨款支出156.14万元。</w:t>
      </w:r>
    </w:p>
    <w:p w14:paraId="56514CDE">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减少42.71万元，下降21.48%，主要原因是：本年在职人员调入调出，人员职级不同，缴费基数不同，导致人员经费减少；本年减少民丰县供销物流集散中心改造项目。</w:t>
      </w:r>
      <w:r>
        <w:rPr>
          <w:rFonts w:ascii="仿宋_GB2312" w:hAnsi="仿宋_GB2312" w:eastAsia="仿宋_GB2312"/>
          <w:b/>
          <w:sz w:val="32"/>
        </w:rPr>
        <w:t>与年初预算相比，</w:t>
      </w:r>
      <w:r>
        <w:rPr>
          <w:rFonts w:ascii="仿宋_GB2312" w:hAnsi="仿宋_GB2312" w:eastAsia="仿宋_GB2312"/>
          <w:b w:val="0"/>
          <w:sz w:val="32"/>
        </w:rPr>
        <w:t>年初预算数216.00万元，决算数156.14万元，预决算差异率-27.71%，主要原因是：本年在职人员调入调出，人员职级不同，缴费基数不同，年中调减人员经费，导致预决算存在差异。</w:t>
      </w:r>
    </w:p>
    <w:p w14:paraId="4941D9D6">
      <w:pPr>
        <w:spacing w:line="640" w:lineRule="exact"/>
        <w:ind w:firstLine="640"/>
        <w:jc w:val="both"/>
        <w:outlineLvl w:val="2"/>
      </w:pPr>
      <w:r>
        <w:rPr>
          <w:rFonts w:ascii="黑体" w:hAnsi="黑体" w:eastAsia="黑体"/>
          <w:sz w:val="32"/>
        </w:rPr>
        <w:t>五、一般公共预算财政拨款支出决算情况说明</w:t>
      </w:r>
    </w:p>
    <w:p w14:paraId="7E7BD330">
      <w:pPr>
        <w:spacing w:line="640" w:lineRule="exact"/>
        <w:ind w:firstLine="640"/>
        <w:jc w:val="both"/>
        <w:outlineLvl w:val="3"/>
      </w:pPr>
      <w:r>
        <w:rPr>
          <w:rFonts w:ascii="楷体_GB2312" w:hAnsi="楷体_GB2312" w:eastAsia="楷体_GB2312"/>
          <w:b/>
          <w:sz w:val="32"/>
        </w:rPr>
        <w:t>（一）一般公共预算财政拨款支出决算总体情况</w:t>
      </w:r>
    </w:p>
    <w:p w14:paraId="56AC28C1">
      <w:pPr>
        <w:spacing w:line="580" w:lineRule="exact"/>
        <w:ind w:firstLine="640"/>
        <w:jc w:val="both"/>
      </w:pPr>
      <w:r>
        <w:rPr>
          <w:rFonts w:ascii="仿宋_GB2312" w:hAnsi="仿宋_GB2312" w:eastAsia="仿宋_GB2312"/>
          <w:b/>
          <w:sz w:val="32"/>
        </w:rPr>
        <w:t>2024年度一般公共预算财政拨款支出156.14万元，</w:t>
      </w:r>
      <w:r>
        <w:rPr>
          <w:rFonts w:ascii="仿宋_GB2312" w:hAnsi="仿宋_GB2312" w:eastAsia="仿宋_GB2312"/>
          <w:b w:val="0"/>
          <w:sz w:val="32"/>
        </w:rPr>
        <w:t>占本年支出合计的61.59%。</w:t>
      </w:r>
      <w:r>
        <w:rPr>
          <w:rFonts w:ascii="仿宋_GB2312" w:hAnsi="仿宋_GB2312" w:eastAsia="仿宋_GB2312"/>
          <w:b/>
          <w:sz w:val="32"/>
        </w:rPr>
        <w:t>与上年相比，</w:t>
      </w:r>
      <w:r>
        <w:rPr>
          <w:rFonts w:ascii="仿宋_GB2312" w:hAnsi="仿宋_GB2312" w:eastAsia="仿宋_GB2312"/>
          <w:b w:val="0"/>
          <w:sz w:val="32"/>
        </w:rPr>
        <w:t>减少42.71万元，下降21.48%，主要原因是：本年在职人员调入调出，人员职级不同，缴费基数不同，导致人员经费减少；本年减少民丰县供销物流集散中心改造项目。</w:t>
      </w:r>
      <w:r>
        <w:rPr>
          <w:rFonts w:ascii="仿宋_GB2312" w:hAnsi="仿宋_GB2312" w:eastAsia="仿宋_GB2312"/>
          <w:b/>
          <w:sz w:val="32"/>
        </w:rPr>
        <w:t>与年初预算相比,</w:t>
      </w:r>
      <w:r>
        <w:rPr>
          <w:rFonts w:ascii="仿宋_GB2312" w:hAnsi="仿宋_GB2312" w:eastAsia="仿宋_GB2312"/>
          <w:b w:val="0"/>
          <w:sz w:val="32"/>
        </w:rPr>
        <w:t>年初预算数216.00万元，决算数156.14万元，预决算差异率-27.71%，主要原因是：本年在职人员调入调出，人员职级不同，缴费基数不同，年中调减人员经费，导致预决算存在差异。</w:t>
      </w:r>
    </w:p>
    <w:p w14:paraId="372BB385">
      <w:pPr>
        <w:spacing w:line="640" w:lineRule="exact"/>
        <w:ind w:firstLine="640"/>
        <w:jc w:val="both"/>
        <w:outlineLvl w:val="3"/>
      </w:pPr>
      <w:r>
        <w:rPr>
          <w:rFonts w:ascii="楷体_GB2312" w:hAnsi="楷体_GB2312" w:eastAsia="楷体_GB2312"/>
          <w:b/>
          <w:sz w:val="32"/>
        </w:rPr>
        <w:t>（二）一般公共预算财政拨款支出决算结构情况</w:t>
      </w:r>
    </w:p>
    <w:p w14:paraId="03B682E4">
      <w:pPr>
        <w:spacing w:line="580" w:lineRule="exact"/>
        <w:ind w:firstLine="640"/>
        <w:jc w:val="both"/>
      </w:pPr>
      <w:r>
        <w:rPr>
          <w:rFonts w:ascii="仿宋_GB2312" w:hAnsi="仿宋_GB2312" w:eastAsia="仿宋_GB2312"/>
          <w:b w:val="0"/>
          <w:sz w:val="32"/>
        </w:rPr>
        <w:t>1.社会保障和就业支出(类)40.17万元,占25.73%。</w:t>
      </w:r>
    </w:p>
    <w:p w14:paraId="44CC0EA9">
      <w:pPr>
        <w:spacing w:line="580" w:lineRule="exact"/>
        <w:ind w:firstLine="640"/>
        <w:jc w:val="both"/>
      </w:pPr>
      <w:r>
        <w:rPr>
          <w:rFonts w:ascii="仿宋_GB2312" w:hAnsi="仿宋_GB2312" w:eastAsia="仿宋_GB2312"/>
          <w:b w:val="0"/>
          <w:sz w:val="32"/>
        </w:rPr>
        <w:t>2.卫生健康支出(类)6.68万元,占4.28%。</w:t>
      </w:r>
    </w:p>
    <w:p w14:paraId="518D4328">
      <w:pPr>
        <w:spacing w:line="580" w:lineRule="exact"/>
        <w:ind w:firstLine="640"/>
        <w:jc w:val="both"/>
      </w:pPr>
      <w:r>
        <w:rPr>
          <w:rFonts w:ascii="仿宋_GB2312" w:hAnsi="仿宋_GB2312" w:eastAsia="仿宋_GB2312"/>
          <w:b w:val="0"/>
          <w:sz w:val="32"/>
        </w:rPr>
        <w:t>3.商业服务业等支出(类)99.69万元,占63.85%。</w:t>
      </w:r>
    </w:p>
    <w:p w14:paraId="3115E8C4">
      <w:pPr>
        <w:spacing w:line="580" w:lineRule="exact"/>
        <w:ind w:firstLine="640"/>
        <w:jc w:val="both"/>
      </w:pPr>
      <w:r>
        <w:rPr>
          <w:rFonts w:ascii="仿宋_GB2312" w:hAnsi="仿宋_GB2312" w:eastAsia="仿宋_GB2312"/>
          <w:b w:val="0"/>
          <w:sz w:val="32"/>
        </w:rPr>
        <w:t>4.住房保障支出(类)9.60万元,占6.15%。</w:t>
      </w:r>
    </w:p>
    <w:p w14:paraId="59DE7586">
      <w:pPr>
        <w:spacing w:line="640" w:lineRule="exact"/>
        <w:ind w:firstLine="640"/>
        <w:jc w:val="both"/>
        <w:outlineLvl w:val="3"/>
      </w:pPr>
      <w:r>
        <w:rPr>
          <w:rFonts w:ascii="楷体_GB2312" w:hAnsi="楷体_GB2312" w:eastAsia="楷体_GB2312"/>
          <w:b/>
          <w:sz w:val="32"/>
        </w:rPr>
        <w:t>（三）一般公共预算财政拨款支出决算具体情况</w:t>
      </w:r>
    </w:p>
    <w:p w14:paraId="2EFF2226">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7.24万元，比上年决算增加7.24万元，增长100.00%,主要原因是：本年功能科目调整，事业单位离退休上年度在主科目列支，本年单独列支，导致经费较上年增加。</w:t>
      </w:r>
    </w:p>
    <w:p w14:paraId="6B30FD2B">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12.48万元，比上年决算增加0.51万元，增长4.26%,主要原因是：本年在职人员工资基数调增，养老缴费基数上涨，相应支出增加。</w:t>
      </w:r>
    </w:p>
    <w:p w14:paraId="4566AC8E">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3.社会保障和就业支出(类)行政事业单位养老支出(款)机关事业单位职业年金缴费支出(项):支出决算数为20.45万元，比上年决算增加12.39万元，增长153.72%,主要原因是：本年补缴以前年度退休人员职业年金。</w:t>
      </w:r>
    </w:p>
    <w:p w14:paraId="701C129C">
      <w:pPr>
        <w:spacing w:line="580" w:lineRule="exact"/>
        <w:ind w:firstLine="640"/>
        <w:jc w:val="both"/>
      </w:pPr>
      <w:r>
        <w:rPr>
          <w:rFonts w:ascii="仿宋_GB2312" w:hAnsi="仿宋_GB2312" w:eastAsia="仿宋_GB2312"/>
          <w:b w:val="0"/>
          <w:sz w:val="32"/>
        </w:rPr>
        <w:t>4.卫生健康支出(类)公共卫生(款)突发公共卫生事件应急处理(项):支出决算数为0.00万元，比上年决算减少32.39万元，下降100.00%,主要原因是：本年减少民丰县供销物流集散中心改造项目。</w:t>
      </w:r>
    </w:p>
    <w:p w14:paraId="1B369EB3">
      <w:pPr>
        <w:spacing w:line="580" w:lineRule="exact"/>
        <w:ind w:firstLine="640"/>
        <w:jc w:val="both"/>
      </w:pPr>
      <w:r>
        <w:rPr>
          <w:rFonts w:ascii="仿宋_GB2312" w:hAnsi="仿宋_GB2312" w:eastAsia="仿宋_GB2312"/>
          <w:b w:val="0"/>
          <w:sz w:val="32"/>
        </w:rPr>
        <w:t>5.卫生健康支出(类)行政事业单位医疗(款)事业单位医疗(项):支出决算数为6.22万元，比上年决算增加6.22万元，增长100.00%,主要原因是：本年功能科目调整，事业单位医疗上年度在主科目列支，本年单独列支，导致经费较上年增加。</w:t>
      </w:r>
    </w:p>
    <w:p w14:paraId="1A4D2E60">
      <w:pPr>
        <w:spacing w:line="580" w:lineRule="exact"/>
        <w:ind w:firstLine="640"/>
        <w:jc w:val="both"/>
      </w:pPr>
      <w:r>
        <w:rPr>
          <w:rFonts w:ascii="仿宋_GB2312" w:hAnsi="仿宋_GB2312" w:eastAsia="仿宋_GB2312"/>
          <w:b w:val="0"/>
          <w:sz w:val="32"/>
        </w:rPr>
        <w:t>6.卫生健康支出(类)行政事业单位医疗(款)其他行政事业单位医疗支出(项):支出决算数为0.47万元，比上年决算增加0.47万元，增长100.00%,主要原因是：本年功能科目调整，其他行政事业单位医疗支出上年度在主科目列支，本年单独列支，导致经费较上年增加。</w:t>
      </w:r>
    </w:p>
    <w:p w14:paraId="06E59529">
      <w:pPr>
        <w:spacing w:line="580" w:lineRule="exact"/>
        <w:ind w:firstLine="640"/>
        <w:jc w:val="both"/>
      </w:pPr>
      <w:r>
        <w:rPr>
          <w:rFonts w:ascii="仿宋_GB2312" w:hAnsi="仿宋_GB2312" w:eastAsia="仿宋_GB2312"/>
          <w:b w:val="0"/>
          <w:sz w:val="32"/>
        </w:rPr>
        <w:t>7.商业服务业等支出(类)商业流通事务(款)事业运行(项):支出决算数为99.69万元，比上年决算减少46.74万元，下降31.92%,主要原因是：一是本年在职人员调入调出，人员职级不同，缴费基数不同，导致人员经费减少；二是本年科目调整，职工住房公积金，医疗保险，退休人员经费等上年在主科目列支，本年单独列支，导致经费较上年减少。</w:t>
      </w:r>
    </w:p>
    <w:p w14:paraId="71CD0C35">
      <w:pPr>
        <w:spacing w:line="580" w:lineRule="exact"/>
        <w:ind w:firstLine="640"/>
        <w:jc w:val="both"/>
      </w:pPr>
      <w:r>
        <w:rPr>
          <w:rFonts w:ascii="仿宋_GB2312" w:hAnsi="仿宋_GB2312" w:eastAsia="仿宋_GB2312"/>
          <w:b w:val="0"/>
          <w:sz w:val="32"/>
        </w:rPr>
        <w:t>8.住房保障支出(类)住房改革支出(款)住房公积金(项):支出决算数为9.60万元，比上年决算增加9.60万元，增长100.00%,主要原因是：本年功能科目调整，住房公积金上年度在主科目列支，本年单独列支，导致经费较上年增加。</w:t>
      </w:r>
    </w:p>
    <w:p w14:paraId="31EC17FF">
      <w:pPr>
        <w:spacing w:line="640" w:lineRule="exact"/>
        <w:ind w:firstLine="640"/>
        <w:jc w:val="both"/>
        <w:outlineLvl w:val="2"/>
      </w:pPr>
      <w:r>
        <w:rPr>
          <w:rFonts w:ascii="黑体" w:hAnsi="黑体" w:eastAsia="黑体"/>
          <w:sz w:val="32"/>
        </w:rPr>
        <w:t>六、一般公共预算财政拨款基本支出决算情况说明</w:t>
      </w:r>
    </w:p>
    <w:p w14:paraId="77706BFB">
      <w:pPr>
        <w:spacing w:line="580" w:lineRule="exact"/>
        <w:ind w:firstLine="640"/>
        <w:jc w:val="both"/>
      </w:pPr>
      <w:r>
        <w:rPr>
          <w:rFonts w:ascii="仿宋_GB2312" w:hAnsi="仿宋_GB2312" w:eastAsia="仿宋_GB2312"/>
          <w:b w:val="0"/>
          <w:sz w:val="32"/>
        </w:rPr>
        <w:t>2024年度一般公共预算财政拨款基本支出156.14万元，其中：</w:t>
      </w:r>
      <w:r>
        <w:rPr>
          <w:rFonts w:ascii="仿宋_GB2312" w:hAnsi="仿宋_GB2312" w:eastAsia="仿宋_GB2312"/>
          <w:b/>
          <w:sz w:val="32"/>
        </w:rPr>
        <w:t>人员经费154.79万元，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w:t>
      </w:r>
    </w:p>
    <w:p w14:paraId="03BB7911">
      <w:pPr>
        <w:spacing w:line="580" w:lineRule="exact"/>
        <w:ind w:firstLine="640"/>
        <w:jc w:val="both"/>
      </w:pPr>
      <w:r>
        <w:rPr>
          <w:rFonts w:ascii="仿宋_GB2312" w:hAnsi="仿宋_GB2312" w:eastAsia="仿宋_GB2312"/>
          <w:b/>
          <w:sz w:val="32"/>
        </w:rPr>
        <w:t>公用经费1.35万元，</w:t>
      </w:r>
      <w:r>
        <w:rPr>
          <w:rFonts w:ascii="仿宋_GB2312" w:hAnsi="仿宋_GB2312" w:eastAsia="仿宋_GB2312"/>
          <w:b w:val="0"/>
          <w:sz w:val="32"/>
        </w:rPr>
        <w:t>包括：办公费、电费、差旅费。</w:t>
      </w:r>
    </w:p>
    <w:p w14:paraId="5ED2F9B2">
      <w:pPr>
        <w:spacing w:line="640" w:lineRule="exact"/>
        <w:ind w:firstLine="640"/>
        <w:jc w:val="both"/>
        <w:outlineLvl w:val="2"/>
      </w:pPr>
      <w:r>
        <w:rPr>
          <w:rFonts w:ascii="黑体" w:hAnsi="黑体" w:eastAsia="黑体"/>
          <w:sz w:val="32"/>
        </w:rPr>
        <w:t>七、政府性基金预算财政拨款收入支出决算情况说明</w:t>
      </w:r>
    </w:p>
    <w:p w14:paraId="1084189F">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C86AE58">
      <w:pPr>
        <w:spacing w:line="640" w:lineRule="exact"/>
        <w:ind w:firstLine="640"/>
        <w:jc w:val="both"/>
        <w:outlineLvl w:val="2"/>
      </w:pPr>
      <w:r>
        <w:rPr>
          <w:rFonts w:ascii="黑体" w:hAnsi="黑体" w:eastAsia="黑体"/>
          <w:sz w:val="32"/>
        </w:rPr>
        <w:t>八、国有资本经营预算财政拨款收入支出决算情况说明</w:t>
      </w:r>
    </w:p>
    <w:p w14:paraId="137F8FC1">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862B016">
      <w:pPr>
        <w:spacing w:line="640" w:lineRule="exact"/>
        <w:ind w:firstLine="640"/>
        <w:jc w:val="both"/>
        <w:outlineLvl w:val="2"/>
      </w:pPr>
      <w:r>
        <w:rPr>
          <w:rFonts w:ascii="黑体" w:hAnsi="黑体" w:eastAsia="黑体"/>
          <w:sz w:val="32"/>
        </w:rPr>
        <w:t>九、财政拨款“三公”经费支出决算情况说明</w:t>
      </w:r>
    </w:p>
    <w:p w14:paraId="26F8D590">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62C7B5D1">
      <w:pPr>
        <w:spacing w:line="580" w:lineRule="exact"/>
        <w:ind w:firstLine="640"/>
        <w:jc w:val="both"/>
      </w:pPr>
      <w:r>
        <w:rPr>
          <w:rFonts w:ascii="仿宋_GB2312" w:hAnsi="仿宋_GB2312" w:eastAsia="仿宋_GB2312"/>
          <w:b/>
          <w:sz w:val="32"/>
        </w:rPr>
        <w:t>具体情况如下：</w:t>
      </w:r>
    </w:p>
    <w:p w14:paraId="2D52D8DD">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535A529">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33AE59C5">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60D056D">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2B24CC22">
      <w:pPr>
        <w:spacing w:line="640" w:lineRule="exact"/>
        <w:ind w:firstLine="640"/>
        <w:jc w:val="both"/>
        <w:outlineLvl w:val="2"/>
      </w:pPr>
      <w:r>
        <w:rPr>
          <w:rFonts w:ascii="黑体" w:hAnsi="黑体" w:eastAsia="黑体"/>
          <w:sz w:val="32"/>
        </w:rPr>
        <w:t>十、其他重要事项的情况说明</w:t>
      </w:r>
    </w:p>
    <w:p w14:paraId="1225C795">
      <w:pPr>
        <w:spacing w:line="640" w:lineRule="exact"/>
        <w:ind w:firstLine="640"/>
        <w:jc w:val="both"/>
        <w:outlineLvl w:val="3"/>
      </w:pPr>
      <w:r>
        <w:rPr>
          <w:rFonts w:ascii="楷体_GB2312" w:hAnsi="楷体_GB2312" w:eastAsia="楷体_GB2312"/>
          <w:b/>
          <w:sz w:val="32"/>
        </w:rPr>
        <w:t>（一）机关运行经费及公用经费支出情况</w:t>
      </w:r>
    </w:p>
    <w:p w14:paraId="43E6E6D6">
      <w:pPr>
        <w:spacing w:line="580" w:lineRule="exact"/>
        <w:ind w:firstLine="640"/>
        <w:jc w:val="both"/>
      </w:pPr>
      <w:r>
        <w:rPr>
          <w:rFonts w:ascii="仿宋_GB2312" w:hAnsi="仿宋_GB2312" w:eastAsia="仿宋_GB2312"/>
          <w:b w:val="0"/>
          <w:sz w:val="32"/>
        </w:rPr>
        <w:t>2024年度民丰县供销合作社联合社（事业单位）公用经费支出1.35万元，比上年减少0.26万元，下降16.15%，主要原因是：严控经费支出，厉行节约，减少经费支出。</w:t>
      </w:r>
    </w:p>
    <w:p w14:paraId="61030E4B">
      <w:pPr>
        <w:spacing w:line="640" w:lineRule="exact"/>
        <w:ind w:firstLine="640"/>
        <w:jc w:val="both"/>
        <w:outlineLvl w:val="3"/>
      </w:pPr>
      <w:r>
        <w:rPr>
          <w:rFonts w:ascii="楷体_GB2312" w:hAnsi="楷体_GB2312" w:eastAsia="楷体_GB2312"/>
          <w:b/>
          <w:sz w:val="32"/>
        </w:rPr>
        <w:t>（二）政府采购情况</w:t>
      </w:r>
    </w:p>
    <w:p w14:paraId="14FD604F">
      <w:pPr>
        <w:spacing w:line="580" w:lineRule="exact"/>
        <w:ind w:firstLine="640"/>
        <w:jc w:val="both"/>
      </w:pPr>
      <w:r>
        <w:rPr>
          <w:rFonts w:ascii="仿宋_GB2312" w:hAnsi="仿宋_GB2312" w:eastAsia="仿宋_GB2312"/>
          <w:b w:val="0"/>
          <w:sz w:val="32"/>
        </w:rPr>
        <w:t>2024年度政府采购支出总额97.11万元，其中：政府采购货物支出10.46万元、政府采购工程支出84.84万元、政府采购服务支出1.81万元。</w:t>
      </w:r>
    </w:p>
    <w:p w14:paraId="00F95ECE">
      <w:pPr>
        <w:spacing w:line="580" w:lineRule="exact"/>
        <w:ind w:firstLine="640"/>
        <w:jc w:val="both"/>
      </w:pPr>
      <w:r>
        <w:rPr>
          <w:rFonts w:ascii="仿宋_GB2312" w:hAnsi="仿宋_GB2312" w:eastAsia="仿宋_GB2312"/>
          <w:b w:val="0"/>
          <w:sz w:val="32"/>
        </w:rPr>
        <w:t>授予中小企业合同金额97.11万元，占政府采购支出总额的100.00%，其中：授予小微企业合同金额97.11万元，占政府采购支出总额的100.00%。</w:t>
      </w:r>
    </w:p>
    <w:p w14:paraId="659AD098">
      <w:pPr>
        <w:spacing w:line="640" w:lineRule="exact"/>
        <w:ind w:firstLine="640"/>
        <w:jc w:val="both"/>
        <w:outlineLvl w:val="3"/>
      </w:pPr>
      <w:r>
        <w:rPr>
          <w:rFonts w:ascii="楷体_GB2312" w:hAnsi="楷体_GB2312" w:eastAsia="楷体_GB2312"/>
          <w:b/>
          <w:sz w:val="32"/>
        </w:rPr>
        <w:t>（三）国有资产占用情况说明</w:t>
      </w:r>
    </w:p>
    <w:p w14:paraId="652FF3A7">
      <w:pPr>
        <w:spacing w:line="580" w:lineRule="exact"/>
        <w:ind w:firstLine="640"/>
        <w:jc w:val="both"/>
      </w:pPr>
      <w:r>
        <w:rPr>
          <w:rFonts w:ascii="仿宋_GB2312" w:hAnsi="仿宋_GB2312" w:eastAsia="仿宋_GB2312"/>
          <w:b w:val="0"/>
          <w:sz w:val="32"/>
        </w:rPr>
        <w:t>截至2024年12月31日，房屋1,222.67平方米，价值321.10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35BFE213">
      <w:pPr>
        <w:spacing w:line="640" w:lineRule="exact"/>
        <w:ind w:firstLine="640"/>
        <w:jc w:val="both"/>
        <w:outlineLvl w:val="2"/>
      </w:pPr>
      <w:r>
        <w:rPr>
          <w:rFonts w:ascii="黑体" w:hAnsi="黑体" w:eastAsia="黑体"/>
          <w:sz w:val="32"/>
        </w:rPr>
        <w:t>十一、预算绩效的情况说明</w:t>
      </w:r>
    </w:p>
    <w:p w14:paraId="40EC6BA2">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269.63万元，实际执行总额253.52万元；预算绩效评价项目1个，全年预算数2.84万元，全年执行数1.42万元。预算绩效管理取得的成效：在项目实施过程中做好定期监督检查，严格按照项目管理规范进行，在项目资金使用过程中，严格落实把关，按照项目资金使用范围做好审核工作，让项目资金落于实处。在项目完成后，做好受益群众民意调查及项目防范工作。发现的问题及原因：绩效指标的明确性、可衡量性、相关性还需进一步提升。预算精细化管理还需完善，预算编制管理水平仍有进一步提升的空间。下一步改进措施：一是健全制度，加强督促。针对项目实施中存在的问题，加强完善相关制度，加强督促检查，确保质量安全和建设进度；及时拨付补助资金，严禁截留、挤占、挪用或违规统筹项目资金。二是强化资金管理。各相关部门要切实加强资金管理，确保资金及时发放、专款专用。要加强监督检查，对于挤占挪用资金、弄虚作假套取资金等行为，将按照《财政违法行为处罚处分条例》（国务院令427号）有关规定严肃处理。三是深入自查自纠，落实整改要求。严格执行整改国家稽查、审计、考核指出我单位存在的问题，四是深入自查自纠，落实整改要求。严格执行整改国家稽查、审计、考核指出我部门存在的问题，将整改措施落实到实处。具体附整体支出绩效自评表，项目支出绩效自评表和评价报告。</w:t>
      </w:r>
    </w:p>
    <w:p w14:paraId="41440BAC">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49404E1">
        <w:tblPrEx>
          <w:tblCellMar>
            <w:top w:w="0" w:type="dxa"/>
            <w:left w:w="108" w:type="dxa"/>
            <w:bottom w:w="0" w:type="dxa"/>
            <w:right w:w="108" w:type="dxa"/>
          </w:tblCellMar>
        </w:tblPrEx>
        <w:tc>
          <w:tcPr>
            <w:tcW w:w="8847" w:type="dxa"/>
            <w:gridSpan w:val="9"/>
            <w:vAlign w:val="center"/>
          </w:tcPr>
          <w:p w14:paraId="72734656">
            <w:pPr>
              <w:jc w:val="center"/>
            </w:pPr>
            <w:r>
              <w:rPr>
                <w:rFonts w:ascii="宋体" w:hAnsi="宋体" w:eastAsia="宋体"/>
                <w:sz w:val="24"/>
              </w:rPr>
              <w:t>单位整体支出绩效自评表</w:t>
            </w:r>
          </w:p>
        </w:tc>
      </w:tr>
      <w:tr w14:paraId="03541911">
        <w:tblPrEx>
          <w:tblCellMar>
            <w:top w:w="0" w:type="dxa"/>
            <w:left w:w="108" w:type="dxa"/>
            <w:bottom w:w="0" w:type="dxa"/>
            <w:right w:w="108" w:type="dxa"/>
          </w:tblCellMar>
        </w:tblPrEx>
        <w:tc>
          <w:tcPr>
            <w:tcW w:w="8847" w:type="dxa"/>
            <w:gridSpan w:val="9"/>
            <w:vAlign w:val="center"/>
          </w:tcPr>
          <w:p w14:paraId="208EA380">
            <w:pPr>
              <w:jc w:val="center"/>
            </w:pPr>
            <w:r>
              <w:rPr>
                <w:rFonts w:ascii="宋体" w:hAnsi="宋体" w:eastAsia="宋体"/>
                <w:sz w:val="24"/>
              </w:rPr>
              <w:t>（2024年度）</w:t>
            </w:r>
          </w:p>
        </w:tc>
      </w:tr>
      <w:tr w14:paraId="11359DE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FBE314">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1429A90">
            <w:pPr>
              <w:jc w:val="center"/>
            </w:pPr>
            <w:r>
              <w:rPr>
                <w:rFonts w:ascii="宋体" w:hAnsi="宋体" w:eastAsia="宋体"/>
                <w:sz w:val="16"/>
              </w:rPr>
              <w:t>民丰县供销合作社联合社</w:t>
            </w:r>
          </w:p>
        </w:tc>
      </w:tr>
      <w:tr w14:paraId="45EF482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E7CB42">
            <w:pPr>
              <w:jc w:val="center"/>
            </w:pPr>
            <w:r>
              <w:rPr>
                <w:rFonts w:ascii="宋体" w:hAnsi="宋体" w:eastAsia="宋体"/>
                <w:sz w:val="16"/>
              </w:rPr>
              <w:t>年度预算（万元）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485B8">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5BF00D">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236DED">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722869">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DC6297">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A47B02">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F906BD">
            <w:pPr>
              <w:jc w:val="center"/>
            </w:pPr>
            <w:r>
              <w:rPr>
                <w:rFonts w:ascii="宋体" w:hAnsi="宋体" w:eastAsia="宋体"/>
                <w:sz w:val="16"/>
              </w:rPr>
              <w:t>得分</w:t>
            </w:r>
          </w:p>
        </w:tc>
      </w:tr>
      <w:tr w14:paraId="32D53AA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AC03B1"/>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5182C0">
            <w:pPr>
              <w:jc w:val="center"/>
            </w:pPr>
            <w:r>
              <w:rPr>
                <w:rFonts w:ascii="宋体" w:hAnsi="宋体" w:eastAsia="宋体"/>
                <w:sz w:val="16"/>
              </w:rPr>
              <w:t>财政资金（万元）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0D24CD">
            <w:pPr>
              <w:jc w:val="center"/>
            </w:pPr>
            <w:r>
              <w:rPr>
                <w:rFonts w:ascii="宋体" w:hAnsi="宋体" w:eastAsia="宋体"/>
                <w:sz w:val="16"/>
              </w:rPr>
              <w:t>上级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F951A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54A10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93924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66880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B7D9B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05206C">
            <w:pPr>
              <w:jc w:val="center"/>
            </w:pPr>
            <w:r>
              <w:rPr>
                <w:rFonts w:ascii="宋体" w:hAnsi="宋体" w:eastAsia="宋体"/>
                <w:sz w:val="16"/>
              </w:rPr>
              <w:t>-</w:t>
            </w:r>
          </w:p>
        </w:tc>
      </w:tr>
      <w:tr w14:paraId="3B9635B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BDD91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18645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0A2314">
            <w:pPr>
              <w:jc w:val="center"/>
            </w:pPr>
            <w:r>
              <w:rPr>
                <w:rFonts w:ascii="宋体" w:hAnsi="宋体" w:eastAsia="宋体"/>
                <w:sz w:val="16"/>
              </w:rPr>
              <w:t>本级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6B009E">
            <w:pPr>
              <w:jc w:val="center"/>
            </w:pPr>
            <w:r>
              <w:rPr>
                <w:rFonts w:ascii="宋体" w:hAnsi="宋体" w:eastAsia="宋体"/>
                <w:sz w:val="16"/>
              </w:rPr>
              <w:t>216.00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E7D196">
            <w:pPr>
              <w:jc w:val="center"/>
            </w:pPr>
            <w:r>
              <w:rPr>
                <w:rFonts w:ascii="宋体" w:hAnsi="宋体" w:eastAsia="宋体"/>
                <w:sz w:val="16"/>
              </w:rPr>
              <w:t>157.57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0F3620">
            <w:pPr>
              <w:jc w:val="center"/>
            </w:pPr>
            <w:r>
              <w:rPr>
                <w:rFonts w:ascii="宋体" w:hAnsi="宋体" w:eastAsia="宋体"/>
                <w:sz w:val="16"/>
              </w:rPr>
              <w:t>141.46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9ACF7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2F574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C2CC58">
            <w:pPr>
              <w:jc w:val="center"/>
            </w:pPr>
            <w:r>
              <w:rPr>
                <w:rFonts w:ascii="宋体" w:hAnsi="宋体" w:eastAsia="宋体"/>
                <w:sz w:val="16"/>
              </w:rPr>
              <w:t>-</w:t>
            </w:r>
          </w:p>
        </w:tc>
      </w:tr>
      <w:tr w14:paraId="21B58FF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3F9CE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D34CA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6E8D08">
            <w:pPr>
              <w:jc w:val="center"/>
            </w:pPr>
            <w:r>
              <w:rPr>
                <w:rFonts w:ascii="宋体" w:hAnsi="宋体" w:eastAsia="宋体"/>
                <w:sz w:val="16"/>
              </w:rPr>
              <w:t>其他</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64FB95">
            <w:pPr>
              <w:jc w:val="center"/>
            </w:pPr>
            <w:r>
              <w:rPr>
                <w:rFonts w:ascii="宋体" w:hAnsi="宋体" w:eastAsia="宋体"/>
                <w:sz w:val="16"/>
              </w:rPr>
              <w:t>1.42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152F7D">
            <w:pPr>
              <w:jc w:val="center"/>
            </w:pPr>
            <w:r>
              <w:rPr>
                <w:rFonts w:ascii="宋体" w:hAnsi="宋体" w:eastAsia="宋体"/>
                <w:sz w:val="16"/>
              </w:rPr>
              <w:t>112.06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986039">
            <w:pPr>
              <w:jc w:val="center"/>
            </w:pPr>
            <w:r>
              <w:rPr>
                <w:rFonts w:ascii="宋体" w:hAnsi="宋体" w:eastAsia="宋体"/>
                <w:sz w:val="16"/>
              </w:rPr>
              <w:t>112.06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73A16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98B70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7FD220">
            <w:pPr>
              <w:jc w:val="center"/>
            </w:pPr>
            <w:r>
              <w:rPr>
                <w:rFonts w:ascii="宋体" w:hAnsi="宋体" w:eastAsia="宋体"/>
                <w:sz w:val="16"/>
              </w:rPr>
              <w:t>-</w:t>
            </w:r>
          </w:p>
        </w:tc>
      </w:tr>
      <w:tr w14:paraId="5A60A41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11DF5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886EB3">
            <w:pPr>
              <w:jc w:val="center"/>
            </w:pPr>
            <w:r>
              <w:rPr>
                <w:rFonts w:ascii="宋体" w:hAnsi="宋体" w:eastAsia="宋体"/>
                <w:sz w:val="16"/>
              </w:rPr>
              <w:t>合计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E9441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BEE22A">
            <w:pPr>
              <w:jc w:val="center"/>
            </w:pPr>
            <w:r>
              <w:rPr>
                <w:rFonts w:ascii="宋体" w:hAnsi="宋体" w:eastAsia="宋体"/>
                <w:sz w:val="16"/>
              </w:rPr>
              <w:t>217.42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FCDFA7">
            <w:pPr>
              <w:jc w:val="center"/>
            </w:pPr>
            <w:r>
              <w:rPr>
                <w:rFonts w:ascii="宋体" w:hAnsi="宋体" w:eastAsia="宋体"/>
                <w:sz w:val="16"/>
              </w:rPr>
              <w:t>269.63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BC4953">
            <w:pPr>
              <w:jc w:val="center"/>
            </w:pPr>
            <w:r>
              <w:rPr>
                <w:rFonts w:ascii="宋体" w:hAnsi="宋体" w:eastAsia="宋体"/>
                <w:sz w:val="16"/>
              </w:rPr>
              <w:t>253.52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6F0BF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2F7D8F">
            <w:pPr>
              <w:jc w:val="center"/>
            </w:pPr>
            <w:r>
              <w:rPr>
                <w:rFonts w:ascii="宋体" w:hAnsi="宋体" w:eastAsia="宋体"/>
                <w:sz w:val="16"/>
              </w:rPr>
              <w:t>94.03%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05EE39">
            <w:pPr>
              <w:jc w:val="center"/>
            </w:pPr>
            <w:r>
              <w:rPr>
                <w:rFonts w:ascii="宋体" w:hAnsi="宋体" w:eastAsia="宋体"/>
                <w:sz w:val="16"/>
              </w:rPr>
              <w:t>9.4</w:t>
            </w:r>
          </w:p>
        </w:tc>
      </w:tr>
      <w:tr w14:paraId="68FFB97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626B3A">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9CB09A2">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5D7334C">
            <w:pPr>
              <w:jc w:val="center"/>
            </w:pPr>
            <w:r>
              <w:rPr>
                <w:rFonts w:ascii="宋体" w:hAnsi="宋体" w:eastAsia="宋体"/>
                <w:sz w:val="16"/>
              </w:rPr>
              <w:t>实际完成情况</w:t>
            </w:r>
          </w:p>
        </w:tc>
      </w:tr>
      <w:tr w14:paraId="264A7E1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7C4FB2"/>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CCC2BC2">
            <w:pPr>
              <w:jc w:val="both"/>
            </w:pPr>
            <w:r>
              <w:rPr>
                <w:rFonts w:ascii="宋体" w:hAnsi="宋体" w:eastAsia="宋体"/>
                <w:sz w:val="16"/>
              </w:rPr>
              <w:t>目标1、为“三农”服务，研究制定全县供销社的发展规划。</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目标2、指导全县供销社的改革与发展，负责对重要农业生产资料、农副产品、再生资源经营的组织，协调和管理。</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目标3、指导全县供销社系统积极参与农业产业化，搞好农业社会化服务体系和农村商品流通体系建设，引导，组织农民进入市场，活跃城乡商品流通，促进城乡经济发展。</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目标4、认真履行党建第一责任人职责。</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目标5、突出党员干部队伍教育管理。</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目标6、确保节日县场肉品供应，满足各族群众消费需求，发挥渠道优势避免出现价格波动，保障供应、让利于民。</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52BAA6F">
            <w:pPr>
              <w:jc w:val="both"/>
            </w:pPr>
            <w:r>
              <w:rPr>
                <w:rFonts w:ascii="宋体" w:hAnsi="宋体" w:eastAsia="宋体"/>
                <w:sz w:val="16"/>
              </w:rPr>
              <w:t>截至目前，已完成为“三农”服务，研究制定全县供销社的发展规划；指导全县供销社的改革与发展，负责对重要农业生产资料、农副产品、再生资源经营的组织，协调和管理；指导全县供销社系统积极参与农业产业化，搞好农业社会化服务体系和农村商品流通体系建设，引导，组织农民进入市场，活跃城乡商品流通，促进城乡经济发展；认真履行党建第一责任人职责；突出党员干部队伍教育管理；确保节日县场肉品供应，满足各族群众消费需求，发挥渠道优势避免出现价格波动，保障供应、让利于民。</w:t>
            </w:r>
          </w:p>
        </w:tc>
      </w:tr>
      <w:tr w14:paraId="097D8FF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2405E3">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5C7D21">
            <w:pPr>
              <w:jc w:val="center"/>
            </w:pPr>
            <w:r>
              <w:rPr>
                <w:rFonts w:ascii="宋体" w:hAnsi="宋体" w:eastAsia="宋体"/>
                <w:sz w:val="16"/>
              </w:rPr>
              <w:t>二级指标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649AD8">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6371E1">
            <w:pPr>
              <w:jc w:val="center"/>
            </w:pPr>
            <w:r>
              <w:rPr>
                <w:rFonts w:ascii="宋体" w:hAnsi="宋体" w:eastAsia="宋体"/>
                <w:sz w:val="16"/>
              </w:rPr>
              <w:t>预期指标值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4764C4">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E57F12">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2D150C">
            <w:pPr>
              <w:jc w:val="center"/>
            </w:pPr>
            <w:r>
              <w:rPr>
                <w:rFonts w:ascii="宋体" w:hAnsi="宋体" w:eastAsia="宋体"/>
                <w:sz w:val="16"/>
              </w:rPr>
              <w:t>实际完成指标值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F1F02E">
            <w:pPr>
              <w:jc w:val="center"/>
            </w:pPr>
            <w:r>
              <w:rPr>
                <w:rFonts w:ascii="宋体" w:hAnsi="宋体" w:eastAsia="宋体"/>
                <w:sz w:val="16"/>
              </w:rPr>
              <w:t>得分</w:t>
            </w:r>
          </w:p>
        </w:tc>
      </w:tr>
      <w:tr w14:paraId="426CA3D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6AAF4B">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A500FF">
            <w:pPr>
              <w:jc w:val="center"/>
            </w:pPr>
            <w:r>
              <w:rPr>
                <w:rFonts w:ascii="宋体" w:hAnsi="宋体" w:eastAsia="宋体"/>
                <w:sz w:val="16"/>
              </w:rPr>
              <w:t>数量指标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8E87FE">
            <w:pPr>
              <w:jc w:val="center"/>
            </w:pPr>
            <w:r>
              <w:rPr>
                <w:rFonts w:ascii="宋体" w:hAnsi="宋体" w:eastAsia="宋体"/>
                <w:sz w:val="16"/>
              </w:rPr>
              <w:t>补助企业数量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9BADBF">
            <w:pPr>
              <w:jc w:val="center"/>
            </w:pPr>
            <w:r>
              <w:rPr>
                <w:rFonts w:ascii="宋体" w:hAnsi="宋体" w:eastAsia="宋体"/>
                <w:sz w:val="16"/>
              </w:rPr>
              <w:t>&gt;=3家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071F50">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7288C2">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D5AE3D">
            <w:pPr>
              <w:jc w:val="center"/>
            </w:pPr>
            <w:r>
              <w:rPr>
                <w:rFonts w:ascii="宋体" w:hAnsi="宋体" w:eastAsia="宋体"/>
                <w:sz w:val="16"/>
              </w:rPr>
              <w:t>3家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321BC8">
            <w:pPr>
              <w:jc w:val="center"/>
            </w:pPr>
            <w:r>
              <w:rPr>
                <w:rFonts w:ascii="宋体" w:hAnsi="宋体" w:eastAsia="宋体"/>
                <w:sz w:val="16"/>
              </w:rPr>
              <w:t>30</w:t>
            </w:r>
          </w:p>
        </w:tc>
      </w:tr>
      <w:tr w14:paraId="09686B5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3244E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BA9E7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5666F6">
            <w:pPr>
              <w:jc w:val="center"/>
            </w:pPr>
            <w:r>
              <w:rPr>
                <w:rFonts w:ascii="宋体" w:hAnsi="宋体" w:eastAsia="宋体"/>
                <w:sz w:val="16"/>
              </w:rPr>
              <w:t>新建村级供销站点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EBE19B">
            <w:pPr>
              <w:jc w:val="center"/>
            </w:pPr>
            <w:r>
              <w:rPr>
                <w:rFonts w:ascii="宋体" w:hAnsi="宋体" w:eastAsia="宋体"/>
                <w:sz w:val="16"/>
              </w:rPr>
              <w:t>&gt;=2个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56FA46">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998FCF">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A89113">
            <w:pPr>
              <w:jc w:val="center"/>
            </w:pPr>
            <w:r>
              <w:rPr>
                <w:rFonts w:ascii="宋体" w:hAnsi="宋体" w:eastAsia="宋体"/>
                <w:sz w:val="16"/>
              </w:rPr>
              <w:t>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584C0E">
            <w:pPr>
              <w:jc w:val="center"/>
            </w:pPr>
            <w:r>
              <w:rPr>
                <w:rFonts w:ascii="宋体" w:hAnsi="宋体" w:eastAsia="宋体"/>
                <w:sz w:val="16"/>
              </w:rPr>
              <w:t>30</w:t>
            </w:r>
          </w:p>
        </w:tc>
      </w:tr>
      <w:tr w14:paraId="67E45B9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A885C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9B3848">
            <w:pPr>
              <w:jc w:val="center"/>
            </w:pPr>
            <w:r>
              <w:rPr>
                <w:rFonts w:ascii="宋体" w:hAnsi="宋体" w:eastAsia="宋体"/>
                <w:sz w:val="16"/>
              </w:rPr>
              <w:t>质量指标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7EA972">
            <w:pPr>
              <w:jc w:val="center"/>
            </w:pPr>
            <w:r>
              <w:rPr>
                <w:rFonts w:ascii="宋体" w:hAnsi="宋体" w:eastAsia="宋体"/>
                <w:sz w:val="16"/>
              </w:rPr>
              <w:t>拓展业务工作率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99DDDE">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9B57E9">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936099">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714E4E">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7C35CE">
            <w:pPr>
              <w:jc w:val="center"/>
            </w:pPr>
            <w:r>
              <w:rPr>
                <w:rFonts w:ascii="宋体" w:hAnsi="宋体" w:eastAsia="宋体"/>
                <w:sz w:val="16"/>
              </w:rPr>
              <w:t>30</w:t>
            </w:r>
          </w:p>
        </w:tc>
      </w:tr>
    </w:tbl>
    <w:p w14:paraId="3542E36F">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2252BA0">
        <w:tblPrEx>
          <w:tblCellMar>
            <w:top w:w="0" w:type="dxa"/>
            <w:left w:w="108" w:type="dxa"/>
            <w:bottom w:w="0" w:type="dxa"/>
            <w:right w:w="108" w:type="dxa"/>
          </w:tblCellMar>
        </w:tblPrEx>
        <w:tc>
          <w:tcPr>
            <w:tcW w:w="8847" w:type="dxa"/>
            <w:gridSpan w:val="9"/>
            <w:vAlign w:val="center"/>
          </w:tcPr>
          <w:p w14:paraId="5D2006BE">
            <w:pPr>
              <w:jc w:val="center"/>
            </w:pPr>
            <w:r>
              <w:rPr>
                <w:rFonts w:ascii="宋体" w:hAnsi="宋体" w:eastAsia="宋体"/>
                <w:sz w:val="24"/>
              </w:rPr>
              <w:t>项目支出绩效自评表</w:t>
            </w:r>
          </w:p>
        </w:tc>
      </w:tr>
      <w:tr w14:paraId="198C2E52">
        <w:tblPrEx>
          <w:tblCellMar>
            <w:top w:w="0" w:type="dxa"/>
            <w:left w:w="108" w:type="dxa"/>
            <w:bottom w:w="0" w:type="dxa"/>
            <w:right w:w="108" w:type="dxa"/>
          </w:tblCellMar>
        </w:tblPrEx>
        <w:tc>
          <w:tcPr>
            <w:tcW w:w="8847" w:type="dxa"/>
            <w:gridSpan w:val="9"/>
            <w:vAlign w:val="center"/>
          </w:tcPr>
          <w:p w14:paraId="788AF20E">
            <w:pPr>
              <w:jc w:val="center"/>
            </w:pPr>
            <w:r>
              <w:rPr>
                <w:rFonts w:ascii="宋体" w:hAnsi="宋体" w:eastAsia="宋体"/>
                <w:sz w:val="24"/>
              </w:rPr>
              <w:t>(2024年度)</w:t>
            </w:r>
          </w:p>
        </w:tc>
      </w:tr>
      <w:tr w14:paraId="5D74904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5238E9">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A9A6243">
            <w:pPr>
              <w:jc w:val="center"/>
            </w:pPr>
            <w:r>
              <w:rPr>
                <w:rFonts w:ascii="宋体" w:hAnsi="宋体" w:eastAsia="宋体"/>
                <w:sz w:val="16"/>
              </w:rPr>
              <w:t>民丰县供销合作发展基金</w:t>
            </w:r>
          </w:p>
        </w:tc>
      </w:tr>
      <w:tr w14:paraId="7F9202F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F68044">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AFDBB2A">
            <w:pPr>
              <w:jc w:val="center"/>
            </w:pPr>
            <w:r>
              <w:rPr>
                <w:rFonts w:ascii="宋体" w:hAnsi="宋体" w:eastAsia="宋体"/>
                <w:sz w:val="16"/>
              </w:rPr>
              <w:t>民丰县供销合作社联合社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F5931F">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02C3AA4">
            <w:pPr>
              <w:jc w:val="center"/>
            </w:pPr>
            <w:r>
              <w:rPr>
                <w:rFonts w:ascii="宋体" w:hAnsi="宋体" w:eastAsia="宋体"/>
                <w:sz w:val="16"/>
              </w:rPr>
              <w:t>民丰县供销合作社联合社</w:t>
            </w:r>
          </w:p>
        </w:tc>
      </w:tr>
      <w:tr w14:paraId="74A879B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3235D8">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E81EB">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1790ED">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84757B">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1D170A">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922849">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47DBC9">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C5B10A">
            <w:pPr>
              <w:jc w:val="center"/>
            </w:pPr>
            <w:r>
              <w:rPr>
                <w:rFonts w:ascii="宋体" w:hAnsi="宋体" w:eastAsia="宋体"/>
                <w:sz w:val="16"/>
              </w:rPr>
              <w:t>得分</w:t>
            </w:r>
          </w:p>
        </w:tc>
      </w:tr>
      <w:tr w14:paraId="1A12853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7BE7D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F1F07C">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30F624">
            <w:pPr>
              <w:jc w:val="center"/>
            </w:pPr>
            <w:r>
              <w:rPr>
                <w:rFonts w:ascii="宋体" w:hAnsi="宋体" w:eastAsia="宋体"/>
                <w:sz w:val="16"/>
              </w:rPr>
              <w:t>2.84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59B411">
            <w:pPr>
              <w:jc w:val="center"/>
            </w:pPr>
            <w:r>
              <w:rPr>
                <w:rFonts w:ascii="宋体" w:hAnsi="宋体" w:eastAsia="宋体"/>
                <w:sz w:val="16"/>
              </w:rPr>
              <w:t>2.84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946FE5">
            <w:pPr>
              <w:jc w:val="center"/>
            </w:pPr>
            <w:r>
              <w:rPr>
                <w:rFonts w:ascii="宋体" w:hAnsi="宋体" w:eastAsia="宋体"/>
                <w:sz w:val="16"/>
              </w:rPr>
              <w:t>1.42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F0145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A54F75">
            <w:pPr>
              <w:jc w:val="center"/>
            </w:pPr>
            <w:r>
              <w:rPr>
                <w:rFonts w:ascii="宋体" w:hAnsi="宋体" w:eastAsia="宋体"/>
                <w:sz w:val="16"/>
              </w:rPr>
              <w:t xml:space="preserve">50.00%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74E305">
            <w:pPr>
              <w:jc w:val="center"/>
            </w:pPr>
            <w:r>
              <w:rPr>
                <w:rFonts w:ascii="宋体" w:hAnsi="宋体" w:eastAsia="宋体"/>
                <w:sz w:val="16"/>
              </w:rPr>
              <w:t>0.00分</w:t>
            </w:r>
          </w:p>
        </w:tc>
      </w:tr>
      <w:tr w14:paraId="692593C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29C41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EBE0A3">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D43E2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A1BFB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0DF69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6E161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CE459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5C7C09">
            <w:pPr>
              <w:jc w:val="center"/>
            </w:pPr>
            <w:r>
              <w:rPr>
                <w:rFonts w:ascii="宋体" w:hAnsi="宋体" w:eastAsia="宋体"/>
                <w:sz w:val="16"/>
              </w:rPr>
              <w:t>—</w:t>
            </w:r>
          </w:p>
        </w:tc>
      </w:tr>
      <w:tr w14:paraId="43582A2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89043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EBD76">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FEE5E6">
            <w:pPr>
              <w:jc w:val="center"/>
            </w:pPr>
            <w:r>
              <w:rPr>
                <w:rFonts w:ascii="宋体" w:hAnsi="宋体" w:eastAsia="宋体"/>
                <w:sz w:val="16"/>
              </w:rPr>
              <w:t>1.42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EFBC65">
            <w:pPr>
              <w:jc w:val="center"/>
            </w:pPr>
            <w:r>
              <w:rPr>
                <w:rFonts w:ascii="宋体" w:hAnsi="宋体" w:eastAsia="宋体"/>
                <w:sz w:val="16"/>
              </w:rPr>
              <w:t>1.42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D24CEC">
            <w:pPr>
              <w:jc w:val="center"/>
            </w:pPr>
            <w:r>
              <w:rPr>
                <w:rFonts w:ascii="宋体" w:hAnsi="宋体" w:eastAsia="宋体"/>
                <w:sz w:val="16"/>
              </w:rPr>
              <w:t>1.42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45162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0DDFD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249B32">
            <w:pPr>
              <w:jc w:val="center"/>
            </w:pPr>
            <w:r>
              <w:rPr>
                <w:rFonts w:ascii="宋体" w:hAnsi="宋体" w:eastAsia="宋体"/>
                <w:sz w:val="16"/>
              </w:rPr>
              <w:t>—</w:t>
            </w:r>
          </w:p>
        </w:tc>
      </w:tr>
      <w:tr w14:paraId="5729BFC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01A8C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E6B51">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7AF3E8">
            <w:pPr>
              <w:jc w:val="center"/>
            </w:pPr>
            <w:r>
              <w:rPr>
                <w:rFonts w:ascii="宋体" w:hAnsi="宋体" w:eastAsia="宋体"/>
                <w:sz w:val="16"/>
              </w:rPr>
              <w:t>1.42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2C7F6E">
            <w:pPr>
              <w:jc w:val="center"/>
            </w:pPr>
            <w:r>
              <w:rPr>
                <w:rFonts w:ascii="宋体" w:hAnsi="宋体" w:eastAsia="宋体"/>
                <w:sz w:val="16"/>
              </w:rPr>
              <w:t>1.42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EAD49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B5966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6C342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6E423A">
            <w:pPr>
              <w:jc w:val="center"/>
            </w:pPr>
            <w:r>
              <w:rPr>
                <w:rFonts w:ascii="宋体" w:hAnsi="宋体" w:eastAsia="宋体"/>
                <w:sz w:val="16"/>
              </w:rPr>
              <w:t>—</w:t>
            </w:r>
          </w:p>
        </w:tc>
      </w:tr>
      <w:tr w14:paraId="606F332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D0EFB6">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7E45EFB">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1C39D00">
            <w:pPr>
              <w:jc w:val="center"/>
            </w:pPr>
            <w:r>
              <w:rPr>
                <w:rFonts w:ascii="宋体" w:hAnsi="宋体" w:eastAsia="宋体"/>
                <w:sz w:val="16"/>
              </w:rPr>
              <w:t>实际完成情况</w:t>
            </w:r>
          </w:p>
        </w:tc>
      </w:tr>
      <w:tr w14:paraId="16BF11C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64DC10"/>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5BA5BAA">
            <w:pPr>
              <w:jc w:val="both"/>
            </w:pPr>
            <w:r>
              <w:rPr>
                <w:rFonts w:ascii="宋体" w:hAnsi="宋体" w:eastAsia="宋体"/>
                <w:sz w:val="16"/>
              </w:rPr>
              <w:t>根据《民丰县供销合作发展基金实施方案》实施本项目。主要实施内容为：补助企业数量4家。通过项目的实施，保障企业正常运转。</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AE3C9BA">
            <w:pPr>
              <w:jc w:val="both"/>
            </w:pPr>
            <w:r>
              <w:rPr>
                <w:rFonts w:ascii="宋体" w:hAnsi="宋体" w:eastAsia="宋体"/>
                <w:sz w:val="16"/>
              </w:rPr>
              <w:t>补助企业数量3家。通过项目的实施，保障企业正常运转。</w:t>
            </w:r>
          </w:p>
        </w:tc>
      </w:tr>
      <w:tr w14:paraId="5687DD9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24270D6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9AEEC3">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158115">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A10C81">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37071A">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3F1E71">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3532F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145DB3">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CD7AA6">
            <w:pPr>
              <w:jc w:val="center"/>
            </w:pPr>
            <w:r>
              <w:rPr>
                <w:rFonts w:ascii="宋体" w:hAnsi="宋体" w:eastAsia="宋体"/>
                <w:sz w:val="16"/>
              </w:rPr>
              <w:t>偏差原因分析及改进措施</w:t>
            </w:r>
          </w:p>
        </w:tc>
      </w:tr>
      <w:tr w14:paraId="4B29E4E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FC22DE">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270974">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99624A">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507762">
            <w:pPr>
              <w:jc w:val="center"/>
            </w:pPr>
            <w:r>
              <w:rPr>
                <w:rFonts w:ascii="宋体" w:hAnsi="宋体" w:eastAsia="宋体"/>
                <w:sz w:val="16"/>
              </w:rPr>
              <w:t>补助企业数量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BF31B5">
            <w:pPr>
              <w:jc w:val="center"/>
            </w:pPr>
            <w:r>
              <w:rPr>
                <w:rFonts w:ascii="宋体" w:hAnsi="宋体" w:eastAsia="宋体"/>
                <w:sz w:val="16"/>
              </w:rPr>
              <w:t>&gt;=3家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12BB76">
            <w:pPr>
              <w:jc w:val="center"/>
            </w:pPr>
            <w:r>
              <w:rPr>
                <w:rFonts w:ascii="宋体" w:hAnsi="宋体" w:eastAsia="宋体"/>
                <w:sz w:val="16"/>
              </w:rPr>
              <w:t>=3家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BF38D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E1D85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BB3D53">
            <w:pPr>
              <w:jc w:val="center"/>
            </w:pPr>
          </w:p>
        </w:tc>
      </w:tr>
      <w:tr w14:paraId="0644975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3BCA8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09F6A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7AAA15">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0B416F">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D2481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5D499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ACB7C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34E04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B6A564">
            <w:pPr>
              <w:jc w:val="center"/>
            </w:pPr>
          </w:p>
        </w:tc>
      </w:tr>
      <w:tr w14:paraId="094F53D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BE82A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417CF9"/>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767AF8">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33A3E4">
            <w:pPr>
              <w:jc w:val="center"/>
            </w:pPr>
            <w:r>
              <w:rPr>
                <w:rFonts w:ascii="宋体" w:hAnsi="宋体" w:eastAsia="宋体"/>
                <w:sz w:val="16"/>
              </w:rPr>
              <w:t>资金发放及时率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3D98E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CCD78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62B5B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24E67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75C9C6">
            <w:pPr>
              <w:jc w:val="center"/>
            </w:pPr>
          </w:p>
        </w:tc>
      </w:tr>
      <w:tr w14:paraId="44490AB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94E93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4AA37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17CEA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5490A2">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3B9C04">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BFCE81">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C6EED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8CEFB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731849">
            <w:pPr>
              <w:jc w:val="center"/>
            </w:pPr>
          </w:p>
        </w:tc>
      </w:tr>
      <w:tr w14:paraId="221091E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41408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EAABCB">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07E106">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A9D123">
            <w:pPr>
              <w:jc w:val="center"/>
            </w:pPr>
            <w:r>
              <w:rPr>
                <w:rFonts w:ascii="宋体" w:hAnsi="宋体" w:eastAsia="宋体"/>
                <w:sz w:val="16"/>
              </w:rPr>
              <w:t>补助企业成本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A00E37">
            <w:pPr>
              <w:jc w:val="center"/>
            </w:pPr>
            <w:r>
              <w:rPr>
                <w:rFonts w:ascii="宋体" w:hAnsi="宋体" w:eastAsia="宋体"/>
                <w:sz w:val="16"/>
              </w:rPr>
              <w:t>&lt;=0.47万元/家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7DA6D0">
            <w:pPr>
              <w:jc w:val="center"/>
            </w:pPr>
            <w:r>
              <w:rPr>
                <w:rFonts w:ascii="宋体" w:hAnsi="宋体" w:eastAsia="宋体"/>
                <w:sz w:val="16"/>
              </w:rPr>
              <w:t>=0.47万元/家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95E92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421CA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512640">
            <w:pPr>
              <w:jc w:val="center"/>
            </w:pPr>
          </w:p>
        </w:tc>
      </w:tr>
      <w:tr w14:paraId="50CA98E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C2E1CB"/>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2AB689">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A6F837">
            <w:pPr>
              <w:jc w:val="center"/>
            </w:pPr>
            <w:r>
              <w:rPr>
                <w:rFonts w:ascii="宋体" w:hAnsi="宋体" w:eastAsia="宋体"/>
                <w:sz w:val="16"/>
              </w:rPr>
              <w:t>经济效益指标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194418">
            <w:pPr>
              <w:jc w:val="center"/>
            </w:pPr>
            <w:r>
              <w:rPr>
                <w:rFonts w:ascii="宋体" w:hAnsi="宋体" w:eastAsia="宋体"/>
                <w:sz w:val="16"/>
              </w:rPr>
              <w:t>政策知晓率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CB1EC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74D9B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4FE13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18116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1C171E">
            <w:pPr>
              <w:jc w:val="center"/>
            </w:pPr>
          </w:p>
        </w:tc>
      </w:tr>
      <w:tr w14:paraId="14F3040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8AEE2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5163A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2911D2">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51850C">
            <w:pPr>
              <w:jc w:val="center"/>
            </w:pPr>
            <w:r>
              <w:rPr>
                <w:rFonts w:ascii="宋体" w:hAnsi="宋体" w:eastAsia="宋体"/>
                <w:sz w:val="16"/>
              </w:rPr>
              <w:t>保障企业正常运转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2FD02D">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85330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49C0D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DCF66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7E17B4">
            <w:pPr>
              <w:jc w:val="center"/>
            </w:pPr>
          </w:p>
        </w:tc>
      </w:tr>
      <w:tr w14:paraId="742501E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012F0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2812E2">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A51186">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83AAB5">
            <w:pPr>
              <w:jc w:val="center"/>
            </w:pPr>
            <w:r>
              <w:rPr>
                <w:rFonts w:ascii="宋体" w:hAnsi="宋体" w:eastAsia="宋体"/>
                <w:sz w:val="16"/>
              </w:rPr>
              <w:t>补助企业满意度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6C85BE">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98CBC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4EE9B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812EC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C5591A">
            <w:pPr>
              <w:jc w:val="center"/>
            </w:pPr>
          </w:p>
        </w:tc>
      </w:tr>
      <w:tr w14:paraId="52848380">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9DA5AD6">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D9278E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8F2C3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BFA073">
            <w:pPr>
              <w:jc w:val="center"/>
            </w:pPr>
            <w:r>
              <w:rPr>
                <w:rFonts w:ascii="宋体" w:hAnsi="宋体" w:eastAsia="宋体"/>
                <w:sz w:val="16"/>
              </w:rPr>
              <w:t>90分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84C2FE5"/>
        </w:tc>
      </w:tr>
    </w:tbl>
    <w:p w14:paraId="5E17212A">
      <w:r>
        <w:br w:type="page"/>
      </w:r>
    </w:p>
    <w:p w14:paraId="3FA23742">
      <w:pPr>
        <w:spacing w:line="640" w:lineRule="exact"/>
        <w:ind w:firstLine="640"/>
        <w:jc w:val="both"/>
        <w:outlineLvl w:val="2"/>
      </w:pPr>
      <w:r>
        <w:rPr>
          <w:rFonts w:ascii="黑体" w:hAnsi="黑体" w:eastAsia="黑体"/>
          <w:sz w:val="32"/>
        </w:rPr>
        <w:t>十二、其他需说明的事项</w:t>
      </w:r>
    </w:p>
    <w:p w14:paraId="61A7C6CE">
      <w:pPr>
        <w:spacing w:line="580" w:lineRule="exact"/>
        <w:ind w:firstLine="640"/>
        <w:jc w:val="both"/>
      </w:pPr>
      <w:r>
        <w:rPr>
          <w:rFonts w:ascii="仿宋_GB2312" w:hAnsi="仿宋_GB2312" w:eastAsia="仿宋_GB2312"/>
          <w:b w:val="0"/>
          <w:sz w:val="32"/>
        </w:rPr>
        <w:t>本单位无其他需说明的事项。</w:t>
      </w:r>
    </w:p>
    <w:p w14:paraId="0DBD5A32">
      <w:r>
        <w:br w:type="page"/>
      </w:r>
    </w:p>
    <w:p w14:paraId="57BA3A4B">
      <w:pPr>
        <w:spacing w:line="240" w:lineRule="auto"/>
        <w:jc w:val="center"/>
        <w:outlineLvl w:val="1"/>
      </w:pPr>
      <w:r>
        <w:rPr>
          <w:rFonts w:ascii="黑体" w:hAnsi="黑体" w:eastAsia="黑体"/>
          <w:sz w:val="32"/>
        </w:rPr>
        <w:t>第三部分 专业名词解释</w:t>
      </w:r>
    </w:p>
    <w:p w14:paraId="337F3BAF">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22F59EB">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AF367DE">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50AD8E7">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8D3F359">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188DE0B">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24075CF">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4148F50">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66E3654">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4AD524C">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93ADF5E">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94ABCC4">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9FA7752">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139FF87">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6007D66">
      <w:r>
        <w:br w:type="page"/>
      </w:r>
    </w:p>
    <w:p w14:paraId="07AC5044">
      <w:pPr>
        <w:spacing w:line="240" w:lineRule="auto"/>
        <w:jc w:val="center"/>
        <w:outlineLvl w:val="1"/>
      </w:pPr>
      <w:r>
        <w:rPr>
          <w:rFonts w:ascii="黑体" w:hAnsi="黑体" w:eastAsia="黑体"/>
          <w:sz w:val="32"/>
        </w:rPr>
        <w:t>第四部分 部门决算报表（见附表）</w:t>
      </w:r>
    </w:p>
    <w:p w14:paraId="1962D981">
      <w:pPr>
        <w:spacing w:line="240" w:lineRule="auto"/>
        <w:ind w:firstLine="640"/>
        <w:jc w:val="both"/>
      </w:pPr>
      <w:r>
        <w:rPr>
          <w:rFonts w:ascii="仿宋_GB2312" w:hAnsi="仿宋_GB2312" w:eastAsia="仿宋_GB2312"/>
          <w:b w:val="0"/>
          <w:sz w:val="32"/>
        </w:rPr>
        <w:t>一、《收入支出决算总表》</w:t>
      </w:r>
    </w:p>
    <w:p w14:paraId="02AB7EC1">
      <w:pPr>
        <w:spacing w:line="240" w:lineRule="auto"/>
        <w:ind w:firstLine="640"/>
        <w:jc w:val="both"/>
      </w:pPr>
      <w:r>
        <w:rPr>
          <w:rFonts w:ascii="仿宋_GB2312" w:hAnsi="仿宋_GB2312" w:eastAsia="仿宋_GB2312"/>
          <w:b w:val="0"/>
          <w:sz w:val="32"/>
        </w:rPr>
        <w:t>二、《收入决算表》</w:t>
      </w:r>
    </w:p>
    <w:p w14:paraId="465A26F5">
      <w:pPr>
        <w:spacing w:line="240" w:lineRule="auto"/>
        <w:ind w:firstLine="640"/>
        <w:jc w:val="both"/>
      </w:pPr>
      <w:r>
        <w:rPr>
          <w:rFonts w:ascii="仿宋_GB2312" w:hAnsi="仿宋_GB2312" w:eastAsia="仿宋_GB2312"/>
          <w:b w:val="0"/>
          <w:sz w:val="32"/>
        </w:rPr>
        <w:t>三、《支出决算表》</w:t>
      </w:r>
    </w:p>
    <w:p w14:paraId="1521090A">
      <w:pPr>
        <w:spacing w:line="240" w:lineRule="auto"/>
        <w:ind w:firstLine="640"/>
        <w:jc w:val="both"/>
      </w:pPr>
      <w:r>
        <w:rPr>
          <w:rFonts w:ascii="仿宋_GB2312" w:hAnsi="仿宋_GB2312" w:eastAsia="仿宋_GB2312"/>
          <w:b w:val="0"/>
          <w:sz w:val="32"/>
        </w:rPr>
        <w:t>四、《财政拨款收入支出决算总表》</w:t>
      </w:r>
    </w:p>
    <w:p w14:paraId="34650437">
      <w:pPr>
        <w:spacing w:line="240" w:lineRule="auto"/>
        <w:ind w:firstLine="640"/>
        <w:jc w:val="both"/>
      </w:pPr>
      <w:r>
        <w:rPr>
          <w:rFonts w:ascii="仿宋_GB2312" w:hAnsi="仿宋_GB2312" w:eastAsia="仿宋_GB2312"/>
          <w:b w:val="0"/>
          <w:sz w:val="32"/>
        </w:rPr>
        <w:t>五、《一般公共预算财政拨款支出决算表》</w:t>
      </w:r>
    </w:p>
    <w:p w14:paraId="02C194FF">
      <w:pPr>
        <w:spacing w:line="240" w:lineRule="auto"/>
        <w:ind w:firstLine="640"/>
        <w:jc w:val="both"/>
      </w:pPr>
      <w:r>
        <w:rPr>
          <w:rFonts w:ascii="仿宋_GB2312" w:hAnsi="仿宋_GB2312" w:eastAsia="仿宋_GB2312"/>
          <w:b w:val="0"/>
          <w:sz w:val="32"/>
        </w:rPr>
        <w:t>六、《一般公共预算财政拨款基本支出决算表》</w:t>
      </w:r>
    </w:p>
    <w:p w14:paraId="4423B082">
      <w:pPr>
        <w:spacing w:line="240" w:lineRule="auto"/>
        <w:ind w:firstLine="640"/>
        <w:jc w:val="both"/>
      </w:pPr>
      <w:r>
        <w:rPr>
          <w:rFonts w:ascii="仿宋_GB2312" w:hAnsi="仿宋_GB2312" w:eastAsia="仿宋_GB2312"/>
          <w:b w:val="0"/>
          <w:sz w:val="32"/>
        </w:rPr>
        <w:t>七、《政府性基金预算财政拨款收入支出决算表》</w:t>
      </w:r>
    </w:p>
    <w:p w14:paraId="1DCA26E9">
      <w:pPr>
        <w:spacing w:line="240" w:lineRule="auto"/>
        <w:ind w:firstLine="640"/>
        <w:jc w:val="both"/>
      </w:pPr>
      <w:r>
        <w:rPr>
          <w:rFonts w:ascii="仿宋_GB2312" w:hAnsi="仿宋_GB2312" w:eastAsia="仿宋_GB2312"/>
          <w:b w:val="0"/>
          <w:sz w:val="32"/>
        </w:rPr>
        <w:t>八、《国有资本经营预算财政拨款收入支出决算表》</w:t>
      </w:r>
    </w:p>
    <w:p w14:paraId="3F432056">
      <w:pPr>
        <w:spacing w:line="240" w:lineRule="auto"/>
        <w:ind w:firstLine="640"/>
        <w:jc w:val="both"/>
      </w:pPr>
      <w:r>
        <w:rPr>
          <w:rFonts w:ascii="仿宋_GB2312" w:hAnsi="仿宋_GB2312" w:eastAsia="仿宋_GB2312"/>
          <w:b w:val="0"/>
          <w:sz w:val="32"/>
        </w:rPr>
        <w:t>九、《财政拨款“三公”经费支出决算表》</w:t>
      </w:r>
    </w:p>
    <w:p w14:paraId="3029C1D9">
      <w:pPr>
        <w:spacing w:line="240" w:lineRule="auto"/>
        <w:ind w:firstLine="640"/>
        <w:jc w:val="both"/>
      </w:pPr>
    </w:p>
    <w:p w14:paraId="3FDAE201">
      <w:pPr>
        <w:spacing w:line="240" w:lineRule="auto"/>
        <w:ind w:firstLine="640"/>
        <w:jc w:val="both"/>
      </w:pPr>
    </w:p>
    <w:p w14:paraId="73427C2D">
      <w:pPr>
        <w:spacing w:line="240" w:lineRule="auto"/>
        <w:ind w:firstLine="640"/>
        <w:jc w:val="both"/>
      </w:pPr>
    </w:p>
    <w:p w14:paraId="6BD559BB">
      <w:pPr>
        <w:spacing w:line="240" w:lineRule="auto"/>
        <w:ind w:firstLine="640"/>
        <w:jc w:val="both"/>
      </w:pPr>
    </w:p>
    <w:p w14:paraId="7E956D45">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B28C72E-32B2-4B0B-B6AD-D8D1FD1107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56BC1217-F911-499B-B003-18A677ECA306}"/>
  </w:font>
  <w:font w:name="仿宋_GB2312">
    <w:panose1 w:val="02010609030101010101"/>
    <w:charset w:val="86"/>
    <w:family w:val="modern"/>
    <w:pitch w:val="default"/>
    <w:sig w:usb0="00000001" w:usb1="080E0000" w:usb2="00000000" w:usb3="00000000" w:csb0="00040000" w:csb1="00000000"/>
    <w:embedRegular r:id="rId3" w:fontKey="{23756B35-66D0-4A5F-8FF3-7DD3DF58861F}"/>
  </w:font>
  <w:font w:name="楷体_GB2312">
    <w:panose1 w:val="02010609030101010101"/>
    <w:charset w:val="86"/>
    <w:family w:val="auto"/>
    <w:pitch w:val="default"/>
    <w:sig w:usb0="00000001" w:usb1="080E0000" w:usb2="00000000" w:usb3="00000000" w:csb0="00040000" w:csb1="00000000"/>
    <w:embedRegular r:id="rId4" w:fontKey="{D2570303-8C36-4978-B55F-C1AAB86ACBF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7761354"/>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7A0361"/>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5494</Words>
  <Characters>6248</Characters>
  <Lines>0</Lines>
  <Paragraphs>0</Paragraphs>
  <TotalTime>2</TotalTime>
  <ScaleCrop>false</ScaleCrop>
  <LinksUpToDate>false</LinksUpToDate>
  <CharactersWithSpaces>6256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2025-09-25T04:33:34Z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eyJoZGlkIjoiYjM4NWYyMWE2NWU1OGNiMmIxMmZkYzA5MWEwNzJlZmIiLCJ1c2VySWQiOiI0MzE2NzY3NzkifQ==</vt:lpwstr>
  </property>
</Properties>
</file>