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民丰县人民政府办公室2024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E51AED4">
      <w:r>
        <w:br w:type="page"/>
      </w:r>
    </w:p>
    <w:p w14:paraId="443D49B0">
      <w:pPr>
        <w:spacing w:line="640" w:lineRule="exact"/>
        <w:jc w:val="center"/>
        <w:outlineLvl w:val="1"/>
      </w:pPr>
      <w:r>
        <w:rPr>
          <w:rFonts w:ascii="黑体" w:hAnsi="黑体" w:eastAsia="黑体"/>
          <w:sz w:val="32"/>
        </w:rPr>
        <w:t>第一部分 单位概况</w:t>
      </w:r>
    </w:p>
    <w:p w14:paraId="6A125C00">
      <w:pPr>
        <w:spacing w:line="640" w:lineRule="exact"/>
        <w:ind w:firstLine="640"/>
        <w:jc w:val="both"/>
        <w:outlineLvl w:val="2"/>
      </w:pPr>
      <w:r>
        <w:rPr>
          <w:rFonts w:ascii="黑体" w:hAnsi="黑体" w:eastAsia="黑体"/>
          <w:sz w:val="32"/>
        </w:rPr>
        <w:t>一、主要职能</w:t>
      </w:r>
    </w:p>
    <w:p w14:paraId="0C7B8974">
      <w:pPr>
        <w:spacing w:line="580" w:lineRule="exact"/>
        <w:ind w:firstLine="640"/>
        <w:jc w:val="both"/>
      </w:pPr>
      <w:r>
        <w:rPr>
          <w:rFonts w:ascii="仿宋_GB2312" w:hAnsi="仿宋_GB2312" w:eastAsia="仿宋_GB2312"/>
          <w:sz w:val="32"/>
        </w:rPr>
        <w:t>（一）承办县人民政府的各项工作；检查督促县人民政府各项决议、决定、重要工作部署以及县人民政府领导重要指示的贯彻执行情况。</w:t>
      </w:r>
    </w:p>
    <w:p w14:paraId="6A4DE995">
      <w:pPr>
        <w:spacing w:line="580" w:lineRule="exact"/>
        <w:ind w:firstLine="640"/>
        <w:jc w:val="both"/>
      </w:pPr>
      <w:r>
        <w:rPr>
          <w:rFonts w:ascii="仿宋_GB2312" w:hAnsi="仿宋_GB2312" w:eastAsia="仿宋_GB2312"/>
          <w:sz w:val="32"/>
        </w:rPr>
        <w:t>（二）承办县人民政府向地区行署报告、请示的文稿起草工作，以及地委、行署及县委转由县人民政府办理的事项及反馈工作。</w:t>
      </w:r>
    </w:p>
    <w:p w14:paraId="35D1D615">
      <w:pPr>
        <w:spacing w:line="580" w:lineRule="exact"/>
        <w:ind w:firstLine="640"/>
        <w:jc w:val="both"/>
      </w:pPr>
      <w:r>
        <w:rPr>
          <w:rFonts w:ascii="仿宋_GB2312" w:hAnsi="仿宋_GB2312" w:eastAsia="仿宋_GB2312"/>
          <w:sz w:val="32"/>
        </w:rPr>
        <w:t>（三）承办乡（镇）人民政府和县直部门报送县人民政府的请示、报告的办理、送审和报批工作。</w:t>
      </w:r>
    </w:p>
    <w:p w14:paraId="1BF6786E">
      <w:pPr>
        <w:spacing w:line="580" w:lineRule="exact"/>
        <w:ind w:firstLine="640"/>
        <w:jc w:val="both"/>
      </w:pPr>
      <w:r>
        <w:rPr>
          <w:rFonts w:ascii="仿宋_GB2312" w:hAnsi="仿宋_GB2312" w:eastAsia="仿宋_GB2312"/>
          <w:sz w:val="32"/>
        </w:rPr>
        <w:t>（四）负责县人民政府文电处理和日常工作；起草、送审、印发以县人民政府、县人民政府办公室名义制发的文件；为县人民政府领导的讲话提供文稿资料。</w:t>
      </w:r>
    </w:p>
    <w:p w14:paraId="7B83BCEC">
      <w:pPr>
        <w:spacing w:line="580" w:lineRule="exact"/>
        <w:ind w:firstLine="640"/>
        <w:jc w:val="both"/>
      </w:pPr>
      <w:r>
        <w:rPr>
          <w:rFonts w:ascii="仿宋_GB2312" w:hAnsi="仿宋_GB2312" w:eastAsia="仿宋_GB2312"/>
          <w:sz w:val="32"/>
        </w:rPr>
        <w:t>（五）负责县人民政府各类会议的会务、记录、翻译、会议纪要整理工作；负责县人民政府领导参加重大活动的组织、协调和安排；负责县人民政府</w:t>
      </w:r>
      <w:r>
        <w:rPr>
          <w:rFonts w:hint="eastAsia" w:ascii="仿宋_GB2312" w:hAnsi="仿宋_GB2312" w:eastAsia="仿宋_GB2312"/>
          <w:sz w:val="32"/>
          <w:lang w:eastAsia="zh-CN"/>
        </w:rPr>
        <w:t>领导交代</w:t>
      </w:r>
      <w:r>
        <w:rPr>
          <w:rFonts w:ascii="仿宋_GB2312" w:hAnsi="仿宋_GB2312" w:eastAsia="仿宋_GB2312"/>
          <w:sz w:val="32"/>
        </w:rPr>
        <w:t>、安排的接待工作。</w:t>
      </w:r>
    </w:p>
    <w:p w14:paraId="7BC5E1A3">
      <w:pPr>
        <w:spacing w:line="580" w:lineRule="exact"/>
        <w:ind w:firstLine="640"/>
        <w:jc w:val="both"/>
      </w:pPr>
      <w:r>
        <w:rPr>
          <w:rFonts w:ascii="仿宋_GB2312" w:hAnsi="仿宋_GB2312" w:eastAsia="仿宋_GB2312"/>
          <w:sz w:val="32"/>
        </w:rPr>
        <w:t>（六）负责县人民政府事项的督办、检查、反馈工作；根据县人民政府领导的指示或办理文件的需要，组织协调县人民政府有关部门的工作；检查乡（镇）人民政府和县直部门执行县人民政府决定、指示、文件的情况。</w:t>
      </w:r>
    </w:p>
    <w:p w14:paraId="6A6D9769">
      <w:pPr>
        <w:spacing w:line="580" w:lineRule="exact"/>
        <w:ind w:firstLine="640"/>
        <w:jc w:val="both"/>
      </w:pPr>
      <w:r>
        <w:rPr>
          <w:rFonts w:ascii="仿宋_GB2312" w:hAnsi="仿宋_GB2312" w:eastAsia="仿宋_GB2312"/>
          <w:sz w:val="32"/>
        </w:rPr>
        <w:t>（七）负责县人民政府机关及办公室的值班工作，及时处理各类来电、来访，并将重大情况和重要问题迅速向县人民政府领导报告。</w:t>
      </w:r>
    </w:p>
    <w:p w14:paraId="3205706B">
      <w:pPr>
        <w:spacing w:line="580" w:lineRule="exact"/>
        <w:ind w:firstLine="640"/>
        <w:jc w:val="both"/>
      </w:pPr>
      <w:r>
        <w:rPr>
          <w:rFonts w:ascii="仿宋_GB2312" w:hAnsi="仿宋_GB2312" w:eastAsia="仿宋_GB2312"/>
          <w:sz w:val="32"/>
        </w:rPr>
        <w:t>（八）根据县人民政府的工作部署和县人民政府领导指示，组织有关调查研究、收集信息、反映情况、提出建议等工作。</w:t>
      </w:r>
    </w:p>
    <w:p w14:paraId="4C0C1362">
      <w:pPr>
        <w:spacing w:line="580" w:lineRule="exact"/>
        <w:ind w:firstLine="640"/>
        <w:jc w:val="both"/>
      </w:pPr>
      <w:r>
        <w:rPr>
          <w:rFonts w:ascii="仿宋_GB2312" w:hAnsi="仿宋_GB2312" w:eastAsia="仿宋_GB2312"/>
          <w:sz w:val="32"/>
        </w:rPr>
        <w:t>（九）负责由县人民政府或县人民政府办公室办理的人大代表建议和政协委员提案的办理和答复工作。</w:t>
      </w:r>
    </w:p>
    <w:p w14:paraId="3A72CBC5">
      <w:pPr>
        <w:spacing w:line="580" w:lineRule="exact"/>
        <w:ind w:firstLine="640"/>
        <w:jc w:val="both"/>
      </w:pPr>
      <w:r>
        <w:rPr>
          <w:rFonts w:ascii="仿宋_GB2312" w:hAnsi="仿宋_GB2312" w:eastAsia="仿宋_GB2312"/>
          <w:sz w:val="32"/>
        </w:rPr>
        <w:t>（十）负责上级机关文件材料、信函、报刊、电报的收发传递和保密工作；负责本级机关文件材料、信函、电报等的收发、印制、清退、归档、提供利用、保密和办公自动化工作。</w:t>
      </w:r>
    </w:p>
    <w:p w14:paraId="64378EC1">
      <w:pPr>
        <w:spacing w:line="580" w:lineRule="exact"/>
        <w:ind w:firstLine="640"/>
        <w:jc w:val="both"/>
      </w:pPr>
      <w:r>
        <w:rPr>
          <w:rFonts w:ascii="仿宋_GB2312" w:hAnsi="仿宋_GB2312" w:eastAsia="仿宋_GB2312"/>
          <w:sz w:val="32"/>
        </w:rPr>
        <w:t>（十一）承担县专家顾问团的日常工作；组织协调专家顾问开展调研和决策研究，为全县经济社会发展提供咨询服务。</w:t>
      </w:r>
    </w:p>
    <w:p w14:paraId="6D04407E">
      <w:pPr>
        <w:spacing w:line="580" w:lineRule="exact"/>
        <w:ind w:firstLine="640"/>
        <w:jc w:val="both"/>
      </w:pPr>
      <w:r>
        <w:rPr>
          <w:rFonts w:ascii="仿宋_GB2312" w:hAnsi="仿宋_GB2312" w:eastAsia="仿宋_GB2312"/>
          <w:sz w:val="32"/>
        </w:rPr>
        <w:t>（十二）统筹信访事项督查工作，负责上级非接待场所有关人员信访事项督查督办工作；统计、分析研判信访形势，及时报送信访信息和紧急重大信访信息；做好信访突出问题</w:t>
      </w:r>
      <w:bookmarkStart w:id="0" w:name="_GoBack"/>
      <w:bookmarkEnd w:id="0"/>
      <w:r>
        <w:rPr>
          <w:rFonts w:ascii="仿宋_GB2312" w:hAnsi="仿宋_GB2312" w:eastAsia="仿宋_GB2312"/>
          <w:sz w:val="32"/>
        </w:rPr>
        <w:t>的预防、排查、化解和处理工作；配合有关部门协调处理群众集体来访，维护信访秩序;负责全县信访基础业务培训，加强信访业务规范化建设。</w:t>
      </w:r>
    </w:p>
    <w:p w14:paraId="17AFD79B">
      <w:pPr>
        <w:spacing w:line="580" w:lineRule="exact"/>
        <w:ind w:firstLine="640"/>
        <w:jc w:val="both"/>
      </w:pPr>
      <w:r>
        <w:rPr>
          <w:rFonts w:ascii="仿宋_GB2312" w:hAnsi="仿宋_GB2312" w:eastAsia="仿宋_GB2312"/>
          <w:sz w:val="32"/>
        </w:rPr>
        <w:t>（十三）负责对来本县访问的国宾、党宾和其他重要外宾接待工作；配合相关部门开展涉侨工作；配合相关部门拟订涉国际问题和事件对外表态口径；协助相关部门开展对外宣传；负责上级部门安排境外记者采访的管理和服务工作。</w:t>
      </w:r>
    </w:p>
    <w:p w14:paraId="6BA9CA50">
      <w:pPr>
        <w:spacing w:line="580" w:lineRule="exact"/>
        <w:ind w:firstLine="640"/>
        <w:jc w:val="both"/>
      </w:pPr>
      <w:r>
        <w:rPr>
          <w:rFonts w:ascii="仿宋_GB2312" w:hAnsi="仿宋_GB2312" w:eastAsia="仿宋_GB2312"/>
          <w:sz w:val="32"/>
        </w:rPr>
        <w:t>（十四）办理县人民政府和县人民政府领导及上级业务主管部门交办的其他事项。</w:t>
      </w:r>
    </w:p>
    <w:p w14:paraId="6AA89068">
      <w:pPr>
        <w:spacing w:line="640" w:lineRule="exact"/>
        <w:ind w:firstLine="640"/>
        <w:jc w:val="both"/>
        <w:outlineLvl w:val="2"/>
      </w:pPr>
      <w:r>
        <w:rPr>
          <w:rFonts w:ascii="黑体" w:hAnsi="黑体" w:eastAsia="黑体"/>
          <w:sz w:val="32"/>
        </w:rPr>
        <w:t>二、机构设置及人员情况</w:t>
      </w:r>
    </w:p>
    <w:p w14:paraId="2D0850B2">
      <w:pPr>
        <w:spacing w:line="580" w:lineRule="exact"/>
        <w:ind w:firstLine="640"/>
        <w:jc w:val="both"/>
      </w:pPr>
      <w:r>
        <w:rPr>
          <w:rFonts w:ascii="仿宋_GB2312" w:hAnsi="仿宋_GB2312" w:eastAsia="仿宋_GB2312"/>
          <w:sz w:val="32"/>
        </w:rPr>
        <w:t>民丰县人民政府办公室2024年度，实有人数107人，其中：在职人员72人，增加0人；离休人员0人，增加0人；退休人员35人,减少1人。</w:t>
      </w:r>
    </w:p>
    <w:p w14:paraId="0E175B46">
      <w:pPr>
        <w:spacing w:line="580" w:lineRule="exact"/>
        <w:ind w:firstLine="640"/>
        <w:jc w:val="both"/>
      </w:pPr>
      <w:r>
        <w:rPr>
          <w:rFonts w:ascii="仿宋_GB2312" w:hAnsi="仿宋_GB2312" w:eastAsia="仿宋_GB2312"/>
          <w:sz w:val="32"/>
        </w:rPr>
        <w:t>民丰县人民政府办公室无下属预算单位，下设4个科室，分别是：电子政务室、人工影响天气办公室、公共资源交易中心、机关事务服务中心。</w:t>
      </w:r>
    </w:p>
    <w:p w14:paraId="77402D13">
      <w:r>
        <w:br w:type="page"/>
      </w:r>
    </w:p>
    <w:p w14:paraId="1A71FBCA">
      <w:pPr>
        <w:spacing w:line="240" w:lineRule="auto"/>
        <w:jc w:val="center"/>
        <w:outlineLvl w:val="1"/>
      </w:pPr>
      <w:r>
        <w:rPr>
          <w:rFonts w:ascii="黑体" w:hAnsi="黑体" w:eastAsia="黑体"/>
          <w:sz w:val="32"/>
        </w:rPr>
        <w:t>第二部分 部门决算情况说明</w:t>
      </w:r>
    </w:p>
    <w:p w14:paraId="25651E61">
      <w:pPr>
        <w:spacing w:line="640" w:lineRule="exact"/>
        <w:ind w:firstLine="640"/>
        <w:jc w:val="both"/>
        <w:outlineLvl w:val="2"/>
      </w:pPr>
      <w:r>
        <w:rPr>
          <w:rFonts w:ascii="黑体" w:hAnsi="黑体" w:eastAsia="黑体"/>
          <w:sz w:val="32"/>
        </w:rPr>
        <w:t>一、收入支出决算总体情况说明</w:t>
      </w:r>
    </w:p>
    <w:p w14:paraId="760594A1">
      <w:pPr>
        <w:spacing w:line="580" w:lineRule="exact"/>
        <w:ind w:firstLine="640"/>
        <w:jc w:val="both"/>
      </w:pPr>
      <w:r>
        <w:rPr>
          <w:rFonts w:ascii="仿宋_GB2312" w:hAnsi="仿宋_GB2312" w:eastAsia="仿宋_GB2312"/>
          <w:b/>
          <w:sz w:val="32"/>
        </w:rPr>
        <w:t>2024年度收入总计2,445.27万元，</w:t>
      </w:r>
      <w:r>
        <w:rPr>
          <w:rFonts w:ascii="仿宋_GB2312" w:hAnsi="仿宋_GB2312" w:eastAsia="仿宋_GB2312"/>
          <w:b w:val="0"/>
          <w:sz w:val="32"/>
        </w:rPr>
        <w:t>其中：本年收入合计2,445.27万元，使用非财政拨款结余（含专用结余）0.00万元，年初结转和结余0.00万元。</w:t>
      </w:r>
    </w:p>
    <w:p w14:paraId="7BD22CF0">
      <w:pPr>
        <w:spacing w:line="580" w:lineRule="exact"/>
        <w:ind w:firstLine="640"/>
        <w:jc w:val="both"/>
      </w:pPr>
      <w:r>
        <w:rPr>
          <w:rFonts w:ascii="仿宋_GB2312" w:hAnsi="仿宋_GB2312" w:eastAsia="仿宋_GB2312"/>
          <w:b/>
          <w:sz w:val="32"/>
        </w:rPr>
        <w:t>2024年度支出总计2,445.27万元，</w:t>
      </w:r>
      <w:r>
        <w:rPr>
          <w:rFonts w:ascii="仿宋_GB2312" w:hAnsi="仿宋_GB2312" w:eastAsia="仿宋_GB2312"/>
          <w:b w:val="0"/>
          <w:sz w:val="32"/>
        </w:rPr>
        <w:t>其中：本年支出合计2,445.24万元，结余分配0.00万元，年末结转和结余0.03万元。</w:t>
      </w:r>
    </w:p>
    <w:p w14:paraId="426A4BBE">
      <w:pPr>
        <w:spacing w:line="580" w:lineRule="exact"/>
        <w:ind w:firstLine="640"/>
        <w:jc w:val="both"/>
      </w:pPr>
      <w:r>
        <w:rPr>
          <w:rFonts w:ascii="仿宋_GB2312" w:hAnsi="仿宋_GB2312" w:eastAsia="仿宋_GB2312"/>
          <w:b w:val="0"/>
          <w:sz w:val="32"/>
        </w:rPr>
        <w:t>收入支出总体与上年相比，减少184.53万元，下降7.02%，主要原因是：本年较上年减少财政存量资金拨付YQ期间餐费及职工食堂与接待中心运行经费。</w:t>
      </w:r>
    </w:p>
    <w:p w14:paraId="25815364">
      <w:pPr>
        <w:spacing w:line="640" w:lineRule="exact"/>
        <w:ind w:firstLine="640"/>
        <w:jc w:val="both"/>
        <w:outlineLvl w:val="2"/>
      </w:pPr>
      <w:r>
        <w:rPr>
          <w:rFonts w:ascii="黑体" w:hAnsi="黑体" w:eastAsia="黑体"/>
          <w:sz w:val="32"/>
        </w:rPr>
        <w:t>二、收入决算情况说明</w:t>
      </w:r>
    </w:p>
    <w:p w14:paraId="2D4335EA">
      <w:pPr>
        <w:spacing w:line="580" w:lineRule="exact"/>
        <w:ind w:firstLine="640"/>
        <w:jc w:val="both"/>
      </w:pPr>
      <w:r>
        <w:rPr>
          <w:rFonts w:ascii="仿宋_GB2312" w:hAnsi="仿宋_GB2312" w:eastAsia="仿宋_GB2312"/>
          <w:b/>
          <w:sz w:val="32"/>
        </w:rPr>
        <w:t>本年收入2,445.27万元，</w:t>
      </w:r>
      <w:r>
        <w:rPr>
          <w:rFonts w:ascii="仿宋_GB2312" w:hAnsi="仿宋_GB2312" w:eastAsia="仿宋_GB2312"/>
          <w:b w:val="0"/>
          <w:sz w:val="32"/>
        </w:rPr>
        <w:t>其中：财政拨款收入2,073.10万元，占84.78%；上级补助收入0.00万元，占0.00%；事业收入0.00万元，占0.00%；经营收入0.00万元，占0.00%；附属单位上缴收入0.00万元，占0.00%；其他收入372.17万元，占15.22%。</w:t>
      </w:r>
    </w:p>
    <w:p w14:paraId="455B5567">
      <w:pPr>
        <w:spacing w:line="640" w:lineRule="exact"/>
        <w:ind w:firstLine="640"/>
        <w:jc w:val="both"/>
        <w:outlineLvl w:val="2"/>
      </w:pPr>
      <w:r>
        <w:rPr>
          <w:rFonts w:ascii="黑体" w:hAnsi="黑体" w:eastAsia="黑体"/>
          <w:sz w:val="32"/>
        </w:rPr>
        <w:t>三、支出决算情况说明</w:t>
      </w:r>
    </w:p>
    <w:p w14:paraId="5344FC99">
      <w:pPr>
        <w:spacing w:line="580" w:lineRule="exact"/>
        <w:ind w:firstLine="640"/>
        <w:jc w:val="both"/>
      </w:pPr>
      <w:r>
        <w:rPr>
          <w:rFonts w:ascii="仿宋_GB2312" w:hAnsi="仿宋_GB2312" w:eastAsia="仿宋_GB2312"/>
          <w:b/>
          <w:sz w:val="32"/>
        </w:rPr>
        <w:t>本年支出2,445.24万元，</w:t>
      </w:r>
      <w:r>
        <w:rPr>
          <w:rFonts w:ascii="仿宋_GB2312" w:hAnsi="仿宋_GB2312" w:eastAsia="仿宋_GB2312"/>
          <w:b w:val="0"/>
          <w:sz w:val="32"/>
        </w:rPr>
        <w:t>其中：基本支出2,379.80万元，占97.32%；项目支出65.44万元，占2.68%；上缴上级支出0.00万元，占0.00%；经营支出0.00万元，占0.00%；对附属单位补助支出0.00万元，占0.00%。</w:t>
      </w:r>
    </w:p>
    <w:p w14:paraId="157F9FF0">
      <w:pPr>
        <w:spacing w:line="640" w:lineRule="exact"/>
        <w:ind w:firstLine="640"/>
        <w:jc w:val="both"/>
        <w:outlineLvl w:val="2"/>
      </w:pPr>
      <w:r>
        <w:rPr>
          <w:rFonts w:ascii="黑体" w:hAnsi="黑体" w:eastAsia="黑体"/>
          <w:sz w:val="32"/>
        </w:rPr>
        <w:t>四、财政拨款收入支出决算总体情况说明</w:t>
      </w:r>
    </w:p>
    <w:p w14:paraId="08D9FAA8">
      <w:pPr>
        <w:spacing w:line="580" w:lineRule="exact"/>
        <w:ind w:firstLine="640"/>
        <w:jc w:val="both"/>
      </w:pPr>
      <w:r>
        <w:rPr>
          <w:rFonts w:ascii="仿宋_GB2312" w:hAnsi="仿宋_GB2312" w:eastAsia="仿宋_GB2312"/>
          <w:b/>
          <w:sz w:val="32"/>
        </w:rPr>
        <w:t>2024年度财政拨款收入总计2,073.10万元，</w:t>
      </w:r>
      <w:r>
        <w:rPr>
          <w:rFonts w:ascii="仿宋_GB2312" w:hAnsi="仿宋_GB2312" w:eastAsia="仿宋_GB2312"/>
          <w:b w:val="0"/>
          <w:sz w:val="32"/>
        </w:rPr>
        <w:t>其中：年初财政拨款结转和结余0.00万元，本年财政拨款收入2,073.10万元。</w:t>
      </w:r>
      <w:r>
        <w:rPr>
          <w:rFonts w:ascii="仿宋_GB2312" w:hAnsi="仿宋_GB2312" w:eastAsia="仿宋_GB2312"/>
          <w:b/>
          <w:sz w:val="32"/>
        </w:rPr>
        <w:t>财政拨款支出总计2,073.10万元，</w:t>
      </w:r>
      <w:r>
        <w:rPr>
          <w:rFonts w:ascii="仿宋_GB2312" w:hAnsi="仿宋_GB2312" w:eastAsia="仿宋_GB2312"/>
          <w:b w:val="0"/>
          <w:sz w:val="32"/>
        </w:rPr>
        <w:t>其中：年末财政拨款结转和结余0.00万元，本年财政拨款支出2,073.10万元。</w:t>
      </w:r>
    </w:p>
    <w:p w14:paraId="458299E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增加4.84万元，增长0.23%，主要原因是：本年在职人员工资调增，社保、公积金基数调增，人员经费增加。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年初预算数2,139.41万元，决算数2,073.10万元，预决算差异率-3.10%，主要原因是：严格落实中央八项规定精神，厉行节约，减少不必要的开支。</w:t>
      </w:r>
    </w:p>
    <w:p w14:paraId="3F8E4778">
      <w:pPr>
        <w:spacing w:line="640" w:lineRule="exact"/>
        <w:ind w:firstLine="640"/>
        <w:jc w:val="both"/>
        <w:outlineLvl w:val="2"/>
      </w:pPr>
      <w:r>
        <w:rPr>
          <w:rFonts w:ascii="黑体" w:hAnsi="黑体" w:eastAsia="黑体"/>
          <w:sz w:val="32"/>
        </w:rPr>
        <w:t>五、一般公共预算财政拨款支出决算情况说明</w:t>
      </w:r>
    </w:p>
    <w:p w14:paraId="69964C41">
      <w:pPr>
        <w:spacing w:line="640" w:lineRule="exact"/>
        <w:ind w:firstLine="640"/>
        <w:jc w:val="both"/>
        <w:outlineLvl w:val="3"/>
      </w:pPr>
      <w:r>
        <w:rPr>
          <w:rFonts w:ascii="楷体_GB2312" w:hAnsi="楷体_GB2312" w:eastAsia="楷体_GB2312"/>
          <w:b/>
          <w:sz w:val="32"/>
        </w:rPr>
        <w:t>（一）一般公共预算财政拨款支出决算总体情况</w:t>
      </w:r>
    </w:p>
    <w:p w14:paraId="6CAC2B2A">
      <w:pPr>
        <w:spacing w:line="580" w:lineRule="exact"/>
        <w:ind w:firstLine="640"/>
        <w:jc w:val="both"/>
      </w:pPr>
      <w:r>
        <w:rPr>
          <w:rFonts w:ascii="仿宋_GB2312" w:hAnsi="仿宋_GB2312" w:eastAsia="仿宋_GB2312"/>
          <w:b/>
          <w:sz w:val="32"/>
        </w:rPr>
        <w:t>2024年度一般公共预算财政拨款支出2,073.10万元，</w:t>
      </w:r>
      <w:r>
        <w:rPr>
          <w:rFonts w:ascii="仿宋_GB2312" w:hAnsi="仿宋_GB2312" w:eastAsia="仿宋_GB2312"/>
          <w:b w:val="0"/>
          <w:sz w:val="32"/>
        </w:rPr>
        <w:t>占本年支出合计的84.78%。</w:t>
      </w:r>
      <w:r>
        <w:rPr>
          <w:rFonts w:ascii="仿宋_GB2312" w:hAnsi="仿宋_GB2312" w:eastAsia="仿宋_GB2312"/>
          <w:b/>
          <w:sz w:val="32"/>
        </w:rPr>
        <w:t>与上年相比，</w:t>
      </w:r>
      <w:r>
        <w:rPr>
          <w:rFonts w:ascii="仿宋_GB2312" w:hAnsi="仿宋_GB2312" w:eastAsia="仿宋_GB2312"/>
          <w:b w:val="0"/>
          <w:sz w:val="32"/>
        </w:rPr>
        <w:t>增加4.84万元，增长0.23%，主要原因是：本年在职人员工资调增，社保、公积金基数调增，人员经费增加。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年初预算数2,139.41万元，决算数2,073.10万元，预决算差异率-3.10%，主要原因是：严格落实中央八项规定精神，厉行节约，减少不必要的开支。</w:t>
      </w:r>
    </w:p>
    <w:p w14:paraId="013D94A4">
      <w:pPr>
        <w:spacing w:line="640" w:lineRule="exact"/>
        <w:ind w:firstLine="640"/>
        <w:jc w:val="both"/>
        <w:outlineLvl w:val="3"/>
      </w:pPr>
      <w:r>
        <w:rPr>
          <w:rFonts w:ascii="楷体_GB2312" w:hAnsi="楷体_GB2312" w:eastAsia="楷体_GB2312"/>
          <w:b/>
          <w:sz w:val="32"/>
        </w:rPr>
        <w:t>（二）一般公共预算财政拨款支出决算结构情况</w:t>
      </w:r>
    </w:p>
    <w:p w14:paraId="25A16E9A">
      <w:pPr>
        <w:spacing w:line="580" w:lineRule="exact"/>
        <w:ind w:firstLine="640"/>
        <w:jc w:val="both"/>
      </w:pPr>
      <w:r>
        <w:rPr>
          <w:rFonts w:ascii="仿宋_GB2312" w:hAnsi="仿宋_GB2312" w:eastAsia="仿宋_GB2312"/>
          <w:b w:val="0"/>
          <w:sz w:val="32"/>
        </w:rPr>
        <w:t>1.一般公共服务支出(类)1,660.00万元,占80.07%。</w:t>
      </w:r>
    </w:p>
    <w:p w14:paraId="76AA2477">
      <w:pPr>
        <w:spacing w:line="580" w:lineRule="exact"/>
        <w:ind w:firstLine="640"/>
        <w:jc w:val="both"/>
      </w:pPr>
      <w:r>
        <w:rPr>
          <w:rFonts w:ascii="仿宋_GB2312" w:hAnsi="仿宋_GB2312" w:eastAsia="仿宋_GB2312"/>
          <w:b w:val="0"/>
          <w:sz w:val="32"/>
        </w:rPr>
        <w:t>2.社会保障和就业支出(类)229.54万元,占11.07%。</w:t>
      </w:r>
    </w:p>
    <w:p w14:paraId="03232EBE">
      <w:pPr>
        <w:spacing w:line="580" w:lineRule="exact"/>
        <w:ind w:firstLine="640"/>
        <w:jc w:val="both"/>
      </w:pPr>
      <w:r>
        <w:rPr>
          <w:rFonts w:ascii="仿宋_GB2312" w:hAnsi="仿宋_GB2312" w:eastAsia="仿宋_GB2312"/>
          <w:b w:val="0"/>
          <w:sz w:val="32"/>
        </w:rPr>
        <w:t>3.卫生健康支出(类)78.18万元,占3.77%。</w:t>
      </w:r>
    </w:p>
    <w:p w14:paraId="6A8089E3">
      <w:pPr>
        <w:spacing w:line="580" w:lineRule="exact"/>
        <w:ind w:firstLine="640"/>
        <w:jc w:val="both"/>
      </w:pPr>
      <w:r>
        <w:rPr>
          <w:rFonts w:ascii="仿宋_GB2312" w:hAnsi="仿宋_GB2312" w:eastAsia="仿宋_GB2312"/>
          <w:b w:val="0"/>
          <w:sz w:val="32"/>
        </w:rPr>
        <w:t>4.住房保障支出(类)105.38万元,占5.08%。</w:t>
      </w:r>
    </w:p>
    <w:p w14:paraId="69F628F1">
      <w:pPr>
        <w:spacing w:line="640" w:lineRule="exact"/>
        <w:ind w:firstLine="640"/>
        <w:jc w:val="both"/>
        <w:outlineLvl w:val="3"/>
      </w:pPr>
      <w:r>
        <w:rPr>
          <w:rFonts w:ascii="楷体_GB2312" w:hAnsi="楷体_GB2312" w:eastAsia="楷体_GB2312"/>
          <w:b/>
          <w:sz w:val="32"/>
        </w:rPr>
        <w:t>（三）一般公共预算财政拨款支出决算具体情况</w:t>
      </w:r>
    </w:p>
    <w:p w14:paraId="4A8AA40B">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1.一般公共服务支出(类)政府办公厅（室）及相关机构事务(款)行政运行(项):支出决算数为1,655.70万元，比上年决算减少256.79万元，下降13.43%,主要原因是：本年科目调整，</w:t>
      </w:r>
      <w:r>
        <w:rPr>
          <w:rFonts w:hint="eastAsia" w:ascii="仿宋_GB2312" w:hAnsi="仿宋_GB2312" w:eastAsia="仿宋_GB2312"/>
          <w:b w:val="0"/>
          <w:sz w:val="32"/>
          <w:lang w:val="en-US" w:eastAsia="zh-CN"/>
        </w:rPr>
        <w:t>退休人员经费、</w:t>
      </w:r>
      <w:r>
        <w:rPr>
          <w:rFonts w:ascii="仿宋_GB2312" w:hAnsi="仿宋_GB2312" w:eastAsia="仿宋_GB2312"/>
          <w:b w:val="0"/>
          <w:sz w:val="32"/>
        </w:rPr>
        <w:t>职工住房公积金、医疗保险、公务员医疗补助上年在主科目列支，本年单独列支，导致经费减少。</w:t>
      </w:r>
    </w:p>
    <w:p w14:paraId="3C8A6CBC">
      <w:pPr>
        <w:spacing w:line="580" w:lineRule="exact"/>
        <w:ind w:firstLine="640"/>
        <w:jc w:val="both"/>
      </w:pPr>
      <w:r>
        <w:rPr>
          <w:rFonts w:ascii="仿宋_GB2312" w:hAnsi="仿宋_GB2312" w:eastAsia="仿宋_GB2312"/>
          <w:b w:val="0"/>
          <w:sz w:val="32"/>
        </w:rPr>
        <w:t>2.一般公共服务支出(类)政府办公厅（室）及相关机构事务(款)信访事务(项):支出决算数为0.00万元，比上年决算减少2.80万元，下降100.00%,主要原因是：本年科目调整，信访补助资金从信访事务科目调整至信访业务科目，导致经费减少。</w:t>
      </w:r>
    </w:p>
    <w:p w14:paraId="2F1DA457">
      <w:pPr>
        <w:spacing w:line="580" w:lineRule="exact"/>
        <w:ind w:firstLine="640"/>
        <w:jc w:val="both"/>
      </w:pPr>
      <w:r>
        <w:rPr>
          <w:rFonts w:ascii="仿宋_GB2312" w:hAnsi="仿宋_GB2312" w:eastAsia="仿宋_GB2312"/>
          <w:b w:val="0"/>
          <w:sz w:val="32"/>
        </w:rPr>
        <w:t>3.一般公共服务支出(类)信访事务(款)信访业务(项):支出决算数为4.30万元，比上年决算增加4.30万元，增长100.00%,主要原因是：本年科目调整，信访补助资金从信访事务科目调整至信访业务科目，导致经费增加。</w:t>
      </w:r>
    </w:p>
    <w:p w14:paraId="0F04073E">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27.23万元，比上年决算增加27.23万元，增长100.00%,主要原因是：本年功能科目调整，行政单位离退休上年度在主科目列支，本年单独列支，导致经费较上年增加。</w:t>
      </w:r>
    </w:p>
    <w:p w14:paraId="4C3DAAEA">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154.20万元，比上年决算增加30.31万元，增长24.47%,主要原因是：本年在职人员工资基数调增，养老缴费基数上涨，相应支出增加。</w:t>
      </w:r>
    </w:p>
    <w:p w14:paraId="15F82112">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6.社会保障和就业支出(类)行政事业单位养老支出(款)机关事业单位职业年金缴费支出(项):支出决算数为48.10万元，比上年决算增加30.88万元，增长179.33%,主要原因是：本年</w:t>
      </w:r>
      <w:r>
        <w:rPr>
          <w:rFonts w:hint="eastAsia" w:ascii="仿宋_GB2312" w:hAnsi="仿宋_GB2312" w:eastAsia="仿宋_GB2312"/>
          <w:b w:val="0"/>
          <w:sz w:val="32"/>
          <w:lang w:val="en-US" w:eastAsia="zh-CN"/>
        </w:rPr>
        <w:t>人员调出调入，</w:t>
      </w:r>
      <w:r>
        <w:rPr>
          <w:rFonts w:ascii="仿宋_GB2312" w:hAnsi="仿宋_GB2312" w:eastAsia="仿宋_GB2312"/>
          <w:b w:val="0"/>
          <w:sz w:val="32"/>
        </w:rPr>
        <w:t>新增调出人员</w:t>
      </w:r>
      <w:r>
        <w:rPr>
          <w:rFonts w:hint="eastAsia" w:ascii="仿宋_GB2312" w:hAnsi="仿宋_GB2312" w:eastAsia="仿宋_GB2312"/>
          <w:b w:val="0"/>
          <w:sz w:val="32"/>
          <w:lang w:val="en-US" w:eastAsia="zh-CN"/>
        </w:rPr>
        <w:t>较上年增加</w:t>
      </w:r>
      <w:r>
        <w:rPr>
          <w:rFonts w:ascii="仿宋_GB2312" w:hAnsi="仿宋_GB2312" w:eastAsia="仿宋_GB2312"/>
          <w:b w:val="0"/>
          <w:sz w:val="32"/>
        </w:rPr>
        <w:t>，职业年金缴费支出增加。</w:t>
      </w:r>
    </w:p>
    <w:p w14:paraId="50FA0D9C">
      <w:pPr>
        <w:spacing w:line="580" w:lineRule="exact"/>
        <w:ind w:firstLine="640"/>
        <w:jc w:val="both"/>
      </w:pPr>
      <w:r>
        <w:rPr>
          <w:rFonts w:ascii="仿宋_GB2312" w:hAnsi="仿宋_GB2312" w:eastAsia="仿宋_GB2312"/>
          <w:b w:val="0"/>
          <w:sz w:val="32"/>
        </w:rPr>
        <w:t>7.卫生健康支出(类)行政事业单位医疗(款)行政单位医疗(项):支出决算数为62.34万元，比上年决算增加62.34万元，增长100.00%,主要原因是：本年功能科目调整，行政单位医疗上年度在主科目列支，本年单独列支，导致经费较上年增加。</w:t>
      </w:r>
    </w:p>
    <w:p w14:paraId="2309FE9D">
      <w:pPr>
        <w:spacing w:line="580" w:lineRule="exact"/>
        <w:ind w:firstLine="640"/>
        <w:jc w:val="both"/>
      </w:pPr>
      <w:r>
        <w:rPr>
          <w:rFonts w:ascii="仿宋_GB2312" w:hAnsi="仿宋_GB2312" w:eastAsia="仿宋_GB2312"/>
          <w:b w:val="0"/>
          <w:sz w:val="32"/>
        </w:rPr>
        <w:t>8.卫生健康支出(类)行政事业单位医疗(款)公务员医疗补助(项):支出决算数为9.30万元，比上年决算增加9.30万元，增长100.00%,主要原因是：本年功能科目调整，公务员医疗补助上年度在主科目列支，本年单独列支，导致经费较上年增加。</w:t>
      </w:r>
    </w:p>
    <w:p w14:paraId="2F82B09F">
      <w:pPr>
        <w:spacing w:line="580" w:lineRule="exact"/>
        <w:ind w:firstLine="640"/>
        <w:jc w:val="both"/>
      </w:pPr>
      <w:r>
        <w:rPr>
          <w:rFonts w:ascii="仿宋_GB2312" w:hAnsi="仿宋_GB2312" w:eastAsia="仿宋_GB2312"/>
          <w:b w:val="0"/>
          <w:sz w:val="32"/>
        </w:rPr>
        <w:t>9.卫生健康支出(类)行政事业单位医疗(款)其他行政事业单位医疗支出(项):支出决算数为6.54万元，比上年决算增加6.54万元，增长100.00%,主要原因是：本年功能科目调整，职工大病，工伤，失业保险缴费上年度在主科目列支，本年单独列支，导致经费较上年增加。</w:t>
      </w:r>
    </w:p>
    <w:p w14:paraId="63902BC1">
      <w:pPr>
        <w:spacing w:line="580" w:lineRule="exact"/>
        <w:ind w:firstLine="640"/>
        <w:jc w:val="both"/>
      </w:pPr>
      <w:r>
        <w:rPr>
          <w:rFonts w:ascii="仿宋_GB2312" w:hAnsi="仿宋_GB2312" w:eastAsia="仿宋_GB2312"/>
          <w:b w:val="0"/>
          <w:sz w:val="32"/>
        </w:rPr>
        <w:t>10.农林水支出(类)农村综合改革(款)对村级公益事业建设的补助(项):支出决算数为0.00万元，比上年决算减少11.85万元，下降100.00%,主要原因是：本年度工作队撤销，经费减少。</w:t>
      </w:r>
    </w:p>
    <w:p w14:paraId="4512CFE4">
      <w:pPr>
        <w:spacing w:line="580" w:lineRule="exact"/>
        <w:ind w:firstLine="640"/>
        <w:jc w:val="both"/>
      </w:pPr>
      <w:r>
        <w:rPr>
          <w:rFonts w:ascii="仿宋_GB2312" w:hAnsi="仿宋_GB2312" w:eastAsia="仿宋_GB2312"/>
          <w:b w:val="0"/>
          <w:sz w:val="32"/>
        </w:rPr>
        <w:t>11.住房保障支出(类)住房改革支出(款)住房公积金(项):支出决算数为105.38万元，比上年决算增加105.38万元，增长100.00%,主要原因是：本年功能科目调整，住房公积金上年度在主科目列支，本年单独列支，导致经费较上年增加。</w:t>
      </w:r>
    </w:p>
    <w:p w14:paraId="33044A7D">
      <w:pPr>
        <w:spacing w:line="640" w:lineRule="exact"/>
        <w:ind w:firstLine="640"/>
        <w:jc w:val="both"/>
        <w:outlineLvl w:val="2"/>
      </w:pPr>
      <w:r>
        <w:rPr>
          <w:rFonts w:ascii="黑体" w:hAnsi="黑体" w:eastAsia="黑体"/>
          <w:sz w:val="32"/>
        </w:rPr>
        <w:t>六、一般公共预算财政拨款基本支出决算情况说明</w:t>
      </w:r>
    </w:p>
    <w:p w14:paraId="07CF1247">
      <w:pPr>
        <w:spacing w:line="580" w:lineRule="exact"/>
        <w:ind w:firstLine="640"/>
        <w:jc w:val="both"/>
      </w:pPr>
      <w:r>
        <w:rPr>
          <w:rFonts w:ascii="仿宋_GB2312" w:hAnsi="仿宋_GB2312" w:eastAsia="仿宋_GB2312"/>
          <w:b w:val="0"/>
          <w:sz w:val="32"/>
        </w:rPr>
        <w:t>2024年度一般公共预算财政拨款基本支出2,068.80万元，其中：</w:t>
      </w:r>
      <w:r>
        <w:rPr>
          <w:rFonts w:ascii="仿宋_GB2312" w:hAnsi="仿宋_GB2312" w:eastAsia="仿宋_GB2312"/>
          <w:b/>
          <w:sz w:val="32"/>
        </w:rPr>
        <w:t>人员经费1,753.42万元，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w:t>
      </w:r>
    </w:p>
    <w:p w14:paraId="5E62D58A">
      <w:pPr>
        <w:spacing w:line="580" w:lineRule="exact"/>
        <w:ind w:firstLine="640"/>
        <w:jc w:val="both"/>
      </w:pPr>
      <w:r>
        <w:rPr>
          <w:rFonts w:ascii="仿宋_GB2312" w:hAnsi="仿宋_GB2312" w:eastAsia="仿宋_GB2312"/>
          <w:b/>
          <w:sz w:val="32"/>
        </w:rPr>
        <w:t>公用经费315.37万元，</w:t>
      </w:r>
      <w:r>
        <w:rPr>
          <w:rFonts w:ascii="仿宋_GB2312" w:hAnsi="仿宋_GB2312" w:eastAsia="仿宋_GB2312"/>
          <w:b w:val="0"/>
          <w:sz w:val="32"/>
        </w:rPr>
        <w:t>包括：办公费、水费、电费、邮电费、取暖费、差旅费、维修（护）费、租赁费、公务接待费、劳务费、公务用车运行维护费、其他交通费用。</w:t>
      </w:r>
    </w:p>
    <w:p w14:paraId="3F8FA789">
      <w:pPr>
        <w:spacing w:line="640" w:lineRule="exact"/>
        <w:ind w:firstLine="640"/>
        <w:jc w:val="both"/>
        <w:outlineLvl w:val="2"/>
      </w:pPr>
      <w:r>
        <w:rPr>
          <w:rFonts w:ascii="黑体" w:hAnsi="黑体" w:eastAsia="黑体"/>
          <w:sz w:val="32"/>
        </w:rPr>
        <w:t>七、政府性基金预算财政拨款收入支出决算情况说明</w:t>
      </w:r>
    </w:p>
    <w:p w14:paraId="6654FF8C">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2FED490">
      <w:pPr>
        <w:spacing w:line="640" w:lineRule="exact"/>
        <w:ind w:firstLine="640"/>
        <w:jc w:val="both"/>
        <w:outlineLvl w:val="2"/>
      </w:pPr>
      <w:r>
        <w:rPr>
          <w:rFonts w:ascii="黑体" w:hAnsi="黑体" w:eastAsia="黑体"/>
          <w:sz w:val="32"/>
        </w:rPr>
        <w:t>八、国有资本经营预算财政拨款收入支出决算情况说明</w:t>
      </w:r>
    </w:p>
    <w:p w14:paraId="7B869BB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7E9F99D">
      <w:pPr>
        <w:spacing w:line="640" w:lineRule="exact"/>
        <w:ind w:firstLine="640"/>
        <w:jc w:val="both"/>
        <w:outlineLvl w:val="2"/>
      </w:pPr>
      <w:r>
        <w:rPr>
          <w:rFonts w:ascii="黑体" w:hAnsi="黑体" w:eastAsia="黑体"/>
          <w:sz w:val="32"/>
        </w:rPr>
        <w:t>九、财政拨款“三公”经费支出决算情况说明</w:t>
      </w:r>
    </w:p>
    <w:p w14:paraId="7BA46002">
      <w:pPr>
        <w:spacing w:line="580" w:lineRule="exact"/>
        <w:ind w:firstLine="640"/>
        <w:jc w:val="both"/>
      </w:pPr>
      <w:r>
        <w:rPr>
          <w:rFonts w:ascii="仿宋_GB2312" w:hAnsi="仿宋_GB2312" w:eastAsia="仿宋_GB2312"/>
          <w:b/>
          <w:sz w:val="32"/>
        </w:rPr>
        <w:t>2024年度财政拨款“三公”经费支出172.50万元，</w:t>
      </w:r>
      <w:r>
        <w:rPr>
          <w:rFonts w:ascii="仿宋_GB2312" w:hAnsi="仿宋_GB2312" w:eastAsia="仿宋_GB2312"/>
          <w:b w:val="0"/>
          <w:sz w:val="32"/>
        </w:rPr>
        <w:t>比上年增加0.00万元，增长0.00%，主要原因是：本单位“三公”经费与上年一致无变化。其中：因公出国（境）费支出0.00万元，占0.00%，比上年增加0.00万元，增长0.00%，主要原因是：2023年与2024年均未安排因公出国（境）费支出。公务用车购置及运行维护费支出22.50万元，占13.04%，比上年增加0.00万元，增长0.00%，主要原因是：本单位公务用车运行维护费与上年一致无变化。公务接待费支出150.00万元，占86.96%，比上年增加0.00万元，增长0.00%，主要原因是：本单位公务接待费与上年一致无变化。</w:t>
      </w:r>
    </w:p>
    <w:p w14:paraId="638CB9CB">
      <w:pPr>
        <w:spacing w:line="580" w:lineRule="exact"/>
        <w:ind w:firstLine="640"/>
        <w:jc w:val="both"/>
      </w:pPr>
      <w:r>
        <w:rPr>
          <w:rFonts w:ascii="仿宋_GB2312" w:hAnsi="仿宋_GB2312" w:eastAsia="仿宋_GB2312"/>
          <w:b/>
          <w:sz w:val="32"/>
        </w:rPr>
        <w:t>具体情况如下：</w:t>
      </w:r>
    </w:p>
    <w:p w14:paraId="2F71F0E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8E537EB">
      <w:pPr>
        <w:spacing w:line="580" w:lineRule="exact"/>
        <w:ind w:firstLine="640"/>
        <w:jc w:val="both"/>
      </w:pPr>
      <w:r>
        <w:rPr>
          <w:rFonts w:ascii="仿宋_GB2312" w:hAnsi="仿宋_GB2312" w:eastAsia="仿宋_GB2312"/>
          <w:b w:val="0"/>
          <w:sz w:val="32"/>
        </w:rPr>
        <w:t>公务用车购置及运行维护费22.50万元，其中：公务用车购置费0.00万元，公务用车运行维护费22.50万元。公务用车运行维护费开支内容包括车辆加油费、维修费、保险费、审车费、过路费等。公务用车购置数0辆，公务用车保有量8辆。国有资产占用情况中固定资产车辆8辆，与公务用车保有量差异原因是：本单位固定资产车辆与公务用车保有量一致无差异。</w:t>
      </w:r>
    </w:p>
    <w:p w14:paraId="561A1A01">
      <w:pPr>
        <w:spacing w:line="580" w:lineRule="exact"/>
        <w:ind w:firstLine="640"/>
        <w:jc w:val="both"/>
      </w:pPr>
      <w:r>
        <w:rPr>
          <w:rFonts w:ascii="仿宋_GB2312" w:hAnsi="仿宋_GB2312" w:eastAsia="仿宋_GB2312"/>
          <w:b w:val="0"/>
          <w:sz w:val="32"/>
        </w:rPr>
        <w:t>公务接待费150.00万元，开支内容包括接待上级领导检查、督导组检查、工作小组考察学习产生的就餐费。单位全年安排的国内公务接待1,382批次，14,984人次。</w:t>
      </w:r>
    </w:p>
    <w:p w14:paraId="3425C47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172.50万元，决算数172.50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22.50万元，决算数22.50万元，预决算差异率0.00%，主要原因是：严格按照预算执行，预决算无差异。公务接待费全年预算数150.00万元，决算数150.00万元，预决算差异率0.00%，主要原因是：严格按照预算执行，预决算无差异。</w:t>
      </w:r>
    </w:p>
    <w:p w14:paraId="7456356E">
      <w:pPr>
        <w:spacing w:line="640" w:lineRule="exact"/>
        <w:ind w:firstLine="640"/>
        <w:jc w:val="both"/>
        <w:outlineLvl w:val="2"/>
      </w:pPr>
      <w:r>
        <w:rPr>
          <w:rFonts w:ascii="黑体" w:hAnsi="黑体" w:eastAsia="黑体"/>
          <w:sz w:val="32"/>
        </w:rPr>
        <w:t>十、其他重要事项的情况说明</w:t>
      </w:r>
    </w:p>
    <w:p w14:paraId="2513C2F9">
      <w:pPr>
        <w:spacing w:line="640" w:lineRule="exact"/>
        <w:ind w:firstLine="640"/>
        <w:jc w:val="both"/>
        <w:outlineLvl w:val="3"/>
      </w:pPr>
      <w:r>
        <w:rPr>
          <w:rFonts w:ascii="楷体_GB2312" w:hAnsi="楷体_GB2312" w:eastAsia="楷体_GB2312"/>
          <w:b/>
          <w:sz w:val="32"/>
        </w:rPr>
        <w:t>（一）机关运行经费及公用经费支出情况</w:t>
      </w:r>
    </w:p>
    <w:p w14:paraId="7C1C5F3B">
      <w:pPr>
        <w:spacing w:line="580" w:lineRule="exact"/>
        <w:ind w:firstLine="640"/>
        <w:jc w:val="both"/>
      </w:pPr>
      <w:r>
        <w:rPr>
          <w:rFonts w:ascii="仿宋_GB2312" w:hAnsi="仿宋_GB2312" w:eastAsia="仿宋_GB2312"/>
          <w:b w:val="0"/>
          <w:sz w:val="32"/>
        </w:rPr>
        <w:t>2024年度民丰县人民政府办公室（行政单位和参照公务员法管理事业单位）机关运行经费支出315.37万元，比上年减少114.15万元，下降26.58%，主要原因是：本年办公费、水费、电费、邮电费、取暖费减少，导致公用经费减少。</w:t>
      </w:r>
    </w:p>
    <w:p w14:paraId="5870845D">
      <w:pPr>
        <w:spacing w:line="640" w:lineRule="exact"/>
        <w:ind w:firstLine="640"/>
        <w:jc w:val="both"/>
        <w:outlineLvl w:val="3"/>
      </w:pPr>
      <w:r>
        <w:rPr>
          <w:rFonts w:ascii="楷体_GB2312" w:hAnsi="楷体_GB2312" w:eastAsia="楷体_GB2312"/>
          <w:b/>
          <w:sz w:val="32"/>
        </w:rPr>
        <w:t>（二）政府采购情况</w:t>
      </w:r>
    </w:p>
    <w:p w14:paraId="178A696E">
      <w:pPr>
        <w:spacing w:line="580" w:lineRule="exact"/>
        <w:ind w:firstLine="640"/>
        <w:jc w:val="both"/>
      </w:pPr>
      <w:r>
        <w:rPr>
          <w:rFonts w:ascii="仿宋_GB2312" w:hAnsi="仿宋_GB2312" w:eastAsia="仿宋_GB2312"/>
          <w:b w:val="0"/>
          <w:sz w:val="32"/>
        </w:rPr>
        <w:t>2024年度政府采购支出总额220.07万元，其中：政府采购货物支出160.19万元、政府采购工程支出0.00万元、政府采购服务支出59.88万元。</w:t>
      </w:r>
    </w:p>
    <w:p w14:paraId="03B92455">
      <w:pPr>
        <w:spacing w:line="580" w:lineRule="exact"/>
        <w:ind w:firstLine="640"/>
        <w:jc w:val="both"/>
      </w:pPr>
      <w:r>
        <w:rPr>
          <w:rFonts w:ascii="仿宋_GB2312" w:hAnsi="仿宋_GB2312" w:eastAsia="仿宋_GB2312"/>
          <w:b w:val="0"/>
          <w:sz w:val="32"/>
        </w:rPr>
        <w:t>授予中小企业合同金额220.07万元，占政府采购支出总额的100.00%，其中：授予小微企业合同金额220.07万元，占政府采购支出总额的100.00%。</w:t>
      </w:r>
    </w:p>
    <w:p w14:paraId="77212567">
      <w:pPr>
        <w:spacing w:line="640" w:lineRule="exact"/>
        <w:ind w:firstLine="640"/>
        <w:jc w:val="both"/>
        <w:outlineLvl w:val="3"/>
      </w:pPr>
      <w:r>
        <w:rPr>
          <w:rFonts w:ascii="楷体_GB2312" w:hAnsi="楷体_GB2312" w:eastAsia="楷体_GB2312"/>
          <w:b/>
          <w:sz w:val="32"/>
        </w:rPr>
        <w:t>（三）国有资产占用情况说明</w:t>
      </w:r>
    </w:p>
    <w:p w14:paraId="29EFE46D">
      <w:pPr>
        <w:spacing w:line="580" w:lineRule="exact"/>
        <w:ind w:firstLine="640"/>
        <w:jc w:val="both"/>
      </w:pPr>
      <w:r>
        <w:rPr>
          <w:rFonts w:ascii="仿宋_GB2312" w:hAnsi="仿宋_GB2312" w:eastAsia="仿宋_GB2312"/>
          <w:b w:val="0"/>
          <w:sz w:val="32"/>
        </w:rPr>
        <w:t>截至2024年12月31日，房屋2,732.83平方米，价值1,000.37万元。车辆8辆，价值105.12万元，其中：副部（省）级及以上领导用车0辆、主要负责人用车7辆、机要通信用车0辆、应急保障用车0辆、执法执勤用车0辆、特种专业技术用车0辆、离退休干部服务用车0辆、其他用车1辆，其他用车主要是：一般公务用车。单价100万元（含）以上设备（不含车辆）0台（套）。</w:t>
      </w:r>
    </w:p>
    <w:p w14:paraId="7D3880DC">
      <w:pPr>
        <w:spacing w:line="640" w:lineRule="exact"/>
        <w:ind w:firstLine="640"/>
        <w:jc w:val="both"/>
        <w:outlineLvl w:val="2"/>
      </w:pPr>
      <w:r>
        <w:rPr>
          <w:rFonts w:ascii="黑体" w:hAnsi="黑体" w:eastAsia="黑体"/>
          <w:sz w:val="32"/>
        </w:rPr>
        <w:t>十一、预算绩效的情况说明</w:t>
      </w:r>
    </w:p>
    <w:p w14:paraId="5314B917">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2,445.27万元，实际执行总额2,445.24万元；预算绩效评价项目2个，全年预算数64.30万元，全年执行数61.17万元。预算绩效管理取得的成效：一是领导重视到位，主要领导亲自抓，并予以充分的人力、财力保障。责任落实到位，将各项目工作列入年度干部绩效考核实施方案，将各项目工作落实到具体科室、具体岗位、具体个人。二是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发现的问题及原因：绩效指标的明确性、可衡量性、相关性还需进一步提升。预算精细化管理还需完善，预算编制管理水平仍有进一步提升的空间。下一步改进措施：根据项目业务流程，参考历年经费使用情况，认真测算各阶段所需经费，确保当前项目实施经费充足。在经费使用方面，严格执行经费使用管理制度，厉行节约，专款专用，对每笔经费使用情况建立监督机制，确保经费使用合理合规。具体附整体支出绩效自评表，项目支出绩效自评表和评价报告。</w:t>
      </w:r>
    </w:p>
    <w:p w14:paraId="7C5F3A22">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F3368A0">
        <w:tblPrEx>
          <w:tblCellMar>
            <w:top w:w="0" w:type="dxa"/>
            <w:left w:w="108" w:type="dxa"/>
            <w:bottom w:w="0" w:type="dxa"/>
            <w:right w:w="108" w:type="dxa"/>
          </w:tblCellMar>
        </w:tblPrEx>
        <w:tc>
          <w:tcPr>
            <w:tcW w:w="8847" w:type="dxa"/>
            <w:gridSpan w:val="9"/>
            <w:vAlign w:val="center"/>
          </w:tcPr>
          <w:p w14:paraId="2E892A3F">
            <w:pPr>
              <w:jc w:val="center"/>
            </w:pPr>
            <w:r>
              <w:rPr>
                <w:rFonts w:ascii="宋体" w:hAnsi="宋体" w:eastAsia="宋体"/>
                <w:sz w:val="24"/>
              </w:rPr>
              <w:t>单位整体支出绩效自评表</w:t>
            </w:r>
          </w:p>
        </w:tc>
      </w:tr>
      <w:tr w14:paraId="60372E5A">
        <w:tblPrEx>
          <w:tblCellMar>
            <w:top w:w="0" w:type="dxa"/>
            <w:left w:w="108" w:type="dxa"/>
            <w:bottom w:w="0" w:type="dxa"/>
            <w:right w:w="108" w:type="dxa"/>
          </w:tblCellMar>
        </w:tblPrEx>
        <w:tc>
          <w:tcPr>
            <w:tcW w:w="8847" w:type="dxa"/>
            <w:gridSpan w:val="9"/>
            <w:vAlign w:val="center"/>
          </w:tcPr>
          <w:p w14:paraId="0F227F5A">
            <w:pPr>
              <w:jc w:val="center"/>
            </w:pPr>
            <w:r>
              <w:rPr>
                <w:rFonts w:ascii="宋体" w:hAnsi="宋体" w:eastAsia="宋体"/>
                <w:sz w:val="24"/>
              </w:rPr>
              <w:t>（2024年度）</w:t>
            </w:r>
          </w:p>
        </w:tc>
      </w:tr>
      <w:tr w14:paraId="0137A6A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75120A">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C77B9E5">
            <w:pPr>
              <w:jc w:val="center"/>
            </w:pPr>
            <w:r>
              <w:rPr>
                <w:rFonts w:ascii="宋体" w:hAnsi="宋体" w:eastAsia="宋体"/>
                <w:sz w:val="16"/>
              </w:rPr>
              <w:t>民丰县人民政府办公室</w:t>
            </w:r>
          </w:p>
        </w:tc>
      </w:tr>
      <w:tr w14:paraId="7FC8AB2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7A549D">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7E96C">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E113B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368E73">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66AB9">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D3D0D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A150F">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0DB736">
            <w:pPr>
              <w:jc w:val="center"/>
            </w:pPr>
            <w:r>
              <w:rPr>
                <w:rFonts w:ascii="宋体" w:hAnsi="宋体" w:eastAsia="宋体"/>
                <w:sz w:val="16"/>
              </w:rPr>
              <w:t>得分</w:t>
            </w:r>
          </w:p>
        </w:tc>
      </w:tr>
      <w:tr w14:paraId="0D6AC60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972CF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376C10">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F96C10">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6F52C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EAB37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1BC98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311B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1AFAD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979AA">
            <w:pPr>
              <w:jc w:val="center"/>
            </w:pPr>
            <w:r>
              <w:rPr>
                <w:rFonts w:ascii="宋体" w:hAnsi="宋体" w:eastAsia="宋体"/>
                <w:sz w:val="16"/>
              </w:rPr>
              <w:t>-</w:t>
            </w:r>
          </w:p>
        </w:tc>
      </w:tr>
      <w:tr w14:paraId="24F6EF2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354C7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E402C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C67DC6">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A2D984">
            <w:pPr>
              <w:jc w:val="center"/>
            </w:pPr>
            <w:r>
              <w:rPr>
                <w:rFonts w:ascii="宋体" w:hAnsi="宋体" w:eastAsia="宋体"/>
                <w:sz w:val="16"/>
              </w:rPr>
              <w:t>2,079.40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858448">
            <w:pPr>
              <w:jc w:val="center"/>
            </w:pPr>
            <w:r>
              <w:rPr>
                <w:rFonts w:ascii="宋体" w:hAnsi="宋体" w:eastAsia="宋体"/>
                <w:sz w:val="16"/>
              </w:rPr>
              <w:t>2,379.83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304DC6">
            <w:pPr>
              <w:jc w:val="center"/>
            </w:pPr>
            <w:r>
              <w:rPr>
                <w:rFonts w:ascii="宋体" w:hAnsi="宋体" w:eastAsia="宋体"/>
                <w:sz w:val="16"/>
              </w:rPr>
              <w:t>2,379.80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71873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ACA49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B3509E">
            <w:pPr>
              <w:jc w:val="center"/>
            </w:pPr>
            <w:r>
              <w:rPr>
                <w:rFonts w:ascii="宋体" w:hAnsi="宋体" w:eastAsia="宋体"/>
                <w:sz w:val="16"/>
              </w:rPr>
              <w:t>-</w:t>
            </w:r>
          </w:p>
        </w:tc>
      </w:tr>
      <w:tr w14:paraId="0C07D0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A06B8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05D79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C851F3">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6B67C7">
            <w:pPr>
              <w:jc w:val="center"/>
            </w:pPr>
            <w:r>
              <w:rPr>
                <w:rFonts w:ascii="宋体" w:hAnsi="宋体" w:eastAsia="宋体"/>
                <w:sz w:val="16"/>
              </w:rPr>
              <w:t>60.00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243DBB">
            <w:pPr>
              <w:jc w:val="center"/>
            </w:pPr>
            <w:r>
              <w:rPr>
                <w:rFonts w:ascii="宋体" w:hAnsi="宋体" w:eastAsia="宋体"/>
                <w:sz w:val="16"/>
              </w:rPr>
              <w:t>65.44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A6A725">
            <w:pPr>
              <w:jc w:val="center"/>
            </w:pPr>
            <w:r>
              <w:rPr>
                <w:rFonts w:ascii="宋体" w:hAnsi="宋体" w:eastAsia="宋体"/>
                <w:sz w:val="16"/>
              </w:rPr>
              <w:t>65.44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0A619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3CD04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341F55">
            <w:pPr>
              <w:jc w:val="center"/>
            </w:pPr>
            <w:r>
              <w:rPr>
                <w:rFonts w:ascii="宋体" w:hAnsi="宋体" w:eastAsia="宋体"/>
                <w:sz w:val="16"/>
              </w:rPr>
              <w:t>-</w:t>
            </w:r>
          </w:p>
        </w:tc>
      </w:tr>
      <w:tr w14:paraId="56AAEE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3F795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B354CC">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4350B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98F015">
            <w:pPr>
              <w:jc w:val="center"/>
            </w:pPr>
            <w:r>
              <w:rPr>
                <w:rFonts w:ascii="宋体" w:hAnsi="宋体" w:eastAsia="宋体"/>
                <w:sz w:val="16"/>
              </w:rPr>
              <w:t>2,139.40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1AD067">
            <w:pPr>
              <w:jc w:val="center"/>
            </w:pPr>
            <w:r>
              <w:rPr>
                <w:rFonts w:ascii="宋体" w:hAnsi="宋体" w:eastAsia="宋体"/>
                <w:sz w:val="16"/>
              </w:rPr>
              <w:t>2,445.27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CE13D6">
            <w:pPr>
              <w:jc w:val="center"/>
            </w:pPr>
            <w:r>
              <w:rPr>
                <w:rFonts w:ascii="宋体" w:hAnsi="宋体" w:eastAsia="宋体"/>
                <w:sz w:val="16"/>
              </w:rPr>
              <w:t>2,445.24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AA91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DB550C">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8C3A23">
            <w:pPr>
              <w:jc w:val="center"/>
            </w:pPr>
            <w:r>
              <w:rPr>
                <w:rFonts w:ascii="宋体" w:hAnsi="宋体" w:eastAsia="宋体"/>
                <w:sz w:val="16"/>
              </w:rPr>
              <w:t>10</w:t>
            </w:r>
          </w:p>
        </w:tc>
      </w:tr>
      <w:tr w14:paraId="56F84FC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D4A3E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7C1F65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69D8BB">
            <w:pPr>
              <w:jc w:val="center"/>
            </w:pPr>
            <w:r>
              <w:rPr>
                <w:rFonts w:ascii="宋体" w:hAnsi="宋体" w:eastAsia="宋体"/>
                <w:sz w:val="16"/>
              </w:rPr>
              <w:t>实际完成情况</w:t>
            </w:r>
          </w:p>
        </w:tc>
      </w:tr>
      <w:tr w14:paraId="63944A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C1ADF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FDAB14E">
            <w:pPr>
              <w:jc w:val="both"/>
            </w:pPr>
            <w:r>
              <w:rPr>
                <w:rFonts w:ascii="宋体" w:hAnsi="宋体" w:eastAsia="宋体"/>
                <w:sz w:val="16"/>
              </w:rPr>
              <w:t>目标1：保障单位职工人数69人，全年制发文件80件，实地督查次数2次；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保障办公室正常运转，同时保障政府公文、会议决定事项及县政府领导有关指示的执行落实情况并跟踪调研，及时向县政府领导同志报告，做好“12345”政务服务热线和国务院“互联网＋督查”督办转办工作，做好提高政府服务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9A2610">
            <w:pPr>
              <w:jc w:val="both"/>
            </w:pPr>
            <w:r>
              <w:rPr>
                <w:rFonts w:ascii="宋体" w:hAnsi="宋体" w:eastAsia="宋体"/>
                <w:sz w:val="16"/>
              </w:rPr>
              <w:t>保障单位职工人数69人，全年制发文件80件，实地督查次数2次；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保障办公室正常运转，同时保障政府公文、会议决定事项及县政府领导有关指示的执行落实情况并跟踪调研，及时向县政府领导同志报告，做好“12345”政务服务热线和国务院“互联网＋督查”督办转办工作，做好提高政府服务水平。</w:t>
            </w:r>
          </w:p>
        </w:tc>
      </w:tr>
      <w:tr w14:paraId="08308DB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EEE43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265E7">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8542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97E32F">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7D1CA7">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BDA179">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7DF359">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6B55B0">
            <w:pPr>
              <w:jc w:val="center"/>
            </w:pPr>
            <w:r>
              <w:rPr>
                <w:rFonts w:ascii="宋体" w:hAnsi="宋体" w:eastAsia="宋体"/>
                <w:sz w:val="16"/>
              </w:rPr>
              <w:t>得分</w:t>
            </w:r>
          </w:p>
        </w:tc>
      </w:tr>
      <w:tr w14:paraId="365DFE1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F1E8DE">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37072B">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D7E3D">
            <w:pPr>
              <w:jc w:val="center"/>
            </w:pPr>
            <w:r>
              <w:rPr>
                <w:rFonts w:ascii="宋体" w:hAnsi="宋体" w:eastAsia="宋体"/>
                <w:sz w:val="16"/>
              </w:rPr>
              <w:t>保障单位职工人数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07E006">
            <w:pPr>
              <w:jc w:val="center"/>
            </w:pPr>
            <w:r>
              <w:rPr>
                <w:rFonts w:ascii="宋体" w:hAnsi="宋体" w:eastAsia="宋体"/>
                <w:sz w:val="16"/>
              </w:rPr>
              <w:t>&gt;=69人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F7217">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16E5D">
            <w:pPr>
              <w:jc w:val="center"/>
            </w:pPr>
            <w:r>
              <w:rPr>
                <w:rFonts w:ascii="宋体" w:hAnsi="宋体" w:eastAsia="宋体"/>
                <w:sz w:val="16"/>
              </w:rPr>
              <w:t>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B1DA19">
            <w:pPr>
              <w:jc w:val="center"/>
            </w:pPr>
            <w:r>
              <w:rPr>
                <w:rFonts w:ascii="宋体" w:hAnsi="宋体" w:eastAsia="宋体"/>
                <w:sz w:val="16"/>
              </w:rPr>
              <w:t>118人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6AB656">
            <w:pPr>
              <w:jc w:val="center"/>
            </w:pPr>
            <w:r>
              <w:rPr>
                <w:rFonts w:ascii="宋体" w:hAnsi="宋体" w:eastAsia="宋体"/>
                <w:sz w:val="16"/>
              </w:rPr>
              <w:t>22</w:t>
            </w:r>
          </w:p>
        </w:tc>
      </w:tr>
      <w:tr w14:paraId="118A022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290F3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30D6A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98CCC">
            <w:pPr>
              <w:jc w:val="center"/>
            </w:pPr>
            <w:r>
              <w:rPr>
                <w:rFonts w:ascii="宋体" w:hAnsi="宋体" w:eastAsia="宋体"/>
                <w:sz w:val="16"/>
              </w:rPr>
              <w:t>全年制发文件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A1AB57">
            <w:pPr>
              <w:jc w:val="center"/>
            </w:pPr>
            <w:r>
              <w:rPr>
                <w:rFonts w:ascii="宋体" w:hAnsi="宋体" w:eastAsia="宋体"/>
                <w:sz w:val="16"/>
              </w:rPr>
              <w:t>&gt;=80件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44B260">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4B178F">
            <w:pPr>
              <w:jc w:val="center"/>
            </w:pPr>
            <w:r>
              <w:rPr>
                <w:rFonts w:ascii="宋体" w:hAnsi="宋体" w:eastAsia="宋体"/>
                <w:sz w:val="16"/>
              </w:rPr>
              <w:t>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DB99FA">
            <w:pPr>
              <w:jc w:val="center"/>
            </w:pPr>
            <w:r>
              <w:rPr>
                <w:rFonts w:ascii="宋体" w:hAnsi="宋体" w:eastAsia="宋体"/>
                <w:sz w:val="16"/>
              </w:rPr>
              <w:t>80件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7C8FEF">
            <w:pPr>
              <w:jc w:val="center"/>
            </w:pPr>
            <w:r>
              <w:rPr>
                <w:rFonts w:ascii="宋体" w:hAnsi="宋体" w:eastAsia="宋体"/>
                <w:sz w:val="16"/>
              </w:rPr>
              <w:t>22</w:t>
            </w:r>
          </w:p>
        </w:tc>
      </w:tr>
      <w:tr w14:paraId="3F8AD6B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1E026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6E8E3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C8D0E">
            <w:pPr>
              <w:jc w:val="center"/>
            </w:pPr>
            <w:r>
              <w:rPr>
                <w:rFonts w:ascii="宋体" w:hAnsi="宋体" w:eastAsia="宋体"/>
                <w:sz w:val="16"/>
              </w:rPr>
              <w:t>实地督查次数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AE5B15">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6B79C3">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F9F146">
            <w:pPr>
              <w:jc w:val="center"/>
            </w:pPr>
            <w:r>
              <w:rPr>
                <w:rFonts w:ascii="宋体" w:hAnsi="宋体" w:eastAsia="宋体"/>
                <w:sz w:val="16"/>
              </w:rPr>
              <w:t>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98B820">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76FCB2">
            <w:pPr>
              <w:jc w:val="center"/>
            </w:pPr>
            <w:r>
              <w:rPr>
                <w:rFonts w:ascii="宋体" w:hAnsi="宋体" w:eastAsia="宋体"/>
                <w:sz w:val="16"/>
              </w:rPr>
              <w:t>22</w:t>
            </w:r>
          </w:p>
        </w:tc>
      </w:tr>
      <w:tr w14:paraId="05C37D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056CE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FD2D96">
            <w:pPr>
              <w:jc w:val="center"/>
            </w:pPr>
            <w:r>
              <w:rPr>
                <w:rFonts w:ascii="宋体" w:hAnsi="宋体" w:eastAsia="宋体"/>
                <w:sz w:val="16"/>
              </w:rPr>
              <w:t>质量指标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8B997">
            <w:pPr>
              <w:jc w:val="center"/>
            </w:pPr>
            <w:r>
              <w:rPr>
                <w:rFonts w:ascii="宋体" w:hAnsi="宋体" w:eastAsia="宋体"/>
                <w:sz w:val="16"/>
              </w:rPr>
              <w:t>法治政府建设保障率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3EADC8">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D9C2CB">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83BAE">
            <w:pPr>
              <w:jc w:val="center"/>
            </w:pPr>
            <w:r>
              <w:rPr>
                <w:rFonts w:ascii="宋体" w:hAnsi="宋体" w:eastAsia="宋体"/>
                <w:sz w:val="16"/>
              </w:rPr>
              <w:t>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1397F5">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247316">
            <w:pPr>
              <w:jc w:val="center"/>
            </w:pPr>
            <w:r>
              <w:rPr>
                <w:rFonts w:ascii="宋体" w:hAnsi="宋体" w:eastAsia="宋体"/>
                <w:sz w:val="16"/>
              </w:rPr>
              <w:t>24</w:t>
            </w:r>
          </w:p>
        </w:tc>
      </w:tr>
    </w:tbl>
    <w:p w14:paraId="544B5FE2">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1188"/>
        <w:gridCol w:w="778"/>
        <w:gridCol w:w="983"/>
        <w:gridCol w:w="983"/>
        <w:gridCol w:w="983"/>
        <w:gridCol w:w="983"/>
      </w:tblGrid>
      <w:tr w14:paraId="1E9BE0D3">
        <w:tblPrEx>
          <w:tblCellMar>
            <w:top w:w="0" w:type="dxa"/>
            <w:left w:w="108" w:type="dxa"/>
            <w:bottom w:w="0" w:type="dxa"/>
            <w:right w:w="108" w:type="dxa"/>
          </w:tblCellMar>
        </w:tblPrEx>
        <w:tc>
          <w:tcPr>
            <w:tcW w:w="8847" w:type="dxa"/>
            <w:gridSpan w:val="9"/>
            <w:vAlign w:val="center"/>
          </w:tcPr>
          <w:p w14:paraId="03E07208">
            <w:pPr>
              <w:jc w:val="center"/>
            </w:pPr>
            <w:r>
              <w:rPr>
                <w:rFonts w:ascii="宋体" w:hAnsi="宋体" w:eastAsia="宋体"/>
                <w:sz w:val="24"/>
              </w:rPr>
              <w:t>项目支出绩效自评表</w:t>
            </w:r>
          </w:p>
        </w:tc>
      </w:tr>
      <w:tr w14:paraId="53B96510">
        <w:tblPrEx>
          <w:tblCellMar>
            <w:top w:w="0" w:type="dxa"/>
            <w:left w:w="108" w:type="dxa"/>
            <w:bottom w:w="0" w:type="dxa"/>
            <w:right w:w="108" w:type="dxa"/>
          </w:tblCellMar>
        </w:tblPrEx>
        <w:tc>
          <w:tcPr>
            <w:tcW w:w="8847" w:type="dxa"/>
            <w:gridSpan w:val="9"/>
            <w:vAlign w:val="center"/>
          </w:tcPr>
          <w:p w14:paraId="3B78962E">
            <w:pPr>
              <w:jc w:val="center"/>
            </w:pPr>
            <w:r>
              <w:rPr>
                <w:rFonts w:ascii="宋体" w:hAnsi="宋体" w:eastAsia="宋体"/>
                <w:sz w:val="24"/>
              </w:rPr>
              <w:t>(2024年度)</w:t>
            </w:r>
          </w:p>
        </w:tc>
      </w:tr>
      <w:tr w14:paraId="520F71F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5DFF8C">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57E4826">
            <w:pPr>
              <w:jc w:val="center"/>
            </w:pPr>
            <w:r>
              <w:rPr>
                <w:rFonts w:ascii="宋体" w:hAnsi="宋体" w:eastAsia="宋体"/>
                <w:sz w:val="16"/>
              </w:rPr>
              <w:t>2024年解决特殊疑难信访问题资金</w:t>
            </w:r>
          </w:p>
        </w:tc>
      </w:tr>
      <w:tr w14:paraId="5476C7E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598FD">
            <w:pPr>
              <w:jc w:val="center"/>
            </w:pPr>
            <w:r>
              <w:rPr>
                <w:rFonts w:ascii="宋体" w:hAnsi="宋体" w:eastAsia="宋体"/>
                <w:sz w:val="16"/>
              </w:rPr>
              <w:t>主管部门</w:t>
            </w:r>
          </w:p>
        </w:tc>
        <w:tc>
          <w:tcPr>
            <w:tcW w:w="31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B57D5C3">
            <w:pPr>
              <w:jc w:val="center"/>
            </w:pPr>
            <w:r>
              <w:rPr>
                <w:rFonts w:ascii="宋体" w:hAnsi="宋体" w:eastAsia="宋体"/>
                <w:sz w:val="16"/>
              </w:rPr>
              <w:t>民丰县人民政府</w:t>
            </w:r>
          </w:p>
        </w:tc>
        <w:tc>
          <w:tcPr>
            <w:tcW w:w="778" w:type="dxa"/>
            <w:tcBorders>
              <w:top w:val="single" w:color="auto" w:sz="10" w:space="0"/>
              <w:left w:val="single" w:color="auto" w:sz="10" w:space="0"/>
              <w:bottom w:val="single" w:color="auto" w:sz="10" w:space="0"/>
              <w:right w:val="single" w:color="auto" w:sz="10" w:space="0"/>
              <w:insideV w:val="single" w:sz="10" w:space="0"/>
            </w:tcBorders>
            <w:vAlign w:val="center"/>
          </w:tcPr>
          <w:p w14:paraId="529BEF84">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B9A008D">
            <w:pPr>
              <w:jc w:val="center"/>
            </w:pPr>
            <w:r>
              <w:rPr>
                <w:rFonts w:ascii="宋体" w:hAnsi="宋体" w:eastAsia="宋体"/>
                <w:sz w:val="16"/>
              </w:rPr>
              <w:t>民丰县人民政府办公室</w:t>
            </w:r>
          </w:p>
        </w:tc>
      </w:tr>
      <w:tr w14:paraId="51106EF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C05452">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FB6A2">
            <w:pPr>
              <w:jc w:val="center"/>
            </w:pPr>
          </w:p>
        </w:tc>
        <w:tc>
          <w:tcPr>
            <w:tcW w:w="1188" w:type="dxa"/>
            <w:tcBorders>
              <w:top w:val="single" w:color="auto" w:sz="10" w:space="0"/>
              <w:left w:val="single" w:color="auto" w:sz="10" w:space="0"/>
              <w:bottom w:val="single" w:color="auto" w:sz="10" w:space="0"/>
              <w:right w:val="single" w:color="auto" w:sz="10" w:space="0"/>
              <w:insideV w:val="single" w:sz="10" w:space="0"/>
            </w:tcBorders>
            <w:vAlign w:val="center"/>
          </w:tcPr>
          <w:p w14:paraId="3D1DA244">
            <w:pPr>
              <w:jc w:val="center"/>
            </w:pPr>
            <w:r>
              <w:rPr>
                <w:rFonts w:ascii="宋体" w:hAnsi="宋体" w:eastAsia="宋体"/>
                <w:sz w:val="16"/>
              </w:rPr>
              <w:t>年初预算数</w:t>
            </w:r>
          </w:p>
        </w:tc>
        <w:tc>
          <w:tcPr>
            <w:tcW w:w="778" w:type="dxa"/>
            <w:tcBorders>
              <w:top w:val="single" w:color="auto" w:sz="10" w:space="0"/>
              <w:left w:val="single" w:color="auto" w:sz="10" w:space="0"/>
              <w:bottom w:val="single" w:color="auto" w:sz="10" w:space="0"/>
              <w:right w:val="single" w:color="auto" w:sz="10" w:space="0"/>
              <w:insideV w:val="single" w:sz="10" w:space="0"/>
            </w:tcBorders>
            <w:vAlign w:val="center"/>
          </w:tcPr>
          <w:p w14:paraId="41ACAB65">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AB2736">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372449">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1EF5CD">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DD7CBE">
            <w:pPr>
              <w:jc w:val="center"/>
            </w:pPr>
            <w:r>
              <w:rPr>
                <w:rFonts w:ascii="宋体" w:hAnsi="宋体" w:eastAsia="宋体"/>
                <w:sz w:val="16"/>
              </w:rPr>
              <w:t>得分</w:t>
            </w:r>
          </w:p>
        </w:tc>
      </w:tr>
      <w:tr w14:paraId="06326EE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D852E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25D1F">
            <w:pPr>
              <w:jc w:val="center"/>
            </w:pPr>
            <w:r>
              <w:rPr>
                <w:rFonts w:ascii="宋体" w:hAnsi="宋体" w:eastAsia="宋体"/>
                <w:sz w:val="16"/>
              </w:rPr>
              <w:t>年度资金总额</w:t>
            </w:r>
          </w:p>
        </w:tc>
        <w:tc>
          <w:tcPr>
            <w:tcW w:w="1188" w:type="dxa"/>
            <w:tcBorders>
              <w:top w:val="single" w:color="auto" w:sz="10" w:space="0"/>
              <w:left w:val="single" w:color="auto" w:sz="10" w:space="0"/>
              <w:bottom w:val="single" w:color="auto" w:sz="10" w:space="0"/>
              <w:right w:val="single" w:color="auto" w:sz="10" w:space="0"/>
              <w:insideV w:val="single" w:sz="10" w:space="0"/>
            </w:tcBorders>
            <w:vAlign w:val="center"/>
          </w:tcPr>
          <w:p w14:paraId="4AF7CD35">
            <w:pPr>
              <w:jc w:val="center"/>
            </w:pPr>
            <w:r>
              <w:rPr>
                <w:rFonts w:ascii="宋体" w:hAnsi="宋体" w:eastAsia="宋体"/>
                <w:sz w:val="16"/>
              </w:rPr>
              <w:t>4.30</w:t>
            </w:r>
          </w:p>
        </w:tc>
        <w:tc>
          <w:tcPr>
            <w:tcW w:w="778" w:type="dxa"/>
            <w:tcBorders>
              <w:top w:val="single" w:color="auto" w:sz="10" w:space="0"/>
              <w:left w:val="single" w:color="auto" w:sz="10" w:space="0"/>
              <w:bottom w:val="single" w:color="auto" w:sz="10" w:space="0"/>
              <w:right w:val="single" w:color="auto" w:sz="10" w:space="0"/>
              <w:insideV w:val="single" w:sz="10" w:space="0"/>
            </w:tcBorders>
            <w:vAlign w:val="center"/>
          </w:tcPr>
          <w:p w14:paraId="355D9FBA">
            <w:pPr>
              <w:jc w:val="center"/>
            </w:pPr>
            <w:r>
              <w:rPr>
                <w:rFonts w:ascii="宋体" w:hAnsi="宋体" w:eastAsia="宋体"/>
                <w:sz w:val="16"/>
              </w:rPr>
              <w:t>4.30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A5C7B3">
            <w:pPr>
              <w:jc w:val="center"/>
            </w:pPr>
            <w:r>
              <w:rPr>
                <w:rFonts w:ascii="宋体" w:hAnsi="宋体" w:eastAsia="宋体"/>
                <w:sz w:val="16"/>
              </w:rPr>
              <w:t>4.30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A5A26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CFA8AC">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C489C7">
            <w:pPr>
              <w:jc w:val="center"/>
            </w:pPr>
            <w:r>
              <w:rPr>
                <w:rFonts w:ascii="宋体" w:hAnsi="宋体" w:eastAsia="宋体"/>
                <w:sz w:val="16"/>
              </w:rPr>
              <w:t>10.00分</w:t>
            </w:r>
          </w:p>
        </w:tc>
      </w:tr>
      <w:tr w14:paraId="4CB551A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8ACFE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13A7F">
            <w:pPr>
              <w:jc w:val="center"/>
            </w:pPr>
            <w:r>
              <w:rPr>
                <w:rFonts w:ascii="宋体" w:hAnsi="宋体" w:eastAsia="宋体"/>
                <w:sz w:val="16"/>
              </w:rPr>
              <w:t>其中：当年财政拨款</w:t>
            </w:r>
          </w:p>
        </w:tc>
        <w:tc>
          <w:tcPr>
            <w:tcW w:w="1188" w:type="dxa"/>
            <w:tcBorders>
              <w:top w:val="single" w:color="auto" w:sz="10" w:space="0"/>
              <w:left w:val="single" w:color="auto" w:sz="10" w:space="0"/>
              <w:bottom w:val="single" w:color="auto" w:sz="10" w:space="0"/>
              <w:right w:val="single" w:color="auto" w:sz="10" w:space="0"/>
              <w:insideV w:val="single" w:sz="10" w:space="0"/>
            </w:tcBorders>
            <w:vAlign w:val="center"/>
          </w:tcPr>
          <w:p w14:paraId="2A2C742A">
            <w:pPr>
              <w:jc w:val="center"/>
            </w:pPr>
            <w:r>
              <w:rPr>
                <w:rFonts w:ascii="宋体" w:hAnsi="宋体" w:eastAsia="宋体"/>
                <w:sz w:val="16"/>
              </w:rPr>
              <w:t>4.30</w:t>
            </w:r>
          </w:p>
        </w:tc>
        <w:tc>
          <w:tcPr>
            <w:tcW w:w="778" w:type="dxa"/>
            <w:tcBorders>
              <w:top w:val="single" w:color="auto" w:sz="10" w:space="0"/>
              <w:left w:val="single" w:color="auto" w:sz="10" w:space="0"/>
              <w:bottom w:val="single" w:color="auto" w:sz="10" w:space="0"/>
              <w:right w:val="single" w:color="auto" w:sz="10" w:space="0"/>
              <w:insideV w:val="single" w:sz="10" w:space="0"/>
            </w:tcBorders>
            <w:vAlign w:val="center"/>
          </w:tcPr>
          <w:p w14:paraId="44C688B8">
            <w:pPr>
              <w:jc w:val="center"/>
            </w:pPr>
            <w:r>
              <w:rPr>
                <w:rFonts w:ascii="宋体" w:hAnsi="宋体" w:eastAsia="宋体"/>
                <w:sz w:val="16"/>
              </w:rPr>
              <w:t>4.30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275020">
            <w:pPr>
              <w:jc w:val="center"/>
            </w:pPr>
            <w:r>
              <w:rPr>
                <w:rFonts w:ascii="宋体" w:hAnsi="宋体" w:eastAsia="宋体"/>
                <w:sz w:val="16"/>
              </w:rPr>
              <w:t>4.30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324A4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AD8FA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C31C63">
            <w:pPr>
              <w:jc w:val="center"/>
            </w:pPr>
            <w:r>
              <w:rPr>
                <w:rFonts w:ascii="宋体" w:hAnsi="宋体" w:eastAsia="宋体"/>
                <w:sz w:val="16"/>
              </w:rPr>
              <w:t>—</w:t>
            </w:r>
          </w:p>
        </w:tc>
      </w:tr>
      <w:tr w14:paraId="2184CC1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00675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AE448">
            <w:pPr>
              <w:jc w:val="center"/>
            </w:pPr>
            <w:r>
              <w:rPr>
                <w:rFonts w:ascii="宋体" w:hAnsi="宋体" w:eastAsia="宋体"/>
                <w:sz w:val="16"/>
              </w:rPr>
              <w:t xml:space="preserve">      上年结转资金</w:t>
            </w:r>
          </w:p>
        </w:tc>
        <w:tc>
          <w:tcPr>
            <w:tcW w:w="1188" w:type="dxa"/>
            <w:tcBorders>
              <w:top w:val="single" w:color="auto" w:sz="10" w:space="0"/>
              <w:left w:val="single" w:color="auto" w:sz="10" w:space="0"/>
              <w:bottom w:val="single" w:color="auto" w:sz="10" w:space="0"/>
              <w:right w:val="single" w:color="auto" w:sz="10" w:space="0"/>
              <w:insideV w:val="single" w:sz="10" w:space="0"/>
            </w:tcBorders>
            <w:vAlign w:val="center"/>
          </w:tcPr>
          <w:p w14:paraId="0783C488">
            <w:pPr>
              <w:jc w:val="center"/>
            </w:pPr>
            <w:r>
              <w:rPr>
                <w:rFonts w:ascii="宋体" w:hAnsi="宋体" w:eastAsia="宋体"/>
                <w:sz w:val="16"/>
              </w:rPr>
              <w:t>0.00</w:t>
            </w:r>
          </w:p>
        </w:tc>
        <w:tc>
          <w:tcPr>
            <w:tcW w:w="778" w:type="dxa"/>
            <w:tcBorders>
              <w:top w:val="single" w:color="auto" w:sz="10" w:space="0"/>
              <w:left w:val="single" w:color="auto" w:sz="10" w:space="0"/>
              <w:bottom w:val="single" w:color="auto" w:sz="10" w:space="0"/>
              <w:right w:val="single" w:color="auto" w:sz="10" w:space="0"/>
              <w:insideV w:val="single" w:sz="10" w:space="0"/>
            </w:tcBorders>
            <w:vAlign w:val="center"/>
          </w:tcPr>
          <w:p w14:paraId="215351E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489E5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E63EF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25FEA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0F01D1">
            <w:pPr>
              <w:jc w:val="center"/>
            </w:pPr>
            <w:r>
              <w:rPr>
                <w:rFonts w:ascii="宋体" w:hAnsi="宋体" w:eastAsia="宋体"/>
                <w:sz w:val="16"/>
              </w:rPr>
              <w:t>—</w:t>
            </w:r>
          </w:p>
        </w:tc>
      </w:tr>
      <w:tr w14:paraId="7ED6B03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5B68D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6CE0D">
            <w:pPr>
              <w:jc w:val="center"/>
            </w:pPr>
            <w:r>
              <w:rPr>
                <w:rFonts w:ascii="宋体" w:hAnsi="宋体" w:eastAsia="宋体"/>
                <w:sz w:val="16"/>
              </w:rPr>
              <w:t xml:space="preserve">  其他资金</w:t>
            </w:r>
          </w:p>
        </w:tc>
        <w:tc>
          <w:tcPr>
            <w:tcW w:w="1188" w:type="dxa"/>
            <w:tcBorders>
              <w:top w:val="single" w:color="auto" w:sz="10" w:space="0"/>
              <w:left w:val="single" w:color="auto" w:sz="10" w:space="0"/>
              <w:bottom w:val="single" w:color="auto" w:sz="10" w:space="0"/>
              <w:right w:val="single" w:color="auto" w:sz="10" w:space="0"/>
              <w:insideV w:val="single" w:sz="10" w:space="0"/>
            </w:tcBorders>
            <w:vAlign w:val="center"/>
          </w:tcPr>
          <w:p w14:paraId="2E8A2E02">
            <w:pPr>
              <w:jc w:val="center"/>
            </w:pPr>
            <w:r>
              <w:rPr>
                <w:rFonts w:ascii="宋体" w:hAnsi="宋体" w:eastAsia="宋体"/>
                <w:sz w:val="16"/>
              </w:rPr>
              <w:t>0.00</w:t>
            </w:r>
          </w:p>
        </w:tc>
        <w:tc>
          <w:tcPr>
            <w:tcW w:w="778" w:type="dxa"/>
            <w:tcBorders>
              <w:top w:val="single" w:color="auto" w:sz="10" w:space="0"/>
              <w:left w:val="single" w:color="auto" w:sz="10" w:space="0"/>
              <w:bottom w:val="single" w:color="auto" w:sz="10" w:space="0"/>
              <w:right w:val="single" w:color="auto" w:sz="10" w:space="0"/>
              <w:insideV w:val="single" w:sz="10" w:space="0"/>
            </w:tcBorders>
            <w:vAlign w:val="center"/>
          </w:tcPr>
          <w:p w14:paraId="4FF0956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6F98C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93C1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CDB04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7B179F">
            <w:pPr>
              <w:jc w:val="center"/>
            </w:pPr>
            <w:r>
              <w:rPr>
                <w:rFonts w:ascii="宋体" w:hAnsi="宋体" w:eastAsia="宋体"/>
                <w:sz w:val="16"/>
              </w:rPr>
              <w:t>—</w:t>
            </w:r>
          </w:p>
        </w:tc>
      </w:tr>
      <w:tr w14:paraId="28EEF99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07928C">
            <w:pPr>
              <w:jc w:val="center"/>
            </w:pPr>
            <w:r>
              <w:rPr>
                <w:rFonts w:ascii="宋体" w:hAnsi="宋体" w:eastAsia="宋体"/>
                <w:sz w:val="16"/>
              </w:rPr>
              <w:t>年度总体目标</w:t>
            </w:r>
          </w:p>
        </w:tc>
        <w:tc>
          <w:tcPr>
            <w:tcW w:w="31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4729BC7">
            <w:pPr>
              <w:jc w:val="center"/>
            </w:pPr>
            <w:r>
              <w:rPr>
                <w:rFonts w:ascii="宋体" w:hAnsi="宋体" w:eastAsia="宋体"/>
                <w:sz w:val="16"/>
              </w:rPr>
              <w:t>预期目标</w:t>
            </w:r>
          </w:p>
        </w:tc>
        <w:tc>
          <w:tcPr>
            <w:tcW w:w="471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2A38BA">
            <w:pPr>
              <w:jc w:val="center"/>
            </w:pPr>
            <w:r>
              <w:rPr>
                <w:rFonts w:ascii="宋体" w:hAnsi="宋体" w:eastAsia="宋体"/>
                <w:sz w:val="16"/>
              </w:rPr>
              <w:t>实际完成情况</w:t>
            </w:r>
          </w:p>
        </w:tc>
      </w:tr>
      <w:tr w14:paraId="59899C4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67EE7F"/>
        </w:tc>
        <w:tc>
          <w:tcPr>
            <w:tcW w:w="31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F6AF9C5">
            <w:pPr>
              <w:jc w:val="both"/>
            </w:pPr>
            <w:r>
              <w:rPr>
                <w:rFonts w:ascii="宋体" w:hAnsi="宋体" w:eastAsia="宋体"/>
                <w:sz w:val="16"/>
              </w:rPr>
              <w:t>根据和地财行</w:t>
            </w:r>
            <w:r>
              <w:rPr>
                <w:rFonts w:hint="eastAsia" w:ascii="宋体" w:hAnsi="宋体"/>
                <w:sz w:val="16"/>
                <w:lang w:eastAsia="zh-CN"/>
              </w:rPr>
              <w:t>〔2024〕7号</w:t>
            </w:r>
            <w:r>
              <w:rPr>
                <w:rFonts w:ascii="宋体" w:hAnsi="宋体" w:eastAsia="宋体"/>
                <w:sz w:val="16"/>
              </w:rPr>
              <w:t>文件要求，实施本项目。主要内容：特殊疑难2名人员补助发放分别为1.3万元，3万元；通过项目实施有效解决特殊疑难信访问题。</w:t>
            </w:r>
          </w:p>
        </w:tc>
        <w:tc>
          <w:tcPr>
            <w:tcW w:w="471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7D5E5E">
            <w:pPr>
              <w:jc w:val="both"/>
            </w:pPr>
            <w:r>
              <w:rPr>
                <w:rFonts w:ascii="宋体" w:hAnsi="宋体" w:eastAsia="宋体"/>
                <w:sz w:val="16"/>
              </w:rPr>
              <w:t>特殊疑难2名人员补助发放分别为1.3万元，3万元；通过项目实施有效解决特殊疑难信访问题。已全部发放。</w:t>
            </w:r>
          </w:p>
        </w:tc>
      </w:tr>
      <w:tr w14:paraId="3F0BF6F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4FD44D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883C0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309A4D">
            <w:pPr>
              <w:jc w:val="center"/>
            </w:pPr>
            <w:r>
              <w:rPr>
                <w:rFonts w:ascii="宋体" w:hAnsi="宋体" w:eastAsia="宋体"/>
                <w:sz w:val="16"/>
              </w:rPr>
              <w:t>二级指标</w:t>
            </w:r>
          </w:p>
        </w:tc>
        <w:tc>
          <w:tcPr>
            <w:tcW w:w="1188" w:type="dxa"/>
            <w:tcBorders>
              <w:top w:val="single" w:color="auto" w:sz="10" w:space="0"/>
              <w:left w:val="single" w:color="auto" w:sz="10" w:space="0"/>
              <w:bottom w:val="single" w:color="auto" w:sz="10" w:space="0"/>
              <w:right w:val="single" w:color="auto" w:sz="10" w:space="0"/>
              <w:insideV w:val="single" w:sz="10" w:space="0"/>
            </w:tcBorders>
            <w:vAlign w:val="center"/>
          </w:tcPr>
          <w:p w14:paraId="56D0768D">
            <w:pPr>
              <w:jc w:val="center"/>
            </w:pPr>
            <w:r>
              <w:rPr>
                <w:rFonts w:ascii="宋体" w:hAnsi="宋体" w:eastAsia="宋体"/>
                <w:sz w:val="16"/>
              </w:rPr>
              <w:t>三级指标</w:t>
            </w:r>
          </w:p>
        </w:tc>
        <w:tc>
          <w:tcPr>
            <w:tcW w:w="778" w:type="dxa"/>
            <w:tcBorders>
              <w:top w:val="single" w:color="auto" w:sz="10" w:space="0"/>
              <w:left w:val="single" w:color="auto" w:sz="10" w:space="0"/>
              <w:bottom w:val="single" w:color="auto" w:sz="10" w:space="0"/>
              <w:right w:val="single" w:color="auto" w:sz="10" w:space="0"/>
              <w:insideV w:val="single" w:sz="10" w:space="0"/>
            </w:tcBorders>
            <w:vAlign w:val="center"/>
          </w:tcPr>
          <w:p w14:paraId="48319E64">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89630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E66B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CB2E96">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4076DB">
            <w:pPr>
              <w:jc w:val="center"/>
            </w:pPr>
            <w:r>
              <w:rPr>
                <w:rFonts w:ascii="宋体" w:hAnsi="宋体" w:eastAsia="宋体"/>
                <w:sz w:val="16"/>
              </w:rPr>
              <w:t>偏差原因分析及改进措施</w:t>
            </w:r>
          </w:p>
        </w:tc>
      </w:tr>
      <w:tr w14:paraId="79060FA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8F0E4E">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BCBEAA">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3CCA9B">
            <w:pPr>
              <w:jc w:val="center"/>
            </w:pPr>
            <w:r>
              <w:rPr>
                <w:rFonts w:ascii="宋体" w:hAnsi="宋体" w:eastAsia="宋体"/>
                <w:sz w:val="16"/>
              </w:rPr>
              <w:t>数量指标</w:t>
            </w:r>
          </w:p>
        </w:tc>
        <w:tc>
          <w:tcPr>
            <w:tcW w:w="1188" w:type="dxa"/>
            <w:tcBorders>
              <w:top w:val="single" w:color="auto" w:sz="10" w:space="0"/>
              <w:left w:val="single" w:color="auto" w:sz="10" w:space="0"/>
              <w:bottom w:val="single" w:color="auto" w:sz="10" w:space="0"/>
              <w:right w:val="single" w:color="auto" w:sz="10" w:space="0"/>
              <w:insideV w:val="single" w:sz="10" w:space="0"/>
            </w:tcBorders>
            <w:vAlign w:val="center"/>
          </w:tcPr>
          <w:p w14:paraId="221A99A0">
            <w:pPr>
              <w:jc w:val="center"/>
            </w:pPr>
            <w:r>
              <w:rPr>
                <w:rFonts w:ascii="宋体" w:hAnsi="宋体" w:eastAsia="宋体"/>
                <w:sz w:val="16"/>
              </w:rPr>
              <w:t>特殊疑难信访补助发放人数</w:t>
            </w:r>
          </w:p>
        </w:tc>
        <w:tc>
          <w:tcPr>
            <w:tcW w:w="778" w:type="dxa"/>
            <w:tcBorders>
              <w:top w:val="single" w:color="auto" w:sz="10" w:space="0"/>
              <w:left w:val="single" w:color="auto" w:sz="10" w:space="0"/>
              <w:bottom w:val="single" w:color="auto" w:sz="10" w:space="0"/>
              <w:right w:val="single" w:color="auto" w:sz="10" w:space="0"/>
              <w:insideV w:val="single" w:sz="10" w:space="0"/>
            </w:tcBorders>
            <w:vAlign w:val="center"/>
          </w:tcPr>
          <w:p w14:paraId="2400F050">
            <w:pPr>
              <w:jc w:val="center"/>
            </w:pPr>
            <w:r>
              <w:rPr>
                <w:rFonts w:ascii="宋体" w:hAnsi="宋体" w:eastAsia="宋体"/>
                <w:sz w:val="16"/>
              </w:rPr>
              <w:t>=2人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5106B6">
            <w:pPr>
              <w:jc w:val="center"/>
            </w:pPr>
            <w:r>
              <w:rPr>
                <w:rFonts w:ascii="宋体" w:hAnsi="宋体" w:eastAsia="宋体"/>
                <w:sz w:val="16"/>
              </w:rPr>
              <w:t>=2人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1F314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93BB0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3D91CE">
            <w:pPr>
              <w:jc w:val="center"/>
            </w:pPr>
          </w:p>
        </w:tc>
      </w:tr>
      <w:tr w14:paraId="297C875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CCDD3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CFDC9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FD2934"/>
        </w:tc>
        <w:tc>
          <w:tcPr>
            <w:tcW w:w="1188" w:type="dxa"/>
            <w:tcBorders>
              <w:top w:val="single" w:color="auto" w:sz="10" w:space="0"/>
              <w:left w:val="single" w:color="auto" w:sz="10" w:space="0"/>
              <w:bottom w:val="single" w:color="auto" w:sz="10" w:space="0"/>
              <w:right w:val="single" w:color="auto" w:sz="10" w:space="0"/>
              <w:insideV w:val="single" w:sz="10" w:space="0"/>
            </w:tcBorders>
            <w:vAlign w:val="center"/>
          </w:tcPr>
          <w:p w14:paraId="6B296818">
            <w:pPr>
              <w:jc w:val="center"/>
            </w:pPr>
            <w:r>
              <w:rPr>
                <w:rFonts w:ascii="宋体" w:hAnsi="宋体" w:eastAsia="宋体"/>
                <w:sz w:val="16"/>
              </w:rPr>
              <w:t>特殊疑难信访补助发放次数</w:t>
            </w:r>
          </w:p>
        </w:tc>
        <w:tc>
          <w:tcPr>
            <w:tcW w:w="778" w:type="dxa"/>
            <w:tcBorders>
              <w:top w:val="single" w:color="auto" w:sz="10" w:space="0"/>
              <w:left w:val="single" w:color="auto" w:sz="10" w:space="0"/>
              <w:bottom w:val="single" w:color="auto" w:sz="10" w:space="0"/>
              <w:right w:val="single" w:color="auto" w:sz="10" w:space="0"/>
              <w:insideV w:val="single" w:sz="10" w:space="0"/>
            </w:tcBorders>
            <w:vAlign w:val="center"/>
          </w:tcPr>
          <w:p w14:paraId="4E1194A5">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3F2FC">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7004F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2FE42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36852B">
            <w:pPr>
              <w:jc w:val="center"/>
            </w:pPr>
          </w:p>
        </w:tc>
      </w:tr>
      <w:tr w14:paraId="52D15D9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7F30A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A01D0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DCCF5F">
            <w:pPr>
              <w:jc w:val="center"/>
            </w:pPr>
            <w:r>
              <w:rPr>
                <w:rFonts w:ascii="宋体" w:hAnsi="宋体" w:eastAsia="宋体"/>
                <w:sz w:val="16"/>
              </w:rPr>
              <w:t>质量指标</w:t>
            </w:r>
          </w:p>
        </w:tc>
        <w:tc>
          <w:tcPr>
            <w:tcW w:w="1188" w:type="dxa"/>
            <w:tcBorders>
              <w:top w:val="single" w:color="auto" w:sz="10" w:space="0"/>
              <w:left w:val="single" w:color="auto" w:sz="10" w:space="0"/>
              <w:bottom w:val="single" w:color="auto" w:sz="10" w:space="0"/>
              <w:right w:val="single" w:color="auto" w:sz="10" w:space="0"/>
              <w:insideV w:val="single" w:sz="10" w:space="0"/>
            </w:tcBorders>
            <w:vAlign w:val="center"/>
          </w:tcPr>
          <w:p w14:paraId="21BAACEB">
            <w:pPr>
              <w:jc w:val="center"/>
            </w:pPr>
            <w:r>
              <w:rPr>
                <w:rFonts w:ascii="宋体" w:hAnsi="宋体" w:eastAsia="宋体"/>
                <w:sz w:val="16"/>
              </w:rPr>
              <w:t>补助发放覆盖率</w:t>
            </w:r>
          </w:p>
        </w:tc>
        <w:tc>
          <w:tcPr>
            <w:tcW w:w="778" w:type="dxa"/>
            <w:tcBorders>
              <w:top w:val="single" w:color="auto" w:sz="10" w:space="0"/>
              <w:left w:val="single" w:color="auto" w:sz="10" w:space="0"/>
              <w:bottom w:val="single" w:color="auto" w:sz="10" w:space="0"/>
              <w:right w:val="single" w:color="auto" w:sz="10" w:space="0"/>
              <w:insideV w:val="single" w:sz="10" w:space="0"/>
            </w:tcBorders>
            <w:vAlign w:val="center"/>
          </w:tcPr>
          <w:p w14:paraId="7482CBE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D1DB9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7170C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01F9D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5C87C7">
            <w:pPr>
              <w:jc w:val="center"/>
            </w:pPr>
          </w:p>
        </w:tc>
      </w:tr>
      <w:tr w14:paraId="46D64CE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97B8A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AADC8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FB210D">
            <w:pPr>
              <w:jc w:val="center"/>
            </w:pPr>
            <w:r>
              <w:rPr>
                <w:rFonts w:ascii="宋体" w:hAnsi="宋体" w:eastAsia="宋体"/>
                <w:sz w:val="16"/>
              </w:rPr>
              <w:t>时效指标</w:t>
            </w:r>
          </w:p>
        </w:tc>
        <w:tc>
          <w:tcPr>
            <w:tcW w:w="1188" w:type="dxa"/>
            <w:tcBorders>
              <w:top w:val="single" w:color="auto" w:sz="10" w:space="0"/>
              <w:left w:val="single" w:color="auto" w:sz="10" w:space="0"/>
              <w:bottom w:val="single" w:color="auto" w:sz="10" w:space="0"/>
              <w:right w:val="single" w:color="auto" w:sz="10" w:space="0"/>
              <w:insideV w:val="single" w:sz="10" w:space="0"/>
            </w:tcBorders>
            <w:vAlign w:val="center"/>
          </w:tcPr>
          <w:p w14:paraId="50FDFAB8">
            <w:pPr>
              <w:jc w:val="center"/>
            </w:pPr>
            <w:r>
              <w:rPr>
                <w:rFonts w:ascii="宋体" w:hAnsi="宋体" w:eastAsia="宋体"/>
                <w:sz w:val="16"/>
              </w:rPr>
              <w:t>补助发放及时率</w:t>
            </w:r>
          </w:p>
        </w:tc>
        <w:tc>
          <w:tcPr>
            <w:tcW w:w="778" w:type="dxa"/>
            <w:tcBorders>
              <w:top w:val="single" w:color="auto" w:sz="10" w:space="0"/>
              <w:left w:val="single" w:color="auto" w:sz="10" w:space="0"/>
              <w:bottom w:val="single" w:color="auto" w:sz="10" w:space="0"/>
              <w:right w:val="single" w:color="auto" w:sz="10" w:space="0"/>
              <w:insideV w:val="single" w:sz="10" w:space="0"/>
            </w:tcBorders>
            <w:vAlign w:val="center"/>
          </w:tcPr>
          <w:p w14:paraId="4959D4D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BE808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9BCA9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CA2CB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3EE3DB">
            <w:pPr>
              <w:jc w:val="center"/>
            </w:pPr>
          </w:p>
        </w:tc>
      </w:tr>
      <w:tr w14:paraId="6042E55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F3C62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3723F7">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3C7F3B">
            <w:pPr>
              <w:jc w:val="center"/>
            </w:pPr>
            <w:r>
              <w:rPr>
                <w:rFonts w:ascii="宋体" w:hAnsi="宋体" w:eastAsia="宋体"/>
                <w:sz w:val="16"/>
              </w:rPr>
              <w:t>经济成本指标</w:t>
            </w:r>
          </w:p>
        </w:tc>
        <w:tc>
          <w:tcPr>
            <w:tcW w:w="1188" w:type="dxa"/>
            <w:tcBorders>
              <w:top w:val="single" w:color="auto" w:sz="10" w:space="0"/>
              <w:left w:val="single" w:color="auto" w:sz="10" w:space="0"/>
              <w:bottom w:val="single" w:color="auto" w:sz="10" w:space="0"/>
              <w:right w:val="single" w:color="auto" w:sz="10" w:space="0"/>
              <w:insideV w:val="single" w:sz="10" w:space="0"/>
            </w:tcBorders>
            <w:vAlign w:val="center"/>
          </w:tcPr>
          <w:p w14:paraId="0098A1A3">
            <w:pPr>
              <w:jc w:val="center"/>
            </w:pPr>
            <w:r>
              <w:rPr>
                <w:rFonts w:ascii="宋体" w:hAnsi="宋体" w:eastAsia="宋体"/>
                <w:sz w:val="16"/>
              </w:rPr>
              <w:t>补助发放金额1</w:t>
            </w:r>
          </w:p>
        </w:tc>
        <w:tc>
          <w:tcPr>
            <w:tcW w:w="778" w:type="dxa"/>
            <w:tcBorders>
              <w:top w:val="single" w:color="auto" w:sz="10" w:space="0"/>
              <w:left w:val="single" w:color="auto" w:sz="10" w:space="0"/>
              <w:bottom w:val="single" w:color="auto" w:sz="10" w:space="0"/>
              <w:right w:val="single" w:color="auto" w:sz="10" w:space="0"/>
              <w:insideV w:val="single" w:sz="10" w:space="0"/>
            </w:tcBorders>
            <w:vAlign w:val="center"/>
          </w:tcPr>
          <w:p w14:paraId="65E9D50A">
            <w:pPr>
              <w:jc w:val="center"/>
            </w:pPr>
            <w:r>
              <w:rPr>
                <w:rFonts w:ascii="宋体" w:hAnsi="宋体" w:eastAsia="宋体"/>
                <w:sz w:val="16"/>
              </w:rPr>
              <w:t>&lt;=3万元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6FF102">
            <w:pPr>
              <w:jc w:val="center"/>
            </w:pPr>
            <w:r>
              <w:rPr>
                <w:rFonts w:ascii="宋体" w:hAnsi="宋体" w:eastAsia="宋体"/>
                <w:sz w:val="16"/>
              </w:rPr>
              <w:t>=3万元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0553B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3359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CCD231">
            <w:pPr>
              <w:jc w:val="center"/>
            </w:pPr>
          </w:p>
        </w:tc>
      </w:tr>
      <w:tr w14:paraId="19AE05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C45CE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34CA4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A7D27B"/>
        </w:tc>
        <w:tc>
          <w:tcPr>
            <w:tcW w:w="1188" w:type="dxa"/>
            <w:tcBorders>
              <w:top w:val="single" w:color="auto" w:sz="10" w:space="0"/>
              <w:left w:val="single" w:color="auto" w:sz="10" w:space="0"/>
              <w:bottom w:val="single" w:color="auto" w:sz="10" w:space="0"/>
              <w:right w:val="single" w:color="auto" w:sz="10" w:space="0"/>
              <w:insideV w:val="single" w:sz="10" w:space="0"/>
            </w:tcBorders>
            <w:vAlign w:val="center"/>
          </w:tcPr>
          <w:p w14:paraId="6177FE07">
            <w:pPr>
              <w:jc w:val="center"/>
            </w:pPr>
            <w:r>
              <w:rPr>
                <w:rFonts w:ascii="宋体" w:hAnsi="宋体" w:eastAsia="宋体"/>
                <w:sz w:val="16"/>
              </w:rPr>
              <w:t>补助发放金额2</w:t>
            </w:r>
          </w:p>
        </w:tc>
        <w:tc>
          <w:tcPr>
            <w:tcW w:w="778" w:type="dxa"/>
            <w:tcBorders>
              <w:top w:val="single" w:color="auto" w:sz="10" w:space="0"/>
              <w:left w:val="single" w:color="auto" w:sz="10" w:space="0"/>
              <w:bottom w:val="single" w:color="auto" w:sz="10" w:space="0"/>
              <w:right w:val="single" w:color="auto" w:sz="10" w:space="0"/>
              <w:insideV w:val="single" w:sz="10" w:space="0"/>
            </w:tcBorders>
            <w:vAlign w:val="center"/>
          </w:tcPr>
          <w:p w14:paraId="52091493">
            <w:pPr>
              <w:jc w:val="center"/>
            </w:pPr>
            <w:r>
              <w:rPr>
                <w:rFonts w:ascii="宋体" w:hAnsi="宋体" w:eastAsia="宋体"/>
                <w:sz w:val="16"/>
              </w:rPr>
              <w:t>&lt;=1.30万元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0E5ED1">
            <w:pPr>
              <w:jc w:val="center"/>
            </w:pPr>
            <w:r>
              <w:rPr>
                <w:rFonts w:ascii="宋体" w:hAnsi="宋体" w:eastAsia="宋体"/>
                <w:sz w:val="16"/>
              </w:rPr>
              <w:t>=1.3万元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A087B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5AD24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305D2">
            <w:pPr>
              <w:jc w:val="center"/>
            </w:pPr>
          </w:p>
        </w:tc>
      </w:tr>
      <w:tr w14:paraId="721A225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666FC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D3C224">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B2753A">
            <w:pPr>
              <w:jc w:val="center"/>
            </w:pPr>
            <w:r>
              <w:rPr>
                <w:rFonts w:ascii="宋体" w:hAnsi="宋体" w:eastAsia="宋体"/>
                <w:sz w:val="16"/>
              </w:rPr>
              <w:t>社会效益指标</w:t>
            </w:r>
          </w:p>
        </w:tc>
        <w:tc>
          <w:tcPr>
            <w:tcW w:w="1188" w:type="dxa"/>
            <w:tcBorders>
              <w:top w:val="single" w:color="auto" w:sz="10" w:space="0"/>
              <w:left w:val="single" w:color="auto" w:sz="10" w:space="0"/>
              <w:bottom w:val="single" w:color="auto" w:sz="10" w:space="0"/>
              <w:right w:val="single" w:color="auto" w:sz="10" w:space="0"/>
              <w:insideV w:val="single" w:sz="10" w:space="0"/>
            </w:tcBorders>
            <w:vAlign w:val="center"/>
          </w:tcPr>
          <w:p w14:paraId="64F27F72">
            <w:pPr>
              <w:jc w:val="center"/>
            </w:pPr>
            <w:r>
              <w:rPr>
                <w:rFonts w:ascii="宋体" w:hAnsi="宋体" w:eastAsia="宋体"/>
                <w:sz w:val="16"/>
              </w:rPr>
              <w:t>解决特殊疑难信访问题</w:t>
            </w:r>
          </w:p>
        </w:tc>
        <w:tc>
          <w:tcPr>
            <w:tcW w:w="778" w:type="dxa"/>
            <w:tcBorders>
              <w:top w:val="single" w:color="auto" w:sz="10" w:space="0"/>
              <w:left w:val="single" w:color="auto" w:sz="10" w:space="0"/>
              <w:bottom w:val="single" w:color="auto" w:sz="10" w:space="0"/>
              <w:right w:val="single" w:color="auto" w:sz="10" w:space="0"/>
              <w:insideV w:val="single" w:sz="10" w:space="0"/>
            </w:tcBorders>
            <w:vAlign w:val="center"/>
          </w:tcPr>
          <w:p w14:paraId="2297D98C">
            <w:pPr>
              <w:jc w:val="center"/>
            </w:pPr>
            <w:r>
              <w:rPr>
                <w:rFonts w:ascii="宋体" w:hAnsi="宋体" w:eastAsia="宋体"/>
                <w:sz w:val="16"/>
              </w:rPr>
              <w:t>有效解决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E16638">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36006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31BDB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7C65C7">
            <w:pPr>
              <w:jc w:val="center"/>
            </w:pPr>
          </w:p>
        </w:tc>
      </w:tr>
      <w:tr w14:paraId="058E4D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8FE62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C350B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1F360F">
            <w:pPr>
              <w:jc w:val="center"/>
            </w:pPr>
            <w:r>
              <w:rPr>
                <w:rFonts w:ascii="宋体" w:hAnsi="宋体" w:eastAsia="宋体"/>
                <w:sz w:val="16"/>
              </w:rPr>
              <w:t>满意度指标</w:t>
            </w:r>
          </w:p>
        </w:tc>
        <w:tc>
          <w:tcPr>
            <w:tcW w:w="1188" w:type="dxa"/>
            <w:tcBorders>
              <w:top w:val="single" w:color="auto" w:sz="10" w:space="0"/>
              <w:left w:val="single" w:color="auto" w:sz="10" w:space="0"/>
              <w:bottom w:val="single" w:color="auto" w:sz="10" w:space="0"/>
              <w:right w:val="single" w:color="auto" w:sz="10" w:space="0"/>
              <w:insideV w:val="single" w:sz="10" w:space="0"/>
            </w:tcBorders>
            <w:vAlign w:val="center"/>
          </w:tcPr>
          <w:p w14:paraId="2EAC8521">
            <w:pPr>
              <w:jc w:val="center"/>
            </w:pPr>
            <w:r>
              <w:rPr>
                <w:rFonts w:ascii="宋体" w:hAnsi="宋体" w:eastAsia="宋体"/>
                <w:sz w:val="16"/>
              </w:rPr>
              <w:t>受益群众满意度</w:t>
            </w:r>
          </w:p>
        </w:tc>
        <w:tc>
          <w:tcPr>
            <w:tcW w:w="778" w:type="dxa"/>
            <w:tcBorders>
              <w:top w:val="single" w:color="auto" w:sz="10" w:space="0"/>
              <w:left w:val="single" w:color="auto" w:sz="10" w:space="0"/>
              <w:bottom w:val="single" w:color="auto" w:sz="10" w:space="0"/>
              <w:right w:val="single" w:color="auto" w:sz="10" w:space="0"/>
              <w:insideV w:val="single" w:sz="10" w:space="0"/>
            </w:tcBorders>
            <w:vAlign w:val="center"/>
          </w:tcPr>
          <w:p w14:paraId="0498920E">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EF0C6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003CA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FD8F7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DF167B">
            <w:pPr>
              <w:jc w:val="center"/>
            </w:pPr>
          </w:p>
        </w:tc>
      </w:tr>
      <w:tr w14:paraId="5CA38C0F">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0E2953">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5536EC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9639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C877AB">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9623CF3"/>
        </w:tc>
      </w:tr>
    </w:tbl>
    <w:p w14:paraId="1BAEC5A2">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8D7BFB1">
        <w:tblPrEx>
          <w:tblCellMar>
            <w:top w:w="0" w:type="dxa"/>
            <w:left w:w="108" w:type="dxa"/>
            <w:bottom w:w="0" w:type="dxa"/>
            <w:right w:w="108" w:type="dxa"/>
          </w:tblCellMar>
        </w:tblPrEx>
        <w:tc>
          <w:tcPr>
            <w:tcW w:w="8847" w:type="dxa"/>
            <w:gridSpan w:val="9"/>
            <w:vAlign w:val="center"/>
          </w:tcPr>
          <w:p w14:paraId="1F28CF4C">
            <w:pPr>
              <w:jc w:val="center"/>
            </w:pPr>
            <w:r>
              <w:rPr>
                <w:rFonts w:ascii="宋体" w:hAnsi="宋体" w:eastAsia="宋体"/>
                <w:sz w:val="24"/>
              </w:rPr>
              <w:t>项目支出绩效自评表</w:t>
            </w:r>
          </w:p>
        </w:tc>
      </w:tr>
      <w:tr w14:paraId="269F1894">
        <w:tblPrEx>
          <w:tblCellMar>
            <w:top w:w="0" w:type="dxa"/>
            <w:left w:w="108" w:type="dxa"/>
            <w:bottom w:w="0" w:type="dxa"/>
            <w:right w:w="108" w:type="dxa"/>
          </w:tblCellMar>
        </w:tblPrEx>
        <w:tc>
          <w:tcPr>
            <w:tcW w:w="8847" w:type="dxa"/>
            <w:gridSpan w:val="9"/>
            <w:vAlign w:val="center"/>
          </w:tcPr>
          <w:p w14:paraId="471260E3">
            <w:pPr>
              <w:jc w:val="center"/>
            </w:pPr>
            <w:r>
              <w:rPr>
                <w:rFonts w:ascii="宋体" w:hAnsi="宋体" w:eastAsia="宋体"/>
                <w:sz w:val="24"/>
              </w:rPr>
              <w:t>(2024年度)</w:t>
            </w:r>
          </w:p>
        </w:tc>
      </w:tr>
      <w:tr w14:paraId="242C482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9539A2">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4A293A0">
            <w:pPr>
              <w:jc w:val="center"/>
            </w:pPr>
            <w:r>
              <w:rPr>
                <w:rFonts w:ascii="宋体" w:hAnsi="宋体" w:eastAsia="宋体"/>
                <w:sz w:val="16"/>
              </w:rPr>
              <w:t>财政拨款收入（机关事务服务中心人员工资）</w:t>
            </w:r>
          </w:p>
        </w:tc>
      </w:tr>
      <w:tr w14:paraId="1235EE1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B05B48">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22E4FD3">
            <w:pPr>
              <w:jc w:val="center"/>
            </w:pPr>
            <w:r>
              <w:rPr>
                <w:rFonts w:ascii="宋体" w:hAnsi="宋体" w:eastAsia="宋体"/>
                <w:sz w:val="16"/>
              </w:rPr>
              <w:t>民丰县人民政府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71E4CC">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5E4FCCE">
            <w:pPr>
              <w:jc w:val="center"/>
            </w:pPr>
            <w:r>
              <w:rPr>
                <w:rFonts w:ascii="宋体" w:hAnsi="宋体" w:eastAsia="宋体"/>
                <w:sz w:val="16"/>
              </w:rPr>
              <w:t>民丰县人民政府办公室</w:t>
            </w:r>
          </w:p>
        </w:tc>
      </w:tr>
      <w:tr w14:paraId="77622B8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8770FC">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D8D36">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A8985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7035D0">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445922">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A90DB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A7D9C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B99786">
            <w:pPr>
              <w:jc w:val="center"/>
            </w:pPr>
            <w:r>
              <w:rPr>
                <w:rFonts w:ascii="宋体" w:hAnsi="宋体" w:eastAsia="宋体"/>
                <w:sz w:val="16"/>
              </w:rPr>
              <w:t>得分</w:t>
            </w:r>
          </w:p>
        </w:tc>
      </w:tr>
      <w:tr w14:paraId="03E703D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38E6A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0AA3A">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FA26F7">
            <w:pPr>
              <w:jc w:val="center"/>
            </w:pPr>
            <w:r>
              <w:rPr>
                <w:rFonts w:ascii="宋体" w:hAnsi="宋体" w:eastAsia="宋体"/>
                <w:sz w:val="16"/>
              </w:rPr>
              <w:t>60.00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650DA2">
            <w:pPr>
              <w:jc w:val="center"/>
            </w:pPr>
            <w:r>
              <w:rPr>
                <w:rFonts w:ascii="宋体" w:hAnsi="宋体" w:eastAsia="宋体"/>
                <w:sz w:val="16"/>
              </w:rPr>
              <w:t>60.00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D1ECBB">
            <w:pPr>
              <w:jc w:val="center"/>
            </w:pPr>
            <w:r>
              <w:rPr>
                <w:rFonts w:ascii="宋体" w:hAnsi="宋体" w:eastAsia="宋体"/>
                <w:sz w:val="16"/>
              </w:rPr>
              <w:t>56.87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2CEB7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FAB3E5">
            <w:pPr>
              <w:jc w:val="center"/>
            </w:pPr>
            <w:r>
              <w:rPr>
                <w:rFonts w:ascii="宋体" w:hAnsi="宋体" w:eastAsia="宋体"/>
                <w:sz w:val="16"/>
              </w:rPr>
              <w:t xml:space="preserve">94.78%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6A5D41">
            <w:pPr>
              <w:jc w:val="center"/>
            </w:pPr>
            <w:r>
              <w:rPr>
                <w:rFonts w:ascii="宋体" w:hAnsi="宋体" w:eastAsia="宋体"/>
                <w:sz w:val="16"/>
              </w:rPr>
              <w:t>8.70分</w:t>
            </w:r>
          </w:p>
        </w:tc>
      </w:tr>
      <w:tr w14:paraId="6E7CCB2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31BCA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E51EA">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517D0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38B7F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82DF9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42011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A9059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2C637">
            <w:pPr>
              <w:jc w:val="center"/>
            </w:pPr>
            <w:r>
              <w:rPr>
                <w:rFonts w:ascii="宋体" w:hAnsi="宋体" w:eastAsia="宋体"/>
                <w:sz w:val="16"/>
              </w:rPr>
              <w:t>—</w:t>
            </w:r>
          </w:p>
        </w:tc>
      </w:tr>
      <w:tr w14:paraId="4D2EAFC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713BB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315D0">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2284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77C8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8A6BB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317FA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74D22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86A58A">
            <w:pPr>
              <w:jc w:val="center"/>
            </w:pPr>
            <w:r>
              <w:rPr>
                <w:rFonts w:ascii="宋体" w:hAnsi="宋体" w:eastAsia="宋体"/>
                <w:sz w:val="16"/>
              </w:rPr>
              <w:t>—</w:t>
            </w:r>
          </w:p>
        </w:tc>
      </w:tr>
      <w:tr w14:paraId="46C5012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8BF9C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205F9">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6A4CA9">
            <w:pPr>
              <w:jc w:val="center"/>
            </w:pPr>
            <w:r>
              <w:rPr>
                <w:rFonts w:ascii="宋体" w:hAnsi="宋体" w:eastAsia="宋体"/>
                <w:sz w:val="16"/>
              </w:rPr>
              <w:t>60.00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61EC2">
            <w:pPr>
              <w:jc w:val="center"/>
            </w:pPr>
            <w:r>
              <w:rPr>
                <w:rFonts w:ascii="宋体" w:hAnsi="宋体" w:eastAsia="宋体"/>
                <w:sz w:val="16"/>
              </w:rPr>
              <w:t>60.00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3921FA">
            <w:pPr>
              <w:jc w:val="center"/>
            </w:pPr>
            <w:r>
              <w:rPr>
                <w:rFonts w:ascii="宋体" w:hAnsi="宋体" w:eastAsia="宋体"/>
                <w:sz w:val="16"/>
              </w:rPr>
              <w:t>56.87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4104E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B649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B89CDE">
            <w:pPr>
              <w:jc w:val="center"/>
            </w:pPr>
            <w:r>
              <w:rPr>
                <w:rFonts w:ascii="宋体" w:hAnsi="宋体" w:eastAsia="宋体"/>
                <w:sz w:val="16"/>
              </w:rPr>
              <w:t>—</w:t>
            </w:r>
          </w:p>
        </w:tc>
      </w:tr>
      <w:tr w14:paraId="5472CAD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984917">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CA5324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2CF531">
            <w:pPr>
              <w:jc w:val="center"/>
            </w:pPr>
            <w:r>
              <w:rPr>
                <w:rFonts w:ascii="宋体" w:hAnsi="宋体" w:eastAsia="宋体"/>
                <w:sz w:val="16"/>
              </w:rPr>
              <w:t>实际完成情况</w:t>
            </w:r>
          </w:p>
        </w:tc>
      </w:tr>
      <w:tr w14:paraId="68C807D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2A8B10"/>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7511D6B">
            <w:pPr>
              <w:jc w:val="both"/>
            </w:pPr>
            <w:r>
              <w:rPr>
                <w:rFonts w:ascii="宋体" w:hAnsi="宋体" w:eastAsia="宋体"/>
                <w:sz w:val="16"/>
              </w:rPr>
              <w:t>本项目依据关于解决职工食堂2024年员工工资的请示，民财存</w:t>
            </w:r>
            <w:r>
              <w:rPr>
                <w:rFonts w:hint="eastAsia" w:ascii="宋体" w:hAnsi="宋体"/>
                <w:sz w:val="16"/>
                <w:lang w:eastAsia="zh-CN"/>
              </w:rPr>
              <w:t>〔2023〕11号</w:t>
            </w:r>
            <w:r>
              <w:rPr>
                <w:rFonts w:ascii="宋体" w:hAnsi="宋体" w:eastAsia="宋体"/>
                <w:sz w:val="16"/>
              </w:rPr>
              <w:t>实施。职工食堂2024年1月</w:t>
            </w:r>
            <w:r>
              <w:rPr>
                <w:rFonts w:hint="eastAsia" w:ascii="宋体" w:hAnsi="宋体"/>
                <w:sz w:val="16"/>
                <w:lang w:eastAsia="zh-CN"/>
              </w:rPr>
              <w:t>—</w:t>
            </w:r>
            <w:r>
              <w:rPr>
                <w:rFonts w:ascii="宋体" w:hAnsi="宋体" w:eastAsia="宋体"/>
                <w:sz w:val="16"/>
              </w:rPr>
              <w:t>12月员工工资，员工人数五人，每月五万工资，支付12个月。通过项目的实施，有效逐步提升职工食堂高质量水平，保障食堂正常运转。</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54AE9B">
            <w:pPr>
              <w:jc w:val="both"/>
            </w:pPr>
            <w:r>
              <w:rPr>
                <w:rFonts w:ascii="宋体" w:hAnsi="宋体" w:eastAsia="宋体"/>
                <w:sz w:val="16"/>
              </w:rPr>
              <w:t>已完成职工食堂2024年1月</w:t>
            </w:r>
            <w:r>
              <w:rPr>
                <w:rFonts w:hint="eastAsia" w:ascii="宋体" w:hAnsi="宋体"/>
                <w:sz w:val="16"/>
                <w:lang w:eastAsia="zh-CN"/>
              </w:rPr>
              <w:t>—</w:t>
            </w:r>
            <w:r>
              <w:rPr>
                <w:rFonts w:ascii="宋体" w:hAnsi="宋体" w:eastAsia="宋体"/>
                <w:sz w:val="16"/>
              </w:rPr>
              <w:t>12月员工工资，员工人数五人，每月五万工资，支付12个月。通过项目的实施，有效逐步提升职工食堂高质量水平，保障食堂正常运转。</w:t>
            </w:r>
          </w:p>
        </w:tc>
      </w:tr>
      <w:tr w14:paraId="265A746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D9F875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759F0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863D24">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D8DDF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39E208">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BA75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37B9C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4BF559">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179A31">
            <w:pPr>
              <w:jc w:val="center"/>
            </w:pPr>
            <w:r>
              <w:rPr>
                <w:rFonts w:ascii="宋体" w:hAnsi="宋体" w:eastAsia="宋体"/>
                <w:sz w:val="16"/>
              </w:rPr>
              <w:t>偏差原因分析及改进措施</w:t>
            </w:r>
          </w:p>
        </w:tc>
      </w:tr>
      <w:tr w14:paraId="7E10E6D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984CCD">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18449C">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FA543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176987">
            <w:pPr>
              <w:jc w:val="center"/>
            </w:pPr>
            <w:r>
              <w:rPr>
                <w:rFonts w:ascii="宋体" w:hAnsi="宋体" w:eastAsia="宋体"/>
                <w:sz w:val="16"/>
              </w:rPr>
              <w:t>职工食堂工作人员数量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E3354B">
            <w:pPr>
              <w:jc w:val="center"/>
            </w:pPr>
            <w:r>
              <w:rPr>
                <w:rFonts w:ascii="宋体" w:hAnsi="宋体" w:eastAsia="宋体"/>
                <w:sz w:val="16"/>
              </w:rPr>
              <w:t>&gt;=5人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B0DFF">
            <w:pPr>
              <w:jc w:val="center"/>
            </w:pPr>
            <w:r>
              <w:rPr>
                <w:rFonts w:ascii="宋体" w:hAnsi="宋体" w:eastAsia="宋体"/>
                <w:sz w:val="16"/>
              </w:rPr>
              <w:t>=5人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867F8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E9E76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BC55C">
            <w:pPr>
              <w:jc w:val="center"/>
            </w:pPr>
          </w:p>
        </w:tc>
      </w:tr>
      <w:tr w14:paraId="03DFD5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13015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D9F6C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40C03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529E68">
            <w:pPr>
              <w:jc w:val="center"/>
            </w:pPr>
            <w:r>
              <w:rPr>
                <w:rFonts w:ascii="宋体" w:hAnsi="宋体" w:eastAsia="宋体"/>
                <w:sz w:val="16"/>
              </w:rPr>
              <w:t>保障职工食堂运转期限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C75BDD">
            <w:pPr>
              <w:jc w:val="center"/>
            </w:pPr>
            <w:r>
              <w:rPr>
                <w:rFonts w:ascii="宋体" w:hAnsi="宋体" w:eastAsia="宋体"/>
                <w:sz w:val="16"/>
              </w:rPr>
              <w:t>=12月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88223C">
            <w:pPr>
              <w:jc w:val="center"/>
            </w:pPr>
            <w:r>
              <w:rPr>
                <w:rFonts w:ascii="宋体" w:hAnsi="宋体" w:eastAsia="宋体"/>
                <w:sz w:val="16"/>
              </w:rPr>
              <w:t>=12月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EBD39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AA0E60">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DE4975">
            <w:pPr>
              <w:jc w:val="center"/>
            </w:pPr>
          </w:p>
        </w:tc>
      </w:tr>
      <w:tr w14:paraId="21ABE0A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45A0D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66A03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F8C3A1">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442837">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7320D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B9FE5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53106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570736">
            <w:pPr>
              <w:jc w:val="center"/>
            </w:pPr>
            <w:r>
              <w:rPr>
                <w:rFonts w:ascii="宋体" w:hAnsi="宋体" w:eastAsia="宋体"/>
                <w:sz w:val="16"/>
              </w:rPr>
              <w:t>6.96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E86033">
            <w:pPr>
              <w:jc w:val="center"/>
            </w:pPr>
            <w:r>
              <w:rPr>
                <w:rFonts w:ascii="宋体" w:hAnsi="宋体" w:eastAsia="宋体"/>
                <w:sz w:val="16"/>
              </w:rPr>
              <w:t>偏差原因：年中有人要调入调出，导致工资有变动，改进措施：后期精准年初计划。</w:t>
            </w:r>
          </w:p>
        </w:tc>
      </w:tr>
      <w:tr w14:paraId="3C17C8B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07186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616EF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83BDB3">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418ACF">
            <w:pPr>
              <w:jc w:val="center"/>
            </w:pPr>
            <w:r>
              <w:rPr>
                <w:rFonts w:ascii="宋体" w:hAnsi="宋体" w:eastAsia="宋体"/>
                <w:sz w:val="16"/>
              </w:rPr>
              <w:t>工资发放及时率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E09F7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5C87A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1546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E242DC">
            <w:pPr>
              <w:jc w:val="center"/>
            </w:pPr>
            <w:r>
              <w:rPr>
                <w:rFonts w:ascii="宋体" w:hAnsi="宋体" w:eastAsia="宋体"/>
                <w:sz w:val="16"/>
              </w:rPr>
              <w:t>6.96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60028F">
            <w:pPr>
              <w:jc w:val="center"/>
            </w:pPr>
            <w:r>
              <w:rPr>
                <w:rFonts w:ascii="宋体" w:hAnsi="宋体" w:eastAsia="宋体"/>
                <w:sz w:val="16"/>
              </w:rPr>
              <w:t>偏差原因：年中有人要调入调出，导致工资有变动，改进措施：后期精准年初计划。</w:t>
            </w:r>
          </w:p>
        </w:tc>
      </w:tr>
      <w:tr w14:paraId="364FE7F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B98D8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3D802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A93C9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436C13">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93CA0">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D040A">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7334A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8BDF1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8F3C6F">
            <w:pPr>
              <w:jc w:val="center"/>
            </w:pPr>
          </w:p>
        </w:tc>
      </w:tr>
      <w:tr w14:paraId="3BF978A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1752A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9AEDA3">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E9C37">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904877">
            <w:pPr>
              <w:jc w:val="center"/>
            </w:pPr>
            <w:r>
              <w:rPr>
                <w:rFonts w:ascii="宋体" w:hAnsi="宋体" w:eastAsia="宋体"/>
                <w:sz w:val="16"/>
              </w:rPr>
              <w:t>职工工资发放标准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69CFD9">
            <w:pPr>
              <w:jc w:val="center"/>
            </w:pPr>
            <w:r>
              <w:rPr>
                <w:rFonts w:ascii="宋体" w:hAnsi="宋体" w:eastAsia="宋体"/>
                <w:sz w:val="16"/>
              </w:rPr>
              <w:t>&lt;=9478.33元/月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F87922">
            <w:pPr>
              <w:jc w:val="center"/>
            </w:pPr>
            <w:r>
              <w:rPr>
                <w:rFonts w:ascii="宋体" w:hAnsi="宋体" w:eastAsia="宋体"/>
                <w:sz w:val="16"/>
              </w:rPr>
              <w:t>=9478.33元/月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F4AD0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6CBFC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52037F">
            <w:pPr>
              <w:jc w:val="center"/>
            </w:pPr>
          </w:p>
        </w:tc>
      </w:tr>
      <w:tr w14:paraId="07F8F17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FD223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7D568A">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91935">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DF865F">
            <w:pPr>
              <w:jc w:val="center"/>
            </w:pPr>
            <w:r>
              <w:rPr>
                <w:rFonts w:ascii="宋体" w:hAnsi="宋体" w:eastAsia="宋体"/>
                <w:sz w:val="16"/>
              </w:rPr>
              <w:t>保障食堂正常运转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AA51E1">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4EDB4A">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C25B5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2374D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9AF5E4">
            <w:pPr>
              <w:jc w:val="center"/>
            </w:pPr>
          </w:p>
        </w:tc>
      </w:tr>
      <w:tr w14:paraId="44BFE63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00602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EA380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0A1BC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877225">
            <w:pPr>
              <w:jc w:val="center"/>
            </w:pPr>
            <w:r>
              <w:rPr>
                <w:rFonts w:ascii="宋体" w:hAnsi="宋体" w:eastAsia="宋体"/>
                <w:sz w:val="16"/>
              </w:rPr>
              <w:t>单位职工满意度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DE6A94">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9A2D0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F6281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EA0F6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CC3073">
            <w:pPr>
              <w:jc w:val="center"/>
            </w:pPr>
          </w:p>
        </w:tc>
      </w:tr>
      <w:tr w14:paraId="6AA3DEC8">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2ADC64">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5CD441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6E1EC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A065B5">
            <w:pPr>
              <w:jc w:val="center"/>
            </w:pPr>
            <w:r>
              <w:rPr>
                <w:rFonts w:ascii="宋体" w:hAnsi="宋体" w:eastAsia="宋体"/>
                <w:sz w:val="16"/>
              </w:rPr>
              <w:t>96.62分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A9D42AE"/>
        </w:tc>
      </w:tr>
    </w:tbl>
    <w:p w14:paraId="0E7C360F">
      <w:r>
        <w:br w:type="page"/>
      </w:r>
    </w:p>
    <w:p w14:paraId="27C22332">
      <w:pPr>
        <w:spacing w:line="640" w:lineRule="exact"/>
        <w:ind w:firstLine="640"/>
        <w:jc w:val="both"/>
        <w:outlineLvl w:val="2"/>
      </w:pPr>
      <w:r>
        <w:rPr>
          <w:rFonts w:ascii="黑体" w:hAnsi="黑体" w:eastAsia="黑体"/>
          <w:sz w:val="32"/>
        </w:rPr>
        <w:t>十二、其他需说明的事项</w:t>
      </w:r>
    </w:p>
    <w:p w14:paraId="28118E8B">
      <w:pPr>
        <w:spacing w:line="580" w:lineRule="exact"/>
        <w:ind w:firstLine="640"/>
        <w:jc w:val="both"/>
      </w:pPr>
      <w:r>
        <w:rPr>
          <w:rFonts w:ascii="仿宋_GB2312" w:hAnsi="仿宋_GB2312" w:eastAsia="仿宋_GB2312"/>
          <w:b w:val="0"/>
          <w:sz w:val="32"/>
        </w:rPr>
        <w:t>本单位无其他需说明的事项。</w:t>
      </w:r>
    </w:p>
    <w:p w14:paraId="36BC47CA">
      <w:r>
        <w:br w:type="page"/>
      </w:r>
    </w:p>
    <w:p w14:paraId="69B5568B">
      <w:pPr>
        <w:spacing w:line="240" w:lineRule="auto"/>
        <w:jc w:val="center"/>
        <w:outlineLvl w:val="1"/>
      </w:pPr>
      <w:r>
        <w:rPr>
          <w:rFonts w:ascii="黑体" w:hAnsi="黑体" w:eastAsia="黑体"/>
          <w:sz w:val="32"/>
        </w:rPr>
        <w:t>第三部分 专业名词解释</w:t>
      </w:r>
    </w:p>
    <w:p w14:paraId="042738C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BB4371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BD6697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566BD9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DB500A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5D87C1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69AD7D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2BCC23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ADCD11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8AA191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62488E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3244C8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8AA72C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1413F8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F8C57E8">
      <w:r>
        <w:br w:type="page"/>
      </w:r>
    </w:p>
    <w:p w14:paraId="646C919D">
      <w:pPr>
        <w:spacing w:line="240" w:lineRule="auto"/>
        <w:jc w:val="center"/>
        <w:outlineLvl w:val="1"/>
      </w:pPr>
      <w:r>
        <w:rPr>
          <w:rFonts w:ascii="黑体" w:hAnsi="黑体" w:eastAsia="黑体"/>
          <w:sz w:val="32"/>
        </w:rPr>
        <w:t>第四部分 部门决算报表（见附表）</w:t>
      </w:r>
    </w:p>
    <w:p w14:paraId="6F7F57CC">
      <w:pPr>
        <w:spacing w:line="240" w:lineRule="auto"/>
        <w:ind w:firstLine="640"/>
        <w:jc w:val="both"/>
      </w:pPr>
      <w:r>
        <w:rPr>
          <w:rFonts w:ascii="仿宋_GB2312" w:hAnsi="仿宋_GB2312" w:eastAsia="仿宋_GB2312"/>
          <w:b w:val="0"/>
          <w:sz w:val="32"/>
        </w:rPr>
        <w:t>一、《收入支出决算总表》</w:t>
      </w:r>
    </w:p>
    <w:p w14:paraId="7202C412">
      <w:pPr>
        <w:spacing w:line="240" w:lineRule="auto"/>
        <w:ind w:firstLine="640"/>
        <w:jc w:val="both"/>
      </w:pPr>
      <w:r>
        <w:rPr>
          <w:rFonts w:ascii="仿宋_GB2312" w:hAnsi="仿宋_GB2312" w:eastAsia="仿宋_GB2312"/>
          <w:b w:val="0"/>
          <w:sz w:val="32"/>
        </w:rPr>
        <w:t>二、《收入决算表》</w:t>
      </w:r>
    </w:p>
    <w:p w14:paraId="33E97FD1">
      <w:pPr>
        <w:spacing w:line="240" w:lineRule="auto"/>
        <w:ind w:firstLine="640"/>
        <w:jc w:val="both"/>
      </w:pPr>
      <w:r>
        <w:rPr>
          <w:rFonts w:ascii="仿宋_GB2312" w:hAnsi="仿宋_GB2312" w:eastAsia="仿宋_GB2312"/>
          <w:b w:val="0"/>
          <w:sz w:val="32"/>
        </w:rPr>
        <w:t>三、《支出决算表》</w:t>
      </w:r>
    </w:p>
    <w:p w14:paraId="14851078">
      <w:pPr>
        <w:spacing w:line="240" w:lineRule="auto"/>
        <w:ind w:firstLine="640"/>
        <w:jc w:val="both"/>
      </w:pPr>
      <w:r>
        <w:rPr>
          <w:rFonts w:ascii="仿宋_GB2312" w:hAnsi="仿宋_GB2312" w:eastAsia="仿宋_GB2312"/>
          <w:b w:val="0"/>
          <w:sz w:val="32"/>
        </w:rPr>
        <w:t>四、《财政拨款收入支出决算总表》</w:t>
      </w:r>
    </w:p>
    <w:p w14:paraId="7E5A6219">
      <w:pPr>
        <w:spacing w:line="240" w:lineRule="auto"/>
        <w:ind w:firstLine="640"/>
        <w:jc w:val="both"/>
      </w:pPr>
      <w:r>
        <w:rPr>
          <w:rFonts w:ascii="仿宋_GB2312" w:hAnsi="仿宋_GB2312" w:eastAsia="仿宋_GB2312"/>
          <w:b w:val="0"/>
          <w:sz w:val="32"/>
        </w:rPr>
        <w:t>五、《一般公共预算财政拨款支出决算表》</w:t>
      </w:r>
    </w:p>
    <w:p w14:paraId="7DBDB445">
      <w:pPr>
        <w:spacing w:line="240" w:lineRule="auto"/>
        <w:ind w:firstLine="640"/>
        <w:jc w:val="both"/>
      </w:pPr>
      <w:r>
        <w:rPr>
          <w:rFonts w:ascii="仿宋_GB2312" w:hAnsi="仿宋_GB2312" w:eastAsia="仿宋_GB2312"/>
          <w:b w:val="0"/>
          <w:sz w:val="32"/>
        </w:rPr>
        <w:t>六、《一般公共预算财政拨款基本支出决算表》</w:t>
      </w:r>
    </w:p>
    <w:p w14:paraId="47F2FFBB">
      <w:pPr>
        <w:spacing w:line="240" w:lineRule="auto"/>
        <w:ind w:firstLine="640"/>
        <w:jc w:val="both"/>
      </w:pPr>
      <w:r>
        <w:rPr>
          <w:rFonts w:ascii="仿宋_GB2312" w:hAnsi="仿宋_GB2312" w:eastAsia="仿宋_GB2312"/>
          <w:b w:val="0"/>
          <w:sz w:val="32"/>
        </w:rPr>
        <w:t>七、《政府性基金预算财政拨款收入支出决算表》</w:t>
      </w:r>
    </w:p>
    <w:p w14:paraId="7F63F64D">
      <w:pPr>
        <w:spacing w:line="240" w:lineRule="auto"/>
        <w:ind w:firstLine="640"/>
        <w:jc w:val="both"/>
      </w:pPr>
      <w:r>
        <w:rPr>
          <w:rFonts w:ascii="仿宋_GB2312" w:hAnsi="仿宋_GB2312" w:eastAsia="仿宋_GB2312"/>
          <w:b w:val="0"/>
          <w:sz w:val="32"/>
        </w:rPr>
        <w:t>八、《国有资本经营预算财政拨款收入支出决算表》</w:t>
      </w:r>
    </w:p>
    <w:p w14:paraId="3DB12823">
      <w:pPr>
        <w:spacing w:line="240" w:lineRule="auto"/>
        <w:ind w:firstLine="640"/>
        <w:jc w:val="both"/>
      </w:pPr>
      <w:r>
        <w:rPr>
          <w:rFonts w:ascii="仿宋_GB2312" w:hAnsi="仿宋_GB2312" w:eastAsia="仿宋_GB2312"/>
          <w:b w:val="0"/>
          <w:sz w:val="32"/>
        </w:rPr>
        <w:t>九、《财政拨款“三公”经费支出决算表》</w:t>
      </w:r>
    </w:p>
    <w:p w14:paraId="2AC8CB80">
      <w:pPr>
        <w:spacing w:line="240" w:lineRule="auto"/>
        <w:ind w:firstLine="640"/>
        <w:jc w:val="both"/>
      </w:pPr>
    </w:p>
    <w:p w14:paraId="737CF497">
      <w:pPr>
        <w:spacing w:line="240" w:lineRule="auto"/>
        <w:ind w:firstLine="640"/>
        <w:jc w:val="both"/>
      </w:pPr>
    </w:p>
    <w:p w14:paraId="4F7E1EE1">
      <w:pPr>
        <w:spacing w:line="240" w:lineRule="auto"/>
        <w:ind w:firstLine="640"/>
        <w:jc w:val="both"/>
      </w:pPr>
    </w:p>
    <w:p w14:paraId="69C738D6">
      <w:pPr>
        <w:spacing w:line="240" w:lineRule="auto"/>
        <w:ind w:firstLine="640"/>
        <w:jc w:val="both"/>
      </w:pPr>
    </w:p>
    <w:p w14:paraId="69A22C2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3B59F7F-2899-42BC-A9AB-52F9CF91C1D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A77D60A1-D117-4533-919C-3FA04DEFA382}"/>
  </w:font>
  <w:font w:name="仿宋_GB2312">
    <w:panose1 w:val="02010609030101010101"/>
    <w:charset w:val="86"/>
    <w:family w:val="modern"/>
    <w:pitch w:val="default"/>
    <w:sig w:usb0="00000001" w:usb1="080E0000" w:usb2="00000000" w:usb3="00000000" w:csb0="00040000" w:csb1="00000000"/>
    <w:embedRegular r:id="rId3" w:fontKey="{AA3B5ECB-968B-44A3-B9EC-94867C96322C}"/>
  </w:font>
  <w:font w:name="楷体_GB2312">
    <w:panose1 w:val="02010609030101010101"/>
    <w:charset w:val="86"/>
    <w:family w:val="auto"/>
    <w:pitch w:val="default"/>
    <w:sig w:usb0="00000001" w:usb1="080E0000" w:usb2="00000000" w:usb3="00000000" w:csb0="00040000" w:csb1="00000000"/>
    <w:embedRegular r:id="rId4" w:fontKey="{7F04430A-8A52-4956-B749-D0E7EDB38BB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0011691"/>
    <w:rsid w:val="11E15093"/>
    <w:rsid w:val="120E0809"/>
    <w:rsid w:val="137A7981"/>
    <w:rsid w:val="156E3268"/>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E5F1662"/>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6314</Words>
  <Characters>7225</Characters>
  <Lines>0</Lines>
  <Paragraphs>0</Paragraphs>
  <TotalTime>6</TotalTime>
  <ScaleCrop>false</ScaleCrop>
  <LinksUpToDate>false</LinksUpToDate>
  <CharactersWithSpaces>7233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2025-09-25T03:52:29Z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eyJoZGlkIjoiYjM4NWYyMWE2NWU1OGNiMmIxMmZkYzA5MWEwNzJlZmIiLCJ1c2VySWQiOiI0MzE2NzY3NzkifQ==</vt:lpwstr>
  </property>
</Properties>
</file>