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D2BD62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民丰县人民代表大会常务委员会办公室</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A40332">
      <w:r>
        <w:br w:type="page"/>
      </w:r>
    </w:p>
    <w:p w14:paraId="2D2163AA">
      <w:pPr>
        <w:spacing w:line="640" w:lineRule="exact"/>
        <w:jc w:val="center"/>
        <w:outlineLvl w:val="1"/>
      </w:pPr>
      <w:r>
        <w:rPr>
          <w:rFonts w:ascii="黑体" w:hAnsi="黑体" w:eastAsia="黑体"/>
          <w:sz w:val="32"/>
        </w:rPr>
        <w:t>第一部分 单位概况</w:t>
      </w:r>
    </w:p>
    <w:p w14:paraId="573386CC">
      <w:pPr>
        <w:spacing w:line="640" w:lineRule="exact"/>
        <w:ind w:firstLine="640"/>
        <w:jc w:val="both"/>
        <w:outlineLvl w:val="2"/>
      </w:pPr>
      <w:r>
        <w:rPr>
          <w:rFonts w:ascii="黑体" w:hAnsi="黑体" w:eastAsia="黑体"/>
          <w:sz w:val="32"/>
        </w:rPr>
        <w:t>一、主要职能</w:t>
      </w:r>
    </w:p>
    <w:p w14:paraId="4C94B4CA">
      <w:pPr>
        <w:spacing w:line="580" w:lineRule="exact"/>
        <w:ind w:firstLine="640"/>
        <w:jc w:val="both"/>
      </w:pPr>
      <w:r>
        <w:rPr>
          <w:rFonts w:ascii="仿宋_GB2312" w:hAnsi="仿宋_GB2312" w:eastAsia="仿宋_GB2312"/>
          <w:sz w:val="32"/>
        </w:rPr>
        <w:t>1.地方各级人民代表大会在本行政区域内，保证宪法、法律、行政法规的遵守和执行；依照法律规定的权限，通过和发布决议，审查和决定地方的经济建设、文化建设和公共事业建设的计划。</w:t>
      </w:r>
    </w:p>
    <w:p w14:paraId="17868DE4">
      <w:pPr>
        <w:spacing w:line="580" w:lineRule="exact"/>
        <w:ind w:firstLine="640"/>
        <w:jc w:val="both"/>
      </w:pPr>
      <w:r>
        <w:rPr>
          <w:rFonts w:ascii="仿宋_GB2312" w:hAnsi="仿宋_GB2312" w:eastAsia="仿宋_GB2312"/>
          <w:sz w:val="32"/>
        </w:rPr>
        <w:t>2.县级以上的地方各级人民代表大会审查和批准本行政区域内的国民经济和社会发展计划、预算以及它们的执行情况的报告。</w:t>
      </w:r>
    </w:p>
    <w:p w14:paraId="55454B1A">
      <w:pPr>
        <w:spacing w:line="580" w:lineRule="exact"/>
        <w:ind w:firstLine="640"/>
        <w:jc w:val="both"/>
      </w:pPr>
      <w:r>
        <w:rPr>
          <w:rFonts w:ascii="仿宋_GB2312" w:hAnsi="仿宋_GB2312" w:eastAsia="仿宋_GB2312"/>
          <w:sz w:val="32"/>
        </w:rPr>
        <w:t>3.有权改变或者撤销本级人民代表大会常务委员会不适当的决定。</w:t>
      </w:r>
    </w:p>
    <w:p w14:paraId="524B5EB7">
      <w:pPr>
        <w:spacing w:line="580" w:lineRule="exact"/>
        <w:ind w:firstLine="640"/>
        <w:jc w:val="both"/>
      </w:pPr>
      <w:r>
        <w:rPr>
          <w:rFonts w:ascii="仿宋_GB2312" w:hAnsi="仿宋_GB2312" w:eastAsia="仿宋_GB2312"/>
          <w:sz w:val="32"/>
        </w:rPr>
        <w:t>4.选举</w:t>
      </w:r>
      <w:r>
        <w:rPr>
          <w:rFonts w:hint="eastAsia" w:ascii="仿宋_GB2312" w:hAnsi="仿宋_GB2312" w:eastAsia="仿宋_GB2312"/>
          <w:sz w:val="32"/>
          <w:lang w:eastAsia="zh-CN"/>
        </w:rPr>
        <w:t>并</w:t>
      </w:r>
      <w:r>
        <w:rPr>
          <w:rFonts w:ascii="仿宋_GB2312" w:hAnsi="仿宋_GB2312" w:eastAsia="仿宋_GB2312"/>
          <w:sz w:val="32"/>
        </w:rPr>
        <w:t>有权罢免本级人民政府的县长和副县长。</w:t>
      </w:r>
    </w:p>
    <w:p w14:paraId="22115E10">
      <w:pPr>
        <w:spacing w:line="580" w:lineRule="exact"/>
        <w:ind w:firstLine="640"/>
        <w:jc w:val="both"/>
      </w:pPr>
      <w:r>
        <w:rPr>
          <w:rFonts w:ascii="仿宋_GB2312" w:hAnsi="仿宋_GB2312" w:eastAsia="仿宋_GB2312"/>
          <w:sz w:val="32"/>
        </w:rPr>
        <w:t>5.选举</w:t>
      </w:r>
      <w:r>
        <w:rPr>
          <w:rFonts w:hint="eastAsia" w:ascii="仿宋_GB2312" w:hAnsi="仿宋_GB2312" w:eastAsia="仿宋_GB2312"/>
          <w:sz w:val="32"/>
          <w:lang w:eastAsia="zh-CN"/>
        </w:rPr>
        <w:t>并</w:t>
      </w:r>
      <w:r>
        <w:rPr>
          <w:rFonts w:ascii="仿宋_GB2312" w:hAnsi="仿宋_GB2312" w:eastAsia="仿宋_GB2312"/>
          <w:sz w:val="32"/>
        </w:rPr>
        <w:t>有权罢免本级人民法院院长和本级人民检察院检察长。选出或者罢免人民检察院检察长，须报上级人民检察院检察长提请该级人民代表大会常务委员会批准。</w:t>
      </w:r>
    </w:p>
    <w:p w14:paraId="4201AE2B">
      <w:pPr>
        <w:spacing w:line="640" w:lineRule="exact"/>
        <w:ind w:firstLine="640"/>
        <w:jc w:val="both"/>
        <w:outlineLvl w:val="2"/>
      </w:pPr>
      <w:r>
        <w:rPr>
          <w:rFonts w:ascii="黑体" w:hAnsi="黑体" w:eastAsia="黑体"/>
          <w:sz w:val="32"/>
        </w:rPr>
        <w:t>二、机构设置及人员情况</w:t>
      </w:r>
    </w:p>
    <w:p w14:paraId="702B29D1">
      <w:pPr>
        <w:spacing w:line="580" w:lineRule="exact"/>
        <w:ind w:firstLine="640"/>
        <w:jc w:val="both"/>
      </w:pPr>
      <w:r>
        <w:rPr>
          <w:rFonts w:ascii="仿宋_GB2312" w:hAnsi="仿宋_GB2312" w:eastAsia="仿宋_GB2312"/>
          <w:sz w:val="32"/>
        </w:rPr>
        <w:t>民丰县人民代表大会常务委员会办公室2024年度，实有人数32人，其中：在职人员16人，减少1人；离休人员0人，增加0人；退休人员16人,增加0人。</w:t>
      </w:r>
    </w:p>
    <w:p w14:paraId="6ED3E1E5">
      <w:pPr>
        <w:spacing w:line="580" w:lineRule="exact"/>
        <w:ind w:firstLine="640"/>
        <w:jc w:val="both"/>
      </w:pPr>
      <w:r>
        <w:rPr>
          <w:rFonts w:ascii="仿宋_GB2312" w:hAnsi="仿宋_GB2312" w:eastAsia="仿宋_GB2312"/>
          <w:sz w:val="32"/>
        </w:rPr>
        <w:t>民丰县人民代表大会常务委员会办公室无下属预算单位，下设5个科室，分别是：办公室、财务室、财政预算联网监督中心、法制委、代表人事委。</w:t>
      </w:r>
    </w:p>
    <w:p w14:paraId="45EE0668">
      <w:r>
        <w:br w:type="page"/>
      </w:r>
    </w:p>
    <w:p w14:paraId="5C8F9DA6">
      <w:pPr>
        <w:spacing w:line="240" w:lineRule="auto"/>
        <w:jc w:val="center"/>
        <w:outlineLvl w:val="1"/>
      </w:pPr>
      <w:r>
        <w:rPr>
          <w:rFonts w:ascii="黑体" w:hAnsi="黑体" w:eastAsia="黑体"/>
          <w:sz w:val="32"/>
        </w:rPr>
        <w:t>第二部分 部门决算情况说明</w:t>
      </w:r>
    </w:p>
    <w:p w14:paraId="7F6B93F9">
      <w:pPr>
        <w:spacing w:line="640" w:lineRule="exact"/>
        <w:ind w:firstLine="640"/>
        <w:jc w:val="both"/>
        <w:outlineLvl w:val="2"/>
      </w:pPr>
      <w:r>
        <w:rPr>
          <w:rFonts w:ascii="黑体" w:hAnsi="黑体" w:eastAsia="黑体"/>
          <w:sz w:val="32"/>
        </w:rPr>
        <w:t>一、收入支出决算总体情况说明</w:t>
      </w:r>
    </w:p>
    <w:p w14:paraId="3CAF6D18">
      <w:pPr>
        <w:spacing w:line="580" w:lineRule="exact"/>
        <w:ind w:firstLine="640"/>
        <w:jc w:val="both"/>
      </w:pPr>
      <w:r>
        <w:rPr>
          <w:rFonts w:ascii="仿宋_GB2312" w:hAnsi="仿宋_GB2312" w:eastAsia="仿宋_GB2312"/>
          <w:b/>
          <w:sz w:val="32"/>
        </w:rPr>
        <w:t>2024年度收入总计572.35万元，</w:t>
      </w:r>
      <w:r>
        <w:rPr>
          <w:rFonts w:ascii="仿宋_GB2312" w:hAnsi="仿宋_GB2312" w:eastAsia="仿宋_GB2312"/>
          <w:b w:val="0"/>
          <w:sz w:val="32"/>
        </w:rPr>
        <w:t>其中：本年收入合计572.35万元，使用非财政拨款结余（含专用结余）0.00万元，年初结转和结余0.00万元。</w:t>
      </w:r>
    </w:p>
    <w:p w14:paraId="281ADF6F">
      <w:pPr>
        <w:spacing w:line="580" w:lineRule="exact"/>
        <w:ind w:firstLine="640"/>
        <w:jc w:val="both"/>
      </w:pPr>
      <w:r>
        <w:rPr>
          <w:rFonts w:ascii="仿宋_GB2312" w:hAnsi="仿宋_GB2312" w:eastAsia="仿宋_GB2312"/>
          <w:b/>
          <w:sz w:val="32"/>
        </w:rPr>
        <w:t>2024年度支出总计572.35万元，</w:t>
      </w:r>
      <w:r>
        <w:rPr>
          <w:rFonts w:ascii="仿宋_GB2312" w:hAnsi="仿宋_GB2312" w:eastAsia="仿宋_GB2312"/>
          <w:b w:val="0"/>
          <w:sz w:val="32"/>
        </w:rPr>
        <w:t>其中：本年支出合计572.35万元，结余分配0.00万元，年末结转和结余0.00万元。</w:t>
      </w:r>
    </w:p>
    <w:p w14:paraId="15734773">
      <w:pPr>
        <w:spacing w:line="580" w:lineRule="exact"/>
        <w:ind w:firstLine="640"/>
        <w:jc w:val="both"/>
      </w:pPr>
      <w:r>
        <w:rPr>
          <w:rFonts w:ascii="仿宋_GB2312" w:hAnsi="仿宋_GB2312" w:eastAsia="仿宋_GB2312"/>
          <w:b w:val="0"/>
          <w:sz w:val="32"/>
        </w:rPr>
        <w:t>收入支出总体与上年相比，增加21.24万元，增长3.85%，主要原因是：本年在职人员工资调增、社保、公积金基数调增，人员经费增加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本年补缴退休人员职业年金。</w:t>
      </w:r>
    </w:p>
    <w:p w14:paraId="78450AC5">
      <w:pPr>
        <w:spacing w:line="640" w:lineRule="exact"/>
        <w:ind w:firstLine="640"/>
        <w:jc w:val="both"/>
        <w:outlineLvl w:val="2"/>
      </w:pPr>
      <w:r>
        <w:rPr>
          <w:rFonts w:ascii="黑体" w:hAnsi="黑体" w:eastAsia="黑体"/>
          <w:sz w:val="32"/>
        </w:rPr>
        <w:t>二、收入决算情况说明</w:t>
      </w:r>
    </w:p>
    <w:p w14:paraId="14A33DBD">
      <w:pPr>
        <w:spacing w:line="580" w:lineRule="exact"/>
        <w:ind w:firstLine="640"/>
        <w:jc w:val="both"/>
      </w:pPr>
      <w:r>
        <w:rPr>
          <w:rFonts w:ascii="仿宋_GB2312" w:hAnsi="仿宋_GB2312" w:eastAsia="仿宋_GB2312"/>
          <w:b/>
          <w:sz w:val="32"/>
        </w:rPr>
        <w:t>本年收入572.35万元，</w:t>
      </w:r>
      <w:r>
        <w:rPr>
          <w:rFonts w:ascii="仿宋_GB2312" w:hAnsi="仿宋_GB2312" w:eastAsia="仿宋_GB2312"/>
          <w:b w:val="0"/>
          <w:sz w:val="32"/>
        </w:rPr>
        <w:t>其中：财政拨款收入545.36万元，占95.28%；上级补助收入0.00万元，占0.00%；事业收入0.00万元，占0.00%；经营收入0.00万元，占0.00%；附属单位上缴收入0.00万元，占0.00%；其他收入26.99万元，占4.72%。</w:t>
      </w:r>
    </w:p>
    <w:p w14:paraId="66EA59F7">
      <w:pPr>
        <w:spacing w:line="640" w:lineRule="exact"/>
        <w:ind w:firstLine="640"/>
        <w:jc w:val="both"/>
        <w:outlineLvl w:val="2"/>
      </w:pPr>
      <w:r>
        <w:rPr>
          <w:rFonts w:ascii="黑体" w:hAnsi="黑体" w:eastAsia="黑体"/>
          <w:sz w:val="32"/>
        </w:rPr>
        <w:t>三、支出决算情况说明</w:t>
      </w:r>
    </w:p>
    <w:p w14:paraId="1C544BE8">
      <w:pPr>
        <w:spacing w:line="580" w:lineRule="exact"/>
        <w:ind w:firstLine="640"/>
        <w:jc w:val="both"/>
      </w:pPr>
      <w:r>
        <w:rPr>
          <w:rFonts w:ascii="仿宋_GB2312" w:hAnsi="仿宋_GB2312" w:eastAsia="仿宋_GB2312"/>
          <w:b/>
          <w:sz w:val="32"/>
        </w:rPr>
        <w:t>本年支出572.35万元，</w:t>
      </w:r>
      <w:r>
        <w:rPr>
          <w:rFonts w:ascii="仿宋_GB2312" w:hAnsi="仿宋_GB2312" w:eastAsia="仿宋_GB2312"/>
          <w:b w:val="0"/>
          <w:sz w:val="32"/>
        </w:rPr>
        <w:t>其中：基本支出564.43万元，占98.62%；项目支出7.92万元，占1.38%；上缴上级支出0.00万元，占0.00%；经营支出0.00万元，占0.00%；对附属单位补助支出0.00万元，占0.00%。</w:t>
      </w:r>
    </w:p>
    <w:p w14:paraId="3F77F874">
      <w:pPr>
        <w:spacing w:line="640" w:lineRule="exact"/>
        <w:ind w:firstLine="640"/>
        <w:jc w:val="both"/>
        <w:outlineLvl w:val="2"/>
      </w:pPr>
      <w:r>
        <w:rPr>
          <w:rFonts w:ascii="黑体" w:hAnsi="黑体" w:eastAsia="黑体"/>
          <w:sz w:val="32"/>
        </w:rPr>
        <w:t>四、财政拨款收入支出决算总体情况说明</w:t>
      </w:r>
    </w:p>
    <w:p w14:paraId="71D49607">
      <w:pPr>
        <w:spacing w:line="580" w:lineRule="exact"/>
        <w:ind w:firstLine="640"/>
        <w:jc w:val="both"/>
      </w:pPr>
      <w:r>
        <w:rPr>
          <w:rFonts w:ascii="仿宋_GB2312" w:hAnsi="仿宋_GB2312" w:eastAsia="仿宋_GB2312"/>
          <w:b/>
          <w:sz w:val="32"/>
        </w:rPr>
        <w:t>2024年度财政拨款收入总计545.36万元，</w:t>
      </w:r>
      <w:r>
        <w:rPr>
          <w:rFonts w:ascii="仿宋_GB2312" w:hAnsi="仿宋_GB2312" w:eastAsia="仿宋_GB2312"/>
          <w:b w:val="0"/>
          <w:sz w:val="32"/>
        </w:rPr>
        <w:t>其中：年初财政拨款结转和结余0.00万元，本年财政拨款收入545.36万元。</w:t>
      </w:r>
      <w:r>
        <w:rPr>
          <w:rFonts w:ascii="仿宋_GB2312" w:hAnsi="仿宋_GB2312" w:eastAsia="仿宋_GB2312"/>
          <w:b/>
          <w:sz w:val="32"/>
        </w:rPr>
        <w:t>财政拨款支出总计545.36万元，</w:t>
      </w:r>
      <w:r>
        <w:rPr>
          <w:rFonts w:ascii="仿宋_GB2312" w:hAnsi="仿宋_GB2312" w:eastAsia="仿宋_GB2312"/>
          <w:b w:val="0"/>
          <w:sz w:val="32"/>
        </w:rPr>
        <w:t>其中：年末财政拨款结转和结余0.00万元，本年财政拨款支出545.36万元。</w:t>
      </w:r>
    </w:p>
    <w:p w14:paraId="5B09028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增加58.20万元，增长11.95%，主要原因是：本年在职人员工资调增、社保、公积金基数调增，人员经费增加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本年补缴退休人员职业年金。</w:t>
      </w:r>
      <w:r>
        <w:rPr>
          <w:rFonts w:ascii="仿宋_GB2312" w:hAnsi="仿宋_GB2312" w:eastAsia="仿宋_GB2312"/>
          <w:b/>
          <w:sz w:val="32"/>
        </w:rPr>
        <w:t>与年初预算相比，</w:t>
      </w:r>
      <w:r>
        <w:rPr>
          <w:rFonts w:ascii="仿宋_GB2312" w:hAnsi="仿宋_GB2312" w:eastAsia="仿宋_GB2312"/>
          <w:b w:val="0"/>
          <w:sz w:val="32"/>
        </w:rPr>
        <w:t>年初预算数511.09万元，决算数545.36万元，预决算差异率6.71%，主要原因是：年中追加人员工资、社保、公积金基数调增部分资金，导致预决算存在差异。</w:t>
      </w:r>
    </w:p>
    <w:p w14:paraId="54DDB450">
      <w:pPr>
        <w:spacing w:line="640" w:lineRule="exact"/>
        <w:ind w:firstLine="640"/>
        <w:jc w:val="both"/>
        <w:outlineLvl w:val="2"/>
      </w:pPr>
      <w:r>
        <w:rPr>
          <w:rFonts w:ascii="黑体" w:hAnsi="黑体" w:eastAsia="黑体"/>
          <w:sz w:val="32"/>
        </w:rPr>
        <w:t>五、一般公共预算财政拨款支出决算情况说明</w:t>
      </w:r>
    </w:p>
    <w:p w14:paraId="591C4C3D">
      <w:pPr>
        <w:spacing w:line="640" w:lineRule="exact"/>
        <w:ind w:firstLine="640"/>
        <w:jc w:val="both"/>
        <w:outlineLvl w:val="3"/>
      </w:pPr>
      <w:r>
        <w:rPr>
          <w:rFonts w:ascii="楷体_GB2312" w:hAnsi="楷体_GB2312" w:eastAsia="楷体_GB2312"/>
          <w:b/>
          <w:sz w:val="32"/>
        </w:rPr>
        <w:t>（一）一般公共预算财政拨款支出决算总体情况</w:t>
      </w:r>
    </w:p>
    <w:p w14:paraId="2BB41BF9">
      <w:pPr>
        <w:spacing w:line="580" w:lineRule="exact"/>
        <w:ind w:firstLine="640"/>
        <w:jc w:val="both"/>
      </w:pPr>
      <w:r>
        <w:rPr>
          <w:rFonts w:ascii="仿宋_GB2312" w:hAnsi="仿宋_GB2312" w:eastAsia="仿宋_GB2312"/>
          <w:b/>
          <w:sz w:val="32"/>
        </w:rPr>
        <w:t>2024年度一般公共预算财政拨款支出545.36万元，</w:t>
      </w:r>
      <w:r>
        <w:rPr>
          <w:rFonts w:ascii="仿宋_GB2312" w:hAnsi="仿宋_GB2312" w:eastAsia="仿宋_GB2312"/>
          <w:b w:val="0"/>
          <w:sz w:val="32"/>
        </w:rPr>
        <w:t>占本年支出合计的95.28%。</w:t>
      </w:r>
      <w:r>
        <w:rPr>
          <w:rFonts w:ascii="仿宋_GB2312" w:hAnsi="仿宋_GB2312" w:eastAsia="仿宋_GB2312"/>
          <w:b/>
          <w:sz w:val="32"/>
        </w:rPr>
        <w:t>与上年相比，</w:t>
      </w:r>
      <w:r>
        <w:rPr>
          <w:rFonts w:ascii="仿宋_GB2312" w:hAnsi="仿宋_GB2312" w:eastAsia="仿宋_GB2312"/>
          <w:b w:val="0"/>
          <w:sz w:val="32"/>
        </w:rPr>
        <w:t>增加58.20万元，增长11.95%，主要原因是：本年在职人员工资调增、社保、公积金基数调增，人员经费增加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本年补缴退休人员职业年金。</w:t>
      </w:r>
      <w:r>
        <w:rPr>
          <w:rFonts w:ascii="仿宋_GB2312" w:hAnsi="仿宋_GB2312" w:eastAsia="仿宋_GB2312"/>
          <w:b/>
          <w:sz w:val="32"/>
        </w:rPr>
        <w:t>与年初预算相比,</w:t>
      </w:r>
      <w:r>
        <w:rPr>
          <w:rFonts w:ascii="仿宋_GB2312" w:hAnsi="仿宋_GB2312" w:eastAsia="仿宋_GB2312"/>
          <w:b w:val="0"/>
          <w:sz w:val="32"/>
        </w:rPr>
        <w:t>年初预算数511.09万元，决算数545.36万元，预决算差异率6.71%，主要原因是：年中追加人员工资、社保、公积金基数调增部分资金，导致预决算存在差异。</w:t>
      </w:r>
    </w:p>
    <w:p w14:paraId="54A51FAB">
      <w:pPr>
        <w:spacing w:line="640" w:lineRule="exact"/>
        <w:ind w:firstLine="640"/>
        <w:jc w:val="both"/>
        <w:outlineLvl w:val="3"/>
      </w:pPr>
      <w:r>
        <w:rPr>
          <w:rFonts w:ascii="楷体_GB2312" w:hAnsi="楷体_GB2312" w:eastAsia="楷体_GB2312"/>
          <w:b/>
          <w:sz w:val="32"/>
        </w:rPr>
        <w:t>（二）一般公共预算财政拨款支出决算结构情况</w:t>
      </w:r>
    </w:p>
    <w:p w14:paraId="307FBF0D">
      <w:pPr>
        <w:spacing w:line="580" w:lineRule="exact"/>
        <w:ind w:firstLine="640"/>
        <w:jc w:val="both"/>
      </w:pPr>
      <w:r>
        <w:rPr>
          <w:rFonts w:ascii="仿宋_GB2312" w:hAnsi="仿宋_GB2312" w:eastAsia="仿宋_GB2312"/>
          <w:b w:val="0"/>
          <w:sz w:val="32"/>
        </w:rPr>
        <w:t>1.一般公共服务支出(类)422.04万元,占77.39%。</w:t>
      </w:r>
    </w:p>
    <w:p w14:paraId="638E0203">
      <w:pPr>
        <w:spacing w:line="580" w:lineRule="exact"/>
        <w:ind w:firstLine="640"/>
        <w:jc w:val="both"/>
      </w:pPr>
      <w:r>
        <w:rPr>
          <w:rFonts w:ascii="仿宋_GB2312" w:hAnsi="仿宋_GB2312" w:eastAsia="仿宋_GB2312"/>
          <w:b w:val="0"/>
          <w:sz w:val="32"/>
        </w:rPr>
        <w:t>2.社会保障和就业支出(类)69.57万元,占12.76%。</w:t>
      </w:r>
    </w:p>
    <w:p w14:paraId="19722155">
      <w:pPr>
        <w:spacing w:line="580" w:lineRule="exact"/>
        <w:ind w:firstLine="640"/>
        <w:jc w:val="both"/>
      </w:pPr>
      <w:r>
        <w:rPr>
          <w:rFonts w:ascii="仿宋_GB2312" w:hAnsi="仿宋_GB2312" w:eastAsia="仿宋_GB2312"/>
          <w:b w:val="0"/>
          <w:sz w:val="32"/>
        </w:rPr>
        <w:t>3.卫生健康支出(类)24.08万元,占4.42%。</w:t>
      </w:r>
    </w:p>
    <w:p w14:paraId="5320EC82">
      <w:pPr>
        <w:spacing w:line="580" w:lineRule="exact"/>
        <w:ind w:firstLine="640"/>
        <w:jc w:val="both"/>
      </w:pPr>
      <w:r>
        <w:rPr>
          <w:rFonts w:ascii="仿宋_GB2312" w:hAnsi="仿宋_GB2312" w:eastAsia="仿宋_GB2312"/>
          <w:b w:val="0"/>
          <w:sz w:val="32"/>
        </w:rPr>
        <w:t>4.住房保障支出(类)29.66万元,占5.44%。</w:t>
      </w:r>
    </w:p>
    <w:p w14:paraId="14CFA4D8">
      <w:pPr>
        <w:spacing w:line="640" w:lineRule="exact"/>
        <w:ind w:firstLine="640"/>
        <w:jc w:val="both"/>
        <w:outlineLvl w:val="3"/>
      </w:pPr>
      <w:r>
        <w:rPr>
          <w:rFonts w:ascii="楷体_GB2312" w:hAnsi="楷体_GB2312" w:eastAsia="楷体_GB2312"/>
          <w:b/>
          <w:sz w:val="32"/>
        </w:rPr>
        <w:t>（三）一般公共预算财政拨款支出决算具体情况</w:t>
      </w:r>
    </w:p>
    <w:p w14:paraId="5B69512C">
      <w:pPr>
        <w:spacing w:line="580" w:lineRule="exact"/>
        <w:ind w:firstLine="640"/>
        <w:jc w:val="both"/>
      </w:pPr>
      <w:r>
        <w:rPr>
          <w:rFonts w:ascii="仿宋_GB2312" w:hAnsi="仿宋_GB2312" w:eastAsia="仿宋_GB2312"/>
          <w:b w:val="0"/>
          <w:sz w:val="32"/>
        </w:rPr>
        <w:t>1.一般公共服务支出(类)人大事务(款)行政运行(项):支出决算数为414.12万元，比上年决算增加7.55万元，增长1.86%,主要原因是：本年在职人员工资调增，导致相关人员经费较上年有所增加。</w:t>
      </w:r>
    </w:p>
    <w:p w14:paraId="33C68535">
      <w:pPr>
        <w:spacing w:line="580" w:lineRule="exact"/>
        <w:ind w:firstLine="640"/>
        <w:jc w:val="both"/>
      </w:pPr>
      <w:r>
        <w:rPr>
          <w:rFonts w:ascii="仿宋_GB2312" w:hAnsi="仿宋_GB2312" w:eastAsia="仿宋_GB2312"/>
          <w:b w:val="0"/>
          <w:sz w:val="32"/>
        </w:rPr>
        <w:t>2.一般公共服务支出(类)人大事务(款)代表工作(项):支出决算数为0.00万元，比上年决算减少36.12万元，下降100.00%,主要原因是：本年度减少民丰县县乡村三级人大代表联络站建设项目。</w:t>
      </w:r>
    </w:p>
    <w:p w14:paraId="72166A77">
      <w:pPr>
        <w:spacing w:line="580" w:lineRule="exact"/>
        <w:ind w:firstLine="640"/>
        <w:jc w:val="both"/>
      </w:pPr>
      <w:r>
        <w:rPr>
          <w:rFonts w:ascii="仿宋_GB2312" w:hAnsi="仿宋_GB2312" w:eastAsia="仿宋_GB2312"/>
          <w:b w:val="0"/>
          <w:sz w:val="32"/>
        </w:rPr>
        <w:t>3.一般公共服务支出(类)人大事务(款)其他人大事务支出(项):支出决算数为7.92万元，比上年决算减少2.08万元，下降20.80%,主要原因是：本年度减少自治区基层人大补助经费。</w:t>
      </w:r>
    </w:p>
    <w:p w14:paraId="3FF64421">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17.13万元，比上年决算增加17.13万元，增长100.00%,主要原因是：本年功能科目调整，行政单位离退休上年度在主科目列支，本年单独列支，导致经费较上年增加。</w:t>
      </w:r>
    </w:p>
    <w:p w14:paraId="15F53015">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38.65万元，比上年决算增加4.18万元，增长12.13%,主要原因是：本年在职人员工资基数调增，养老缴费基数上涨，相应支出增加。</w:t>
      </w:r>
    </w:p>
    <w:p w14:paraId="3413978A">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6.社会保障和就业支出(类)行政事业单位养老支出(款)机关事业单位职业年金缴费支出(项):支出决算数为13.79万元，比上年决算增加13.79万元，增长100.00%,主要原因是：本年</w:t>
      </w:r>
      <w:r>
        <w:rPr>
          <w:rFonts w:hint="eastAsia" w:ascii="仿宋_GB2312" w:hAnsi="仿宋_GB2312" w:eastAsia="仿宋_GB2312"/>
          <w:b w:val="0"/>
          <w:sz w:val="32"/>
          <w:lang w:val="en-US" w:eastAsia="zh-CN"/>
        </w:rPr>
        <w:t>补缴</w:t>
      </w:r>
      <w:r>
        <w:rPr>
          <w:rFonts w:ascii="仿宋_GB2312" w:hAnsi="仿宋_GB2312" w:eastAsia="仿宋_GB2312"/>
          <w:b w:val="0"/>
          <w:sz w:val="32"/>
        </w:rPr>
        <w:t>退休人员职业年金。</w:t>
      </w:r>
    </w:p>
    <w:p w14:paraId="5EE2C4FB">
      <w:pPr>
        <w:spacing w:line="580" w:lineRule="exact"/>
        <w:ind w:firstLine="640"/>
        <w:jc w:val="both"/>
      </w:pPr>
      <w:r>
        <w:rPr>
          <w:rFonts w:ascii="仿宋_GB2312" w:hAnsi="仿宋_GB2312" w:eastAsia="仿宋_GB2312"/>
          <w:b w:val="0"/>
          <w:sz w:val="32"/>
        </w:rPr>
        <w:t>7.卫生健康支出(类)行政事业单位医疗(款)行政单位医疗(项):支出决算数为15.48万元，比上年决算增加15.48万元，增长100.00%,主要原因是：本年功能科目调整，行政单位医疗支出上年度在主科目列支，本年单独列支，导致经费较上年增加。</w:t>
      </w:r>
    </w:p>
    <w:p w14:paraId="6525D0D1">
      <w:pPr>
        <w:spacing w:line="580" w:lineRule="exact"/>
        <w:ind w:firstLine="640"/>
        <w:jc w:val="both"/>
      </w:pPr>
      <w:r>
        <w:rPr>
          <w:rFonts w:ascii="仿宋_GB2312" w:hAnsi="仿宋_GB2312" w:eastAsia="仿宋_GB2312"/>
          <w:b w:val="0"/>
          <w:sz w:val="32"/>
        </w:rPr>
        <w:t>8.卫生健康支出(类)行政事业单位医疗(款)公务员医疗补助(项):支出决算数为7.69万元，比上年决算增加7.69万元，增长100.00%,主要原因是：本年功能科目调整，公务员医疗补助上年度在主科目列支，本年单独列支，导致经费较上年增加。</w:t>
      </w:r>
    </w:p>
    <w:p w14:paraId="3DDA3F5F">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0.91万元，比上年决算增加0.91万元，增长100.00%,主要原因是：本年功能科目调整，职工大病，工伤，失业保险上年度在主科目列支，本年单独列支，导致经费较上年增加。</w:t>
      </w:r>
    </w:p>
    <w:p w14:paraId="6174BBF1">
      <w:pPr>
        <w:spacing w:line="580" w:lineRule="exact"/>
        <w:ind w:firstLine="640"/>
        <w:jc w:val="both"/>
      </w:pPr>
      <w:r>
        <w:rPr>
          <w:rFonts w:ascii="仿宋_GB2312" w:hAnsi="仿宋_GB2312" w:eastAsia="仿宋_GB2312"/>
          <w:b w:val="0"/>
          <w:sz w:val="32"/>
        </w:rPr>
        <w:t>10.住房保障支出(类)住房改革支出(款)住房公积金(项):支出决算数为29.66万元，比上年决算增加29.66万元，增长100.00%,主要原因是：本年功能科目调整，住房公积金上年度在主科目列支，本年单独列支，导致经费较上年增加。</w:t>
      </w:r>
    </w:p>
    <w:p w14:paraId="1EEDAE65">
      <w:pPr>
        <w:spacing w:line="640" w:lineRule="exact"/>
        <w:ind w:firstLine="640"/>
        <w:jc w:val="both"/>
        <w:outlineLvl w:val="2"/>
      </w:pPr>
      <w:r>
        <w:rPr>
          <w:rFonts w:ascii="黑体" w:hAnsi="黑体" w:eastAsia="黑体"/>
          <w:sz w:val="32"/>
        </w:rPr>
        <w:t>六、一般公共预算财政拨款基本支出决算情况说明</w:t>
      </w:r>
    </w:p>
    <w:p w14:paraId="2E9222E0">
      <w:pPr>
        <w:spacing w:line="580" w:lineRule="exact"/>
        <w:ind w:firstLine="640"/>
        <w:jc w:val="both"/>
      </w:pPr>
      <w:r>
        <w:rPr>
          <w:rFonts w:ascii="仿宋_GB2312" w:hAnsi="仿宋_GB2312" w:eastAsia="仿宋_GB2312"/>
          <w:b w:val="0"/>
          <w:sz w:val="32"/>
        </w:rPr>
        <w:t>2024年度一般公共预算财政拨款基本支出537.44万元，其中：</w:t>
      </w:r>
      <w:r>
        <w:rPr>
          <w:rFonts w:ascii="仿宋_GB2312" w:hAnsi="仿宋_GB2312" w:eastAsia="仿宋_GB2312"/>
          <w:b/>
          <w:sz w:val="32"/>
        </w:rPr>
        <w:t>人员经费505.21万元，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09E3BE68">
      <w:pPr>
        <w:spacing w:line="580" w:lineRule="exact"/>
        <w:ind w:firstLine="640"/>
        <w:jc w:val="both"/>
      </w:pPr>
      <w:r>
        <w:rPr>
          <w:rFonts w:ascii="仿宋_GB2312" w:hAnsi="仿宋_GB2312" w:eastAsia="仿宋_GB2312"/>
          <w:b/>
          <w:sz w:val="32"/>
        </w:rPr>
        <w:t>公用经费32.23万元，</w:t>
      </w:r>
      <w:r>
        <w:rPr>
          <w:rFonts w:ascii="仿宋_GB2312" w:hAnsi="仿宋_GB2312" w:eastAsia="仿宋_GB2312"/>
          <w:b w:val="0"/>
          <w:sz w:val="32"/>
        </w:rPr>
        <w:t>包括：办公费、印刷费、电费、邮电费、差旅费、会议费、劳务费、公务用车运行维护费、其他交通费用。</w:t>
      </w:r>
    </w:p>
    <w:p w14:paraId="468659E7">
      <w:pPr>
        <w:spacing w:line="640" w:lineRule="exact"/>
        <w:ind w:firstLine="640"/>
        <w:jc w:val="both"/>
        <w:outlineLvl w:val="2"/>
      </w:pPr>
      <w:r>
        <w:rPr>
          <w:rFonts w:ascii="黑体" w:hAnsi="黑体" w:eastAsia="黑体"/>
          <w:sz w:val="32"/>
        </w:rPr>
        <w:t>七、政府性基金预算财政拨款收入支出决算情况说明</w:t>
      </w:r>
    </w:p>
    <w:p w14:paraId="75872CE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42A65D">
      <w:pPr>
        <w:spacing w:line="640" w:lineRule="exact"/>
        <w:ind w:firstLine="640"/>
        <w:jc w:val="both"/>
        <w:outlineLvl w:val="2"/>
      </w:pPr>
      <w:r>
        <w:rPr>
          <w:rFonts w:ascii="黑体" w:hAnsi="黑体" w:eastAsia="黑体"/>
          <w:sz w:val="32"/>
        </w:rPr>
        <w:t>八、国有资本经营预算财政拨款收入支出决算情况说明</w:t>
      </w:r>
    </w:p>
    <w:p w14:paraId="579065D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01E24C">
      <w:pPr>
        <w:spacing w:line="640" w:lineRule="exact"/>
        <w:ind w:firstLine="640"/>
        <w:jc w:val="both"/>
        <w:outlineLvl w:val="2"/>
      </w:pPr>
      <w:r>
        <w:rPr>
          <w:rFonts w:ascii="黑体" w:hAnsi="黑体" w:eastAsia="黑体"/>
          <w:sz w:val="32"/>
        </w:rPr>
        <w:t>九、财政拨款“三公”经费支出决算情况说明</w:t>
      </w:r>
    </w:p>
    <w:p w14:paraId="5CBBC706">
      <w:pPr>
        <w:spacing w:line="580" w:lineRule="exact"/>
        <w:ind w:firstLine="640"/>
        <w:jc w:val="both"/>
      </w:pPr>
      <w:r>
        <w:rPr>
          <w:rFonts w:ascii="仿宋_GB2312" w:hAnsi="仿宋_GB2312" w:eastAsia="仿宋_GB2312"/>
          <w:b/>
          <w:sz w:val="32"/>
        </w:rPr>
        <w:t>2024年度财政拨款“三公”经费支出9.94万元，</w:t>
      </w:r>
      <w:r>
        <w:rPr>
          <w:rFonts w:ascii="仿宋_GB2312" w:hAnsi="仿宋_GB2312" w:eastAsia="仿宋_GB2312"/>
          <w:b w:val="0"/>
          <w:sz w:val="32"/>
        </w:rPr>
        <w:t>比上年减少0.06万元，下降0.60%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9.94万元，占100.00%，比上年减少0.06万元，下降0.60%，主要原因是：严格落实中央八项规定精神，厉行节约，减少公务用车运行维护费。公务接待费支出0.00万元，占0.00%，比上年增加0.00万元，增长0.00%，主要原因是：2023年与2024年均未安排公务接待费支出。</w:t>
      </w:r>
    </w:p>
    <w:p w14:paraId="464C6113">
      <w:pPr>
        <w:spacing w:line="580" w:lineRule="exact"/>
        <w:ind w:firstLine="640"/>
        <w:jc w:val="both"/>
      </w:pPr>
      <w:r>
        <w:rPr>
          <w:rFonts w:ascii="仿宋_GB2312" w:hAnsi="仿宋_GB2312" w:eastAsia="仿宋_GB2312"/>
          <w:b/>
          <w:sz w:val="32"/>
        </w:rPr>
        <w:t>具体情况如下：</w:t>
      </w:r>
    </w:p>
    <w:p w14:paraId="74025CD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D668E53">
      <w:pPr>
        <w:spacing w:line="580" w:lineRule="exact"/>
        <w:ind w:firstLine="640"/>
        <w:jc w:val="both"/>
      </w:pPr>
      <w:r>
        <w:rPr>
          <w:rFonts w:ascii="仿宋_GB2312" w:hAnsi="仿宋_GB2312" w:eastAsia="仿宋_GB2312"/>
          <w:b w:val="0"/>
          <w:sz w:val="32"/>
        </w:rPr>
        <w:t>公务用车购置及运行维护费9.94万元，其中：公务用车购置费0.00万元，公务用车运行维护费9.94万元。公务用车运行维护费开支内容包括车辆加油费、维修费、保险费、审车费、过路费。公务用车购置数0辆，公务用车保有量3辆。国有资产占用情况中固定资产车辆3辆，与公务用车保有量差异原因是：本单位固定资产车辆与公务用车保有量一致无差异。</w:t>
      </w:r>
    </w:p>
    <w:p w14:paraId="631AAC1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28B90B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10.00万元，决算数9.94万元，预决算差异率-0.60%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10.00万元，决算数9.94万元，预决算差异率-0.60%，主要原因是：严格落实中央八项规定精神，厉行节约，减少公务用车使用频次，燃油费减少。公务接待费全年预算数0.00万元，决算数0.00万元，预决算差异率0.00%，主要原因是：本单位无公务接待费。</w:t>
      </w:r>
    </w:p>
    <w:p w14:paraId="2615C31C">
      <w:pPr>
        <w:spacing w:line="640" w:lineRule="exact"/>
        <w:ind w:firstLine="640"/>
        <w:jc w:val="both"/>
        <w:outlineLvl w:val="2"/>
      </w:pPr>
      <w:r>
        <w:rPr>
          <w:rFonts w:ascii="黑体" w:hAnsi="黑体" w:eastAsia="黑体"/>
          <w:sz w:val="32"/>
        </w:rPr>
        <w:t>十、其他重要事项的情况说明</w:t>
      </w:r>
    </w:p>
    <w:p w14:paraId="7D083847">
      <w:pPr>
        <w:spacing w:line="640" w:lineRule="exact"/>
        <w:ind w:firstLine="640"/>
        <w:jc w:val="both"/>
        <w:outlineLvl w:val="3"/>
      </w:pPr>
      <w:r>
        <w:rPr>
          <w:rFonts w:ascii="楷体_GB2312" w:hAnsi="楷体_GB2312" w:eastAsia="楷体_GB2312"/>
          <w:b/>
          <w:sz w:val="32"/>
        </w:rPr>
        <w:t>（一）机关运行经费及公用经费支出情况</w:t>
      </w:r>
    </w:p>
    <w:p w14:paraId="1AD85054">
      <w:pPr>
        <w:spacing w:line="580" w:lineRule="exact"/>
        <w:ind w:firstLine="640"/>
        <w:jc w:val="both"/>
      </w:pPr>
      <w:r>
        <w:rPr>
          <w:rFonts w:ascii="仿宋_GB2312" w:hAnsi="仿宋_GB2312" w:eastAsia="仿宋_GB2312"/>
          <w:b w:val="0"/>
          <w:sz w:val="32"/>
        </w:rPr>
        <w:t>2024年度民丰县人民代表大会常务委员会办公室（行政单位和参照公务员法管理事业单位）机关运行经费支出32.23万元，比上年减少8.61万元，下降21.08%，主要原因是：严格控制公用经费，减少办公费、邮电费、会议费。</w:t>
      </w:r>
    </w:p>
    <w:p w14:paraId="20DB01E6">
      <w:pPr>
        <w:spacing w:line="640" w:lineRule="exact"/>
        <w:ind w:firstLine="640"/>
        <w:jc w:val="both"/>
        <w:outlineLvl w:val="3"/>
      </w:pPr>
      <w:r>
        <w:rPr>
          <w:rFonts w:ascii="楷体_GB2312" w:hAnsi="楷体_GB2312" w:eastAsia="楷体_GB2312"/>
          <w:b/>
          <w:sz w:val="32"/>
        </w:rPr>
        <w:t>（二）政府采购情况</w:t>
      </w:r>
    </w:p>
    <w:p w14:paraId="5F1D62B9">
      <w:pPr>
        <w:spacing w:line="580" w:lineRule="exact"/>
        <w:ind w:firstLine="640"/>
        <w:jc w:val="both"/>
      </w:pPr>
      <w:r>
        <w:rPr>
          <w:rFonts w:ascii="仿宋_GB2312" w:hAnsi="仿宋_GB2312" w:eastAsia="仿宋_GB2312"/>
          <w:b w:val="0"/>
          <w:sz w:val="32"/>
        </w:rPr>
        <w:t>2024年度政府采购支出总额43.45万元，其中：政府采购货物支出3.37万元、政府采购工程支出0.00万元、政府采购服务支出40.09万元。</w:t>
      </w:r>
    </w:p>
    <w:p w14:paraId="5857184D">
      <w:pPr>
        <w:spacing w:line="580" w:lineRule="exact"/>
        <w:ind w:firstLine="640"/>
        <w:jc w:val="both"/>
      </w:pPr>
      <w:r>
        <w:rPr>
          <w:rFonts w:ascii="仿宋_GB2312" w:hAnsi="仿宋_GB2312" w:eastAsia="仿宋_GB2312"/>
          <w:b w:val="0"/>
          <w:sz w:val="32"/>
        </w:rPr>
        <w:t>授予中小企业合同金额43.45万元，占政府采购支出总额的100.00%，其中：授予小微企业合同金额43.45万元，占政府采购支出总额的100.00%。</w:t>
      </w:r>
    </w:p>
    <w:p w14:paraId="0936C509">
      <w:pPr>
        <w:spacing w:line="640" w:lineRule="exact"/>
        <w:ind w:firstLine="640"/>
        <w:jc w:val="both"/>
        <w:outlineLvl w:val="3"/>
      </w:pPr>
      <w:r>
        <w:rPr>
          <w:rFonts w:ascii="楷体_GB2312" w:hAnsi="楷体_GB2312" w:eastAsia="楷体_GB2312"/>
          <w:b/>
          <w:sz w:val="32"/>
        </w:rPr>
        <w:t>（三）国有资产占用情况说明</w:t>
      </w:r>
    </w:p>
    <w:p w14:paraId="168A6070">
      <w:pPr>
        <w:spacing w:line="580" w:lineRule="exact"/>
        <w:ind w:firstLine="640"/>
        <w:jc w:val="both"/>
      </w:pPr>
      <w:r>
        <w:rPr>
          <w:rFonts w:ascii="仿宋_GB2312" w:hAnsi="仿宋_GB2312" w:eastAsia="仿宋_GB2312"/>
          <w:b w:val="0"/>
          <w:sz w:val="32"/>
        </w:rPr>
        <w:t>截至2024年12月31日，房屋0.00平方米，价值0.00万元。车辆3辆，价值22.00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115A069F">
      <w:pPr>
        <w:spacing w:line="640" w:lineRule="exact"/>
        <w:ind w:firstLine="640"/>
        <w:jc w:val="both"/>
        <w:outlineLvl w:val="2"/>
      </w:pPr>
      <w:r>
        <w:rPr>
          <w:rFonts w:ascii="黑体" w:hAnsi="黑体" w:eastAsia="黑体"/>
          <w:sz w:val="32"/>
        </w:rPr>
        <w:t>十一、预算绩效的情况说明</w:t>
      </w:r>
    </w:p>
    <w:p w14:paraId="4D02D27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572.35万元，实际执行总额572.35万元；预算绩效评价项目2个，全年预算数13.76万元，全年执行数8.66万元。预算绩效管理取得的成效：一是单位领导重视到位，主要领导亲自抓，并予以充分的人力、财力保障。二是责任落实到位，将项目工作列入年度干部绩效考核实施方案，将各项目工作落实到具体科室、具体岗位、具体个人。发现的问题及原因：预算绩效管理水平仍有欠缺，预算绩效管理工作中，存在“重投入轻管理、重支出轻绩效”的情况，对全面实施预算绩效管理的要求认识还不到位，项目申报、实施等环节与预算绩效管理各个环节联系不够紧密。下一步改进措施：一是通过培训，学习，压实主体责任，健全绩效水平管理制度，进一步加强督促指导。二是针对项目实施中存在的问题，加强完善相关制度，加强督促检查，确保项目质量安全和建设进度。具体附整体支出绩效自评表，项目支出绩效自评表和评价报告。</w:t>
      </w:r>
    </w:p>
    <w:p w14:paraId="507B549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CFD2424">
        <w:tblPrEx>
          <w:tblCellMar>
            <w:top w:w="0" w:type="dxa"/>
            <w:left w:w="108" w:type="dxa"/>
            <w:bottom w:w="0" w:type="dxa"/>
            <w:right w:w="108" w:type="dxa"/>
          </w:tblCellMar>
        </w:tblPrEx>
        <w:tc>
          <w:tcPr>
            <w:tcW w:w="8847" w:type="dxa"/>
            <w:gridSpan w:val="9"/>
            <w:vAlign w:val="center"/>
          </w:tcPr>
          <w:p w14:paraId="069A0CBF">
            <w:pPr>
              <w:jc w:val="center"/>
            </w:pPr>
            <w:r>
              <w:rPr>
                <w:rFonts w:ascii="宋体" w:hAnsi="宋体" w:eastAsia="宋体"/>
                <w:sz w:val="24"/>
              </w:rPr>
              <w:t>单位整体支出绩效自评表</w:t>
            </w:r>
          </w:p>
        </w:tc>
      </w:tr>
      <w:tr w14:paraId="7F41CB6E">
        <w:tblPrEx>
          <w:tblCellMar>
            <w:top w:w="0" w:type="dxa"/>
            <w:left w:w="108" w:type="dxa"/>
            <w:bottom w:w="0" w:type="dxa"/>
            <w:right w:w="108" w:type="dxa"/>
          </w:tblCellMar>
        </w:tblPrEx>
        <w:tc>
          <w:tcPr>
            <w:tcW w:w="8847" w:type="dxa"/>
            <w:gridSpan w:val="9"/>
            <w:vAlign w:val="center"/>
          </w:tcPr>
          <w:p w14:paraId="2A82E9AF">
            <w:pPr>
              <w:jc w:val="center"/>
            </w:pPr>
            <w:r>
              <w:rPr>
                <w:rFonts w:ascii="宋体" w:hAnsi="宋体" w:eastAsia="宋体"/>
                <w:sz w:val="24"/>
              </w:rPr>
              <w:t>（2024年度）</w:t>
            </w:r>
          </w:p>
        </w:tc>
      </w:tr>
      <w:tr w14:paraId="19FD60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D259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6CE824">
            <w:pPr>
              <w:jc w:val="center"/>
            </w:pPr>
            <w:r>
              <w:rPr>
                <w:rFonts w:ascii="宋体" w:hAnsi="宋体" w:eastAsia="宋体"/>
                <w:sz w:val="16"/>
              </w:rPr>
              <w:t>民丰县人民代表大会常务委员会办公室</w:t>
            </w:r>
          </w:p>
        </w:tc>
      </w:tr>
      <w:tr w14:paraId="4D36EF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BCABD">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9A52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20E3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2064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09B6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88B9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887E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36D75">
            <w:pPr>
              <w:jc w:val="center"/>
            </w:pPr>
            <w:r>
              <w:rPr>
                <w:rFonts w:ascii="宋体" w:hAnsi="宋体" w:eastAsia="宋体"/>
                <w:sz w:val="16"/>
              </w:rPr>
              <w:t>得分</w:t>
            </w:r>
          </w:p>
        </w:tc>
      </w:tr>
      <w:tr w14:paraId="3AE360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0682E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94018">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6913E">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A24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061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C3B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F59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92C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ABC41">
            <w:pPr>
              <w:jc w:val="center"/>
            </w:pPr>
            <w:r>
              <w:rPr>
                <w:rFonts w:ascii="宋体" w:hAnsi="宋体" w:eastAsia="宋体"/>
                <w:sz w:val="16"/>
              </w:rPr>
              <w:t>-</w:t>
            </w:r>
          </w:p>
        </w:tc>
      </w:tr>
      <w:tr w14:paraId="2BDF32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C996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396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762B9">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DDF6F">
            <w:pPr>
              <w:jc w:val="center"/>
            </w:pPr>
            <w:r>
              <w:rPr>
                <w:rFonts w:ascii="宋体" w:hAnsi="宋体" w:eastAsia="宋体"/>
                <w:sz w:val="16"/>
              </w:rPr>
              <w:t>511.09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53F51">
            <w:pPr>
              <w:jc w:val="center"/>
            </w:pPr>
            <w:r>
              <w:rPr>
                <w:rFonts w:ascii="宋体" w:hAnsi="宋体" w:eastAsia="宋体"/>
                <w:sz w:val="16"/>
              </w:rPr>
              <w:t>572.35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48D8">
            <w:pPr>
              <w:jc w:val="center"/>
            </w:pPr>
            <w:r>
              <w:rPr>
                <w:rFonts w:ascii="宋体" w:hAnsi="宋体" w:eastAsia="宋体"/>
                <w:sz w:val="16"/>
              </w:rPr>
              <w:t>572.35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DF6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CC9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1D474">
            <w:pPr>
              <w:jc w:val="center"/>
            </w:pPr>
            <w:r>
              <w:rPr>
                <w:rFonts w:ascii="宋体" w:hAnsi="宋体" w:eastAsia="宋体"/>
                <w:sz w:val="16"/>
              </w:rPr>
              <w:t>-</w:t>
            </w:r>
          </w:p>
        </w:tc>
      </w:tr>
      <w:tr w14:paraId="2A4AC7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189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D552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99495">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A45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19F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6EE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360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D78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1A01F">
            <w:pPr>
              <w:jc w:val="center"/>
            </w:pPr>
            <w:r>
              <w:rPr>
                <w:rFonts w:ascii="宋体" w:hAnsi="宋体" w:eastAsia="宋体"/>
                <w:sz w:val="16"/>
              </w:rPr>
              <w:t>-</w:t>
            </w:r>
          </w:p>
        </w:tc>
      </w:tr>
      <w:tr w14:paraId="3DC0A9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3987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23DB9">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138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03967">
            <w:pPr>
              <w:jc w:val="center"/>
            </w:pPr>
            <w:r>
              <w:rPr>
                <w:rFonts w:ascii="宋体" w:hAnsi="宋体" w:eastAsia="宋体"/>
                <w:sz w:val="16"/>
              </w:rPr>
              <w:t>511.09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F95E2">
            <w:pPr>
              <w:jc w:val="center"/>
            </w:pPr>
            <w:r>
              <w:rPr>
                <w:rFonts w:ascii="宋体" w:hAnsi="宋体" w:eastAsia="宋体"/>
                <w:sz w:val="16"/>
              </w:rPr>
              <w:t>572.35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69133">
            <w:pPr>
              <w:jc w:val="center"/>
            </w:pPr>
            <w:r>
              <w:rPr>
                <w:rFonts w:ascii="宋体" w:hAnsi="宋体" w:eastAsia="宋体"/>
                <w:sz w:val="16"/>
              </w:rPr>
              <w:t>572.35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15F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9B6E1">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B7A74">
            <w:pPr>
              <w:jc w:val="center"/>
            </w:pPr>
            <w:r>
              <w:rPr>
                <w:rFonts w:ascii="宋体" w:hAnsi="宋体" w:eastAsia="宋体"/>
                <w:sz w:val="16"/>
              </w:rPr>
              <w:t>10</w:t>
            </w:r>
          </w:p>
        </w:tc>
      </w:tr>
      <w:tr w14:paraId="032062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0BF1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7531A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DE9F2B">
            <w:pPr>
              <w:jc w:val="center"/>
            </w:pPr>
            <w:r>
              <w:rPr>
                <w:rFonts w:ascii="宋体" w:hAnsi="宋体" w:eastAsia="宋体"/>
                <w:sz w:val="16"/>
              </w:rPr>
              <w:t>实际完成情况</w:t>
            </w:r>
          </w:p>
        </w:tc>
      </w:tr>
      <w:tr w14:paraId="12092C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2FCC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B15DB3">
            <w:pPr>
              <w:jc w:val="both"/>
            </w:pPr>
            <w:r>
              <w:rPr>
                <w:rFonts w:ascii="宋体" w:hAnsi="宋体" w:eastAsia="宋体"/>
                <w:sz w:val="16"/>
              </w:rPr>
              <w:t xml:space="preserve">目标1：保障召开民丰县十七届人民代表大会第四次会议，听取和审议“一府两院”工作报告，作出各项报告的决议、决定事项。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目标2：保障县人民代表大会会议、人大常委会会议、主任会议的各项工作开展。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目标3：提高人大代表履职能力，着力发挥代表作用，对各乡镇人大代表的工作进行指导、培训、调研、检查等工作。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目标4：保障县人大常委会领导开展执法检查、调研、视察、出差等各项工作的开展。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513990">
            <w:pPr>
              <w:jc w:val="both"/>
            </w:pPr>
            <w:r>
              <w:rPr>
                <w:rFonts w:ascii="宋体" w:hAnsi="宋体" w:eastAsia="宋体"/>
                <w:sz w:val="16"/>
              </w:rPr>
              <w:t>发挥人大代表</w:t>
            </w:r>
            <w:r>
              <w:rPr>
                <w:rFonts w:hint="eastAsia" w:ascii="宋体" w:hAnsi="宋体"/>
                <w:sz w:val="16"/>
                <w:lang w:eastAsia="zh-CN"/>
              </w:rPr>
              <w:t>典型示范作用</w:t>
            </w:r>
            <w:r>
              <w:rPr>
                <w:rFonts w:ascii="宋体" w:hAnsi="宋体" w:eastAsia="宋体"/>
                <w:sz w:val="16"/>
              </w:rPr>
              <w:t>。2024年，民丰县大力开展人大代表争先创优活动，制定《民丰县人大代表履职“积分制”管理制度》《民丰县人大代表“十个一·十带头”实施办法》，将代表参加活动、履职培训、出席会议（会议期间和闭会期间）、进站履职（小组活动）、联系选民（入户走访）、向选民述职、基层治理、审议报告、提交议案建议等10大类评价体系，计入个人履职档案，作为继续提名、考察学习的重要依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学习培训，发挥人大代表依法履职能力。今年以来，组织代表举办专题讲座4期、履职能力专题培训班8期、依托县委党校向全县各级干部视频讲座4期；先后选派参加人大地区工委培训会36人次；9月份组织县乡部分人大代表、各乡镇人大主席和</w:t>
            </w:r>
            <w:r>
              <w:rPr>
                <w:rFonts w:hint="eastAsia" w:ascii="宋体" w:hAnsi="宋体"/>
                <w:sz w:val="16"/>
                <w:lang w:eastAsia="zh-CN"/>
              </w:rPr>
              <w:t>人大常委会机关</w:t>
            </w:r>
            <w:r>
              <w:rPr>
                <w:rFonts w:ascii="宋体" w:hAnsi="宋体" w:eastAsia="宋体"/>
                <w:sz w:val="16"/>
              </w:rPr>
              <w:t>干部等60人，赴伊犁州、喀什地区、阿克苏地区等11个县市进行人大代表“家室站”工作、立法联系点建设、提升人大代表履职能力、铸牢中华民族共同体意识、产业发展、文旅融合、乡村振兴等方面考察学习。选派13名人大代表赴天津宝坻区、浙江杭州、湖南长沙开展交流学习。全年累计培训30余场次1100余人次，代表培训实现全覆盖。通过理论培训、能力培训、素质强化，各级人大代表能够准确把握习近平总书记关于坚持和完善人民代表大会制度的重要思想的精髓要义，特别</w:t>
            </w:r>
            <w:r>
              <w:rPr>
                <w:rFonts w:hint="eastAsia" w:ascii="宋体" w:hAnsi="宋体"/>
                <w:sz w:val="16"/>
                <w:lang w:eastAsia="zh-CN"/>
              </w:rPr>
              <w:t>是对</w:t>
            </w:r>
            <w:r>
              <w:rPr>
                <w:rFonts w:ascii="宋体" w:hAnsi="宋体" w:eastAsia="宋体"/>
                <w:sz w:val="16"/>
              </w:rPr>
              <w:t>习近平总书记的重要讲话精神的学习理解，不断增强人大代表</w:t>
            </w:r>
            <w:r>
              <w:rPr>
                <w:rFonts w:hint="eastAsia" w:ascii="宋体" w:hAnsi="宋体"/>
                <w:sz w:val="16"/>
                <w:lang w:eastAsia="zh-CN"/>
              </w:rPr>
              <w:t>坚持和完善我国根本政治制度</w:t>
            </w:r>
            <w:r>
              <w:rPr>
                <w:rFonts w:ascii="宋体" w:hAnsi="宋体" w:eastAsia="宋体"/>
                <w:sz w:val="16"/>
              </w:rPr>
              <w:t>的自觉性和坚定性。</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践行全过程人民民主，发挥人大代表重要参政议政作用。认真落实代表列席常委会制度，邀请人大代表90人次列席人大常委会会议，组织代表15场75人次开展专题调研，9起45人次参加执法检查和专门委员会活动，10起30人次参加法检两院听证审判等会议，形成各类调研报告24篇，向县委提交有价值的意见建议21条。</w:t>
            </w:r>
          </w:p>
        </w:tc>
      </w:tr>
      <w:tr w14:paraId="6581E4E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8F6E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56381">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C42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022E9">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5837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3F2A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33102">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5A8DC">
            <w:pPr>
              <w:jc w:val="center"/>
            </w:pPr>
            <w:r>
              <w:rPr>
                <w:rFonts w:ascii="宋体" w:hAnsi="宋体" w:eastAsia="宋体"/>
                <w:sz w:val="16"/>
              </w:rPr>
              <w:t>得分</w:t>
            </w:r>
          </w:p>
        </w:tc>
      </w:tr>
      <w:tr w14:paraId="668116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F3D7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63405">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44D51">
            <w:pPr>
              <w:jc w:val="center"/>
            </w:pPr>
            <w:r>
              <w:rPr>
                <w:rFonts w:ascii="宋体" w:hAnsi="宋体" w:eastAsia="宋体"/>
                <w:sz w:val="16"/>
              </w:rPr>
              <w:t>保障单位在职人数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E5DBA">
            <w:pPr>
              <w:jc w:val="center"/>
            </w:pPr>
            <w:r>
              <w:rPr>
                <w:rFonts w:ascii="宋体" w:hAnsi="宋体" w:eastAsia="宋体"/>
                <w:sz w:val="16"/>
              </w:rPr>
              <w:t>&gt;=17人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426F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3AA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7A0AA">
            <w:pPr>
              <w:jc w:val="center"/>
            </w:pPr>
            <w:r>
              <w:rPr>
                <w:rFonts w:ascii="宋体" w:hAnsi="宋体" w:eastAsia="宋体"/>
                <w:sz w:val="16"/>
              </w:rPr>
              <w:t>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91BFE">
            <w:pPr>
              <w:jc w:val="center"/>
            </w:pPr>
            <w:r>
              <w:rPr>
                <w:rFonts w:ascii="宋体" w:hAnsi="宋体" w:eastAsia="宋体"/>
                <w:sz w:val="16"/>
              </w:rPr>
              <w:t>20</w:t>
            </w:r>
          </w:p>
        </w:tc>
      </w:tr>
      <w:tr w14:paraId="7E9763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82D2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8CC4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CFDB7">
            <w:pPr>
              <w:jc w:val="center"/>
            </w:pPr>
            <w:r>
              <w:rPr>
                <w:rFonts w:ascii="宋体" w:hAnsi="宋体" w:eastAsia="宋体"/>
                <w:sz w:val="16"/>
              </w:rPr>
              <w:t>召开县十七届人大第四次会议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67552">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F82C8">
            <w:pPr>
              <w:jc w:val="center"/>
            </w:pPr>
            <w:r>
              <w:rPr>
                <w:rFonts w:ascii="宋体" w:hAnsi="宋体" w:eastAsia="宋体"/>
                <w:sz w:val="16"/>
              </w:rPr>
              <w:t>中华人民共和国人民代表大会和地方各级人民政府组织法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2671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06661">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18D74">
            <w:pPr>
              <w:jc w:val="center"/>
            </w:pPr>
            <w:r>
              <w:rPr>
                <w:rFonts w:ascii="宋体" w:hAnsi="宋体" w:eastAsia="宋体"/>
                <w:sz w:val="16"/>
              </w:rPr>
              <w:t>20</w:t>
            </w:r>
          </w:p>
        </w:tc>
      </w:tr>
      <w:tr w14:paraId="641E0B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ED1F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33CB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3D7CC">
            <w:pPr>
              <w:jc w:val="center"/>
            </w:pPr>
            <w:r>
              <w:rPr>
                <w:rFonts w:ascii="宋体" w:hAnsi="宋体" w:eastAsia="宋体"/>
                <w:sz w:val="16"/>
              </w:rPr>
              <w:t>召开人大常委会会议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6D87E">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7031E">
            <w:pPr>
              <w:jc w:val="center"/>
            </w:pPr>
            <w:r>
              <w:rPr>
                <w:rFonts w:ascii="宋体" w:hAnsi="宋体" w:eastAsia="宋体"/>
                <w:sz w:val="16"/>
              </w:rPr>
              <w:t>中华人民共和国人民代表大会和地方各级人民政府组织法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1840B">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5EB0E">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88651">
            <w:pPr>
              <w:jc w:val="center"/>
            </w:pPr>
            <w:r>
              <w:rPr>
                <w:rFonts w:ascii="宋体" w:hAnsi="宋体" w:eastAsia="宋体"/>
                <w:sz w:val="16"/>
              </w:rPr>
              <w:t>25</w:t>
            </w:r>
          </w:p>
        </w:tc>
      </w:tr>
      <w:tr w14:paraId="7EE24C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7854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84A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A8E07">
            <w:pPr>
              <w:jc w:val="center"/>
            </w:pPr>
            <w:r>
              <w:rPr>
                <w:rFonts w:ascii="宋体" w:hAnsi="宋体" w:eastAsia="宋体"/>
                <w:sz w:val="16"/>
              </w:rPr>
              <w:t>执法检查、调研、视察次数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86939">
            <w:pPr>
              <w:jc w:val="center"/>
            </w:pPr>
            <w:r>
              <w:rPr>
                <w:rFonts w:ascii="宋体" w:hAnsi="宋体" w:eastAsia="宋体"/>
                <w:sz w:val="16"/>
              </w:rPr>
              <w:t>&gt;=24次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7E0A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83C45">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FCA8C">
            <w:pPr>
              <w:jc w:val="center"/>
            </w:pPr>
            <w:r>
              <w:rPr>
                <w:rFonts w:ascii="宋体" w:hAnsi="宋体" w:eastAsia="宋体"/>
                <w:sz w:val="16"/>
              </w:rPr>
              <w: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3A1C5">
            <w:pPr>
              <w:jc w:val="center"/>
            </w:pPr>
            <w:r>
              <w:rPr>
                <w:rFonts w:ascii="宋体" w:hAnsi="宋体" w:eastAsia="宋体"/>
                <w:sz w:val="16"/>
              </w:rPr>
              <w:t>25</w:t>
            </w:r>
          </w:p>
        </w:tc>
      </w:tr>
    </w:tbl>
    <w:p w14:paraId="5CD2A18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EFD37C">
        <w:tblPrEx>
          <w:tblCellMar>
            <w:top w:w="0" w:type="dxa"/>
            <w:left w:w="108" w:type="dxa"/>
            <w:bottom w:w="0" w:type="dxa"/>
            <w:right w:w="108" w:type="dxa"/>
          </w:tblCellMar>
        </w:tblPrEx>
        <w:tc>
          <w:tcPr>
            <w:tcW w:w="8847" w:type="dxa"/>
            <w:gridSpan w:val="9"/>
            <w:vAlign w:val="center"/>
          </w:tcPr>
          <w:p w14:paraId="43BA20BF">
            <w:pPr>
              <w:jc w:val="center"/>
            </w:pPr>
            <w:r>
              <w:rPr>
                <w:rFonts w:ascii="宋体" w:hAnsi="宋体" w:eastAsia="宋体"/>
                <w:sz w:val="24"/>
              </w:rPr>
              <w:t>项目支出绩效自评表</w:t>
            </w:r>
          </w:p>
        </w:tc>
      </w:tr>
      <w:tr w14:paraId="5C3E2049">
        <w:tblPrEx>
          <w:tblCellMar>
            <w:top w:w="0" w:type="dxa"/>
            <w:left w:w="108" w:type="dxa"/>
            <w:bottom w:w="0" w:type="dxa"/>
            <w:right w:w="108" w:type="dxa"/>
          </w:tblCellMar>
        </w:tblPrEx>
        <w:tc>
          <w:tcPr>
            <w:tcW w:w="8847" w:type="dxa"/>
            <w:gridSpan w:val="9"/>
            <w:vAlign w:val="center"/>
          </w:tcPr>
          <w:p w14:paraId="0A7C30BE">
            <w:pPr>
              <w:jc w:val="center"/>
            </w:pPr>
            <w:r>
              <w:rPr>
                <w:rFonts w:ascii="宋体" w:hAnsi="宋体" w:eastAsia="宋体"/>
                <w:sz w:val="24"/>
              </w:rPr>
              <w:t>(2024年度)</w:t>
            </w:r>
          </w:p>
        </w:tc>
      </w:tr>
      <w:tr w14:paraId="6159F03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0AF1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9A6549">
            <w:pPr>
              <w:jc w:val="center"/>
            </w:pPr>
            <w:r>
              <w:rPr>
                <w:rFonts w:ascii="宋体" w:hAnsi="宋体" w:eastAsia="宋体"/>
                <w:sz w:val="16"/>
              </w:rPr>
              <w:t>基层人大补助</w:t>
            </w:r>
          </w:p>
        </w:tc>
      </w:tr>
      <w:tr w14:paraId="43C7A70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7430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9BC209">
            <w:pPr>
              <w:jc w:val="center"/>
            </w:pPr>
            <w:r>
              <w:rPr>
                <w:rFonts w:ascii="宋体" w:hAnsi="宋体" w:eastAsia="宋体"/>
                <w:sz w:val="16"/>
              </w:rPr>
              <w:t>民丰县人民代表大会常务委员会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FBAE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53DCF5">
            <w:pPr>
              <w:jc w:val="center"/>
            </w:pPr>
            <w:r>
              <w:rPr>
                <w:rFonts w:ascii="宋体" w:hAnsi="宋体" w:eastAsia="宋体"/>
                <w:sz w:val="16"/>
              </w:rPr>
              <w:t>民丰县人民代表大会常务委员会办公室</w:t>
            </w:r>
          </w:p>
        </w:tc>
      </w:tr>
      <w:tr w14:paraId="59D7A7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9CBE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BB8B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6F0E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63C7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2C33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754F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A629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FC47C">
            <w:pPr>
              <w:jc w:val="center"/>
            </w:pPr>
            <w:r>
              <w:rPr>
                <w:rFonts w:ascii="宋体" w:hAnsi="宋体" w:eastAsia="宋体"/>
                <w:sz w:val="16"/>
              </w:rPr>
              <w:t>得分</w:t>
            </w:r>
          </w:p>
        </w:tc>
      </w:tr>
      <w:tr w14:paraId="0C2F1F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82D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5E45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F4CB2">
            <w:pPr>
              <w:jc w:val="center"/>
            </w:pPr>
            <w:r>
              <w:rPr>
                <w:rFonts w:ascii="宋体" w:hAnsi="宋体" w:eastAsia="宋体"/>
                <w:sz w:val="16"/>
              </w:rPr>
              <w:t>13.00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CBDD6">
            <w:pPr>
              <w:jc w:val="center"/>
            </w:pPr>
            <w:r>
              <w:rPr>
                <w:rFonts w:ascii="宋体" w:hAnsi="宋体" w:eastAsia="宋体"/>
                <w:sz w:val="16"/>
              </w:rPr>
              <w:t>13.00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34F53">
            <w:pPr>
              <w:jc w:val="center"/>
            </w:pPr>
            <w:r>
              <w:rPr>
                <w:rFonts w:ascii="宋体" w:hAnsi="宋体" w:eastAsia="宋体"/>
                <w:sz w:val="16"/>
              </w:rPr>
              <w:t>8.66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F7B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1FBFA">
            <w:pPr>
              <w:jc w:val="center"/>
            </w:pPr>
            <w:r>
              <w:rPr>
                <w:rFonts w:ascii="宋体" w:hAnsi="宋体" w:eastAsia="宋体"/>
                <w:sz w:val="16"/>
              </w:rPr>
              <w:t xml:space="preserve">66.62%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0C948">
            <w:pPr>
              <w:jc w:val="center"/>
            </w:pPr>
            <w:r>
              <w:rPr>
                <w:rFonts w:ascii="宋体" w:hAnsi="宋体" w:eastAsia="宋体"/>
                <w:sz w:val="16"/>
              </w:rPr>
              <w:t>1.66分</w:t>
            </w:r>
          </w:p>
        </w:tc>
      </w:tr>
      <w:tr w14:paraId="075D03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AB9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D49A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94A45">
            <w:pPr>
              <w:jc w:val="center"/>
            </w:pPr>
            <w:r>
              <w:rPr>
                <w:rFonts w:ascii="宋体" w:hAnsi="宋体" w:eastAsia="宋体"/>
                <w:sz w:val="16"/>
              </w:rPr>
              <w:t>13.00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D1B5E">
            <w:pPr>
              <w:jc w:val="center"/>
            </w:pPr>
            <w:r>
              <w:rPr>
                <w:rFonts w:ascii="宋体" w:hAnsi="宋体" w:eastAsia="宋体"/>
                <w:sz w:val="16"/>
              </w:rPr>
              <w:t>13.00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F8CC5">
            <w:pPr>
              <w:jc w:val="center"/>
            </w:pPr>
            <w:r>
              <w:rPr>
                <w:rFonts w:ascii="宋体" w:hAnsi="宋体" w:eastAsia="宋体"/>
                <w:sz w:val="16"/>
              </w:rPr>
              <w:t>8.66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97E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83F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AE0C2">
            <w:pPr>
              <w:jc w:val="center"/>
            </w:pPr>
            <w:r>
              <w:rPr>
                <w:rFonts w:ascii="宋体" w:hAnsi="宋体" w:eastAsia="宋体"/>
                <w:sz w:val="16"/>
              </w:rPr>
              <w:t>—</w:t>
            </w:r>
          </w:p>
        </w:tc>
      </w:tr>
      <w:tr w14:paraId="4570AD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68B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69A2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086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D7B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CD6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5ED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793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5B637">
            <w:pPr>
              <w:jc w:val="center"/>
            </w:pPr>
            <w:r>
              <w:rPr>
                <w:rFonts w:ascii="宋体" w:hAnsi="宋体" w:eastAsia="宋体"/>
                <w:sz w:val="16"/>
              </w:rPr>
              <w:t>—</w:t>
            </w:r>
          </w:p>
        </w:tc>
      </w:tr>
      <w:tr w14:paraId="573E2D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F06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17D7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C02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0ED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D66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EB9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D06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15EA1">
            <w:pPr>
              <w:jc w:val="center"/>
            </w:pPr>
            <w:r>
              <w:rPr>
                <w:rFonts w:ascii="宋体" w:hAnsi="宋体" w:eastAsia="宋体"/>
                <w:sz w:val="16"/>
              </w:rPr>
              <w:t>—</w:t>
            </w:r>
          </w:p>
        </w:tc>
      </w:tr>
      <w:tr w14:paraId="679F628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807A1">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7CF2D5">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D798BE">
            <w:pPr>
              <w:jc w:val="center"/>
            </w:pPr>
            <w:r>
              <w:rPr>
                <w:rFonts w:ascii="宋体" w:hAnsi="宋体" w:eastAsia="宋体"/>
                <w:sz w:val="16"/>
              </w:rPr>
              <w:t>实际完成情况</w:t>
            </w:r>
          </w:p>
        </w:tc>
      </w:tr>
      <w:tr w14:paraId="2C1AC3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3364BD"/>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BA46E9">
            <w:pPr>
              <w:jc w:val="both"/>
            </w:pPr>
            <w:r>
              <w:rPr>
                <w:rFonts w:ascii="宋体" w:hAnsi="宋体" w:eastAsia="宋体"/>
                <w:sz w:val="16"/>
              </w:rPr>
              <w:t>根据民财行</w:t>
            </w:r>
            <w:r>
              <w:rPr>
                <w:rFonts w:hint="eastAsia" w:ascii="宋体" w:hAnsi="宋体"/>
                <w:sz w:val="16"/>
                <w:lang w:eastAsia="zh-CN"/>
              </w:rPr>
              <w:t>〔2024〕3号</w:t>
            </w:r>
            <w:r>
              <w:rPr>
                <w:rFonts w:ascii="宋体" w:hAnsi="宋体" w:eastAsia="宋体"/>
                <w:sz w:val="16"/>
              </w:rPr>
              <w:t>文件</w:t>
            </w:r>
            <w:r>
              <w:rPr>
                <w:rFonts w:hint="eastAsia" w:ascii="宋体" w:hAnsi="宋体"/>
                <w:sz w:val="16"/>
                <w:lang w:eastAsia="zh-CN"/>
              </w:rPr>
              <w:t>要求</w:t>
            </w:r>
            <w:r>
              <w:rPr>
                <w:rFonts w:ascii="宋体" w:hAnsi="宋体" w:eastAsia="宋体"/>
                <w:sz w:val="16"/>
              </w:rPr>
              <w:t>实施本项目。主要内容：保障我县42</w:t>
            </w:r>
            <w:r>
              <w:rPr>
                <w:rFonts w:hint="eastAsia" w:ascii="宋体" w:hAnsi="宋体"/>
                <w:sz w:val="16"/>
                <w:lang w:eastAsia="zh-CN"/>
              </w:rPr>
              <w:t>个</w:t>
            </w:r>
            <w:r>
              <w:rPr>
                <w:rFonts w:ascii="宋体" w:hAnsi="宋体" w:eastAsia="宋体"/>
                <w:sz w:val="16"/>
              </w:rPr>
              <w:t>人大代表联络站（人大代表工作室）的正常运行，及130名人大代表在联络站的活动，学习，培训的正常开展，进一步完善联络站，工作室办公条件，及时购买办公用品保障日常工作的开展。通过项目的实施，改善基层办公条件，更好</w:t>
            </w:r>
            <w:r>
              <w:rPr>
                <w:rFonts w:hint="eastAsia" w:ascii="宋体" w:hAnsi="宋体"/>
                <w:sz w:val="16"/>
                <w:lang w:eastAsia="zh-CN"/>
              </w:rPr>
              <w:t>地</w:t>
            </w:r>
            <w:r>
              <w:rPr>
                <w:rFonts w:ascii="宋体" w:hAnsi="宋体" w:eastAsia="宋体"/>
                <w:sz w:val="16"/>
              </w:rPr>
              <w:t>支持基层国家</w:t>
            </w:r>
            <w:r>
              <w:rPr>
                <w:rFonts w:hint="eastAsia" w:ascii="宋体" w:hAnsi="宋体"/>
                <w:sz w:val="16"/>
                <w:lang w:eastAsia="zh-CN"/>
              </w:rPr>
              <w:t>权力机关</w:t>
            </w:r>
            <w:r>
              <w:rPr>
                <w:rFonts w:ascii="宋体" w:hAnsi="宋体" w:eastAsia="宋体"/>
                <w:sz w:val="16"/>
              </w:rPr>
              <w:t>发挥作用。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0753EF">
            <w:pPr>
              <w:jc w:val="both"/>
            </w:pPr>
            <w:r>
              <w:rPr>
                <w:rFonts w:ascii="宋体" w:hAnsi="宋体" w:eastAsia="宋体"/>
                <w:sz w:val="16"/>
              </w:rPr>
              <w:t>截至目前，该项目已完成保障我县42个人大代表联络站（人大代表工作室）的正常运行，及130名人大代表在联络站的活动，学习，培训的正常开展，进一步完善联络站，工作室办公条件，及时购买办公用品保障日常工作的开展。 通过项目的实施，改善基层办公条件，更好</w:t>
            </w:r>
            <w:r>
              <w:rPr>
                <w:rFonts w:hint="eastAsia" w:ascii="宋体" w:hAnsi="宋体"/>
                <w:sz w:val="16"/>
                <w:lang w:eastAsia="zh-CN"/>
              </w:rPr>
              <w:t>地</w:t>
            </w:r>
            <w:r>
              <w:rPr>
                <w:rFonts w:ascii="宋体" w:hAnsi="宋体" w:eastAsia="宋体"/>
                <w:sz w:val="16"/>
              </w:rPr>
              <w:t>支持基层国家</w:t>
            </w:r>
            <w:r>
              <w:rPr>
                <w:rFonts w:hint="eastAsia" w:ascii="宋体" w:hAnsi="宋体"/>
                <w:sz w:val="16"/>
                <w:lang w:eastAsia="zh-CN"/>
              </w:rPr>
              <w:t>权力机关</w:t>
            </w:r>
            <w:r>
              <w:rPr>
                <w:rFonts w:ascii="宋体" w:hAnsi="宋体" w:eastAsia="宋体"/>
                <w:sz w:val="16"/>
              </w:rPr>
              <w:t>发挥作用。</w:t>
            </w:r>
          </w:p>
        </w:tc>
      </w:tr>
      <w:tr w14:paraId="64623B3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2C867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2751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E256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8737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750D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6AA3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8801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46EC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88447">
            <w:pPr>
              <w:jc w:val="center"/>
            </w:pPr>
            <w:r>
              <w:rPr>
                <w:rFonts w:ascii="宋体" w:hAnsi="宋体" w:eastAsia="宋体"/>
                <w:sz w:val="16"/>
              </w:rPr>
              <w:t>偏差原因分析及改进措施</w:t>
            </w:r>
          </w:p>
        </w:tc>
      </w:tr>
      <w:tr w14:paraId="141DC5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9649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C161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94E2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D21E2">
            <w:pPr>
              <w:jc w:val="center"/>
            </w:pPr>
            <w:r>
              <w:rPr>
                <w:rFonts w:ascii="宋体" w:hAnsi="宋体" w:eastAsia="宋体"/>
                <w:sz w:val="16"/>
              </w:rPr>
              <w:t>全县代表联络站（人大代表工作室）数量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7B2EE">
            <w:pPr>
              <w:jc w:val="center"/>
            </w:pPr>
            <w:r>
              <w:rPr>
                <w:rFonts w:ascii="宋体" w:hAnsi="宋体" w:eastAsia="宋体"/>
                <w:sz w:val="16"/>
              </w:rPr>
              <w:t>=42个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4DD50">
            <w:pPr>
              <w:jc w:val="center"/>
            </w:pPr>
            <w:r>
              <w:rPr>
                <w:rFonts w:ascii="宋体" w:hAnsi="宋体" w:eastAsia="宋体"/>
                <w:sz w:val="16"/>
              </w:rPr>
              <w:t>=42个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4B93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A12E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9A928">
            <w:pPr>
              <w:jc w:val="center"/>
            </w:pPr>
          </w:p>
        </w:tc>
      </w:tr>
      <w:tr w14:paraId="62A331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BB2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D314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6558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0A642">
            <w:pPr>
              <w:jc w:val="center"/>
            </w:pPr>
            <w:r>
              <w:rPr>
                <w:rFonts w:ascii="宋体" w:hAnsi="宋体" w:eastAsia="宋体"/>
                <w:sz w:val="16"/>
              </w:rPr>
              <w:t>人大代表人数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BA7D1">
            <w:pPr>
              <w:jc w:val="center"/>
            </w:pPr>
            <w:r>
              <w:rPr>
                <w:rFonts w:ascii="宋体" w:hAnsi="宋体" w:eastAsia="宋体"/>
                <w:sz w:val="16"/>
              </w:rPr>
              <w:t>=130人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B73E1">
            <w:pPr>
              <w:jc w:val="center"/>
            </w:pPr>
            <w:r>
              <w:rPr>
                <w:rFonts w:ascii="宋体" w:hAnsi="宋体" w:eastAsia="宋体"/>
                <w:sz w:val="16"/>
              </w:rPr>
              <w:t>=130人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4DB2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15FF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8D24A">
            <w:pPr>
              <w:jc w:val="center"/>
            </w:pPr>
          </w:p>
        </w:tc>
      </w:tr>
      <w:tr w14:paraId="668DC5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A136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79BB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7F4A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C06EE">
            <w:pPr>
              <w:jc w:val="center"/>
            </w:pPr>
            <w:r>
              <w:rPr>
                <w:rFonts w:ascii="宋体" w:hAnsi="宋体" w:eastAsia="宋体"/>
                <w:sz w:val="16"/>
              </w:rPr>
              <w:t>提升办公效率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DBEF4">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622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6679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C57B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E4A83">
            <w:pPr>
              <w:jc w:val="center"/>
            </w:pPr>
          </w:p>
        </w:tc>
      </w:tr>
      <w:tr w14:paraId="24EC16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677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9B85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6EA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FF05E">
            <w:pPr>
              <w:jc w:val="center"/>
            </w:pPr>
            <w:r>
              <w:rPr>
                <w:rFonts w:ascii="宋体" w:hAnsi="宋体" w:eastAsia="宋体"/>
                <w:sz w:val="16"/>
              </w:rPr>
              <w:t>资金使用合规性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14C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EA8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F0F5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106B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B4596">
            <w:pPr>
              <w:jc w:val="center"/>
            </w:pPr>
          </w:p>
        </w:tc>
      </w:tr>
      <w:tr w14:paraId="3CE240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0599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140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19AC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BBFF0">
            <w:pPr>
              <w:jc w:val="center"/>
            </w:pPr>
            <w:r>
              <w:rPr>
                <w:rFonts w:ascii="宋体" w:hAnsi="宋体" w:eastAsia="宋体"/>
                <w:sz w:val="16"/>
              </w:rPr>
              <w:t>补助经费支付及时率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ABA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7FE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5A87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EA94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E392B">
            <w:pPr>
              <w:jc w:val="center"/>
            </w:pPr>
            <w:r>
              <w:rPr>
                <w:rFonts w:ascii="宋体" w:hAnsi="宋体" w:eastAsia="宋体"/>
                <w:sz w:val="16"/>
              </w:rPr>
              <w:t>资金正在办理支付手续，手续下达及时支付。</w:t>
            </w:r>
          </w:p>
        </w:tc>
      </w:tr>
      <w:tr w14:paraId="287F48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8D78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E7A8C">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B0EF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D4BD7">
            <w:pPr>
              <w:jc w:val="center"/>
            </w:pPr>
            <w:r>
              <w:rPr>
                <w:rFonts w:ascii="宋体" w:hAnsi="宋体" w:eastAsia="宋体"/>
                <w:sz w:val="16"/>
              </w:rPr>
              <w:t>代表联络站建设成本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44F8F">
            <w:pPr>
              <w:jc w:val="center"/>
            </w:pPr>
            <w:r>
              <w:rPr>
                <w:rFonts w:ascii="宋体" w:hAnsi="宋体" w:eastAsia="宋体"/>
                <w:sz w:val="16"/>
              </w:rPr>
              <w:t>=5万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37A37">
            <w:pPr>
              <w:jc w:val="center"/>
            </w:pPr>
            <w:r>
              <w:rPr>
                <w:rFonts w:ascii="宋体" w:hAnsi="宋体" w:eastAsia="宋体"/>
                <w:sz w:val="16"/>
              </w:rPr>
              <w:t>=3.89万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44D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E0C3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2C9FB">
            <w:pPr>
              <w:jc w:val="center"/>
            </w:pPr>
            <w:r>
              <w:rPr>
                <w:rFonts w:ascii="宋体" w:hAnsi="宋体" w:eastAsia="宋体"/>
                <w:sz w:val="16"/>
              </w:rPr>
              <w:t>资金正在办理支付手续，手续下达及时支付。</w:t>
            </w:r>
          </w:p>
        </w:tc>
      </w:tr>
      <w:tr w14:paraId="4FEF9F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256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62A5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075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E3904">
            <w:pPr>
              <w:jc w:val="center"/>
            </w:pPr>
            <w:r>
              <w:rPr>
                <w:rFonts w:ascii="宋体" w:hAnsi="宋体" w:eastAsia="宋体"/>
                <w:sz w:val="16"/>
              </w:rPr>
              <w:t>办公经费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F44B5">
            <w:pPr>
              <w:jc w:val="center"/>
            </w:pPr>
            <w:r>
              <w:rPr>
                <w:rFonts w:ascii="宋体" w:hAnsi="宋体" w:eastAsia="宋体"/>
                <w:sz w:val="16"/>
              </w:rPr>
              <w:t>=8万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A887F">
            <w:pPr>
              <w:jc w:val="center"/>
            </w:pPr>
            <w:r>
              <w:rPr>
                <w:rFonts w:ascii="宋体" w:hAnsi="宋体" w:eastAsia="宋体"/>
                <w:sz w:val="16"/>
              </w:rPr>
              <w:t>=4.77万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A05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A1A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1B89B">
            <w:pPr>
              <w:jc w:val="center"/>
            </w:pPr>
            <w:r>
              <w:rPr>
                <w:rFonts w:ascii="宋体" w:hAnsi="宋体" w:eastAsia="宋体"/>
                <w:sz w:val="16"/>
              </w:rPr>
              <w:t>资金正在办理支付手续，手续下达及时支付。</w:t>
            </w:r>
          </w:p>
        </w:tc>
      </w:tr>
      <w:tr w14:paraId="6C75FE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38FE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E8C0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8E79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0851F">
            <w:pPr>
              <w:jc w:val="center"/>
            </w:pPr>
            <w:r>
              <w:rPr>
                <w:rFonts w:hint="eastAsia" w:ascii="宋体" w:hAnsi="宋体"/>
                <w:sz w:val="16"/>
                <w:lang w:eastAsia="zh-CN"/>
              </w:rPr>
              <w:t>提高</w:t>
            </w:r>
            <w:r>
              <w:rPr>
                <w:rFonts w:ascii="宋体" w:hAnsi="宋体" w:eastAsia="宋体"/>
                <w:sz w:val="16"/>
              </w:rPr>
              <w:t>基层人大代表履职能力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A3B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1DA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655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411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03C8F">
            <w:pPr>
              <w:jc w:val="center"/>
            </w:pPr>
          </w:p>
        </w:tc>
      </w:tr>
      <w:tr w14:paraId="60CF42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284C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846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770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36D2D">
            <w:pPr>
              <w:jc w:val="center"/>
            </w:pPr>
            <w:r>
              <w:rPr>
                <w:rFonts w:ascii="宋体" w:hAnsi="宋体" w:eastAsia="宋体"/>
                <w:sz w:val="16"/>
              </w:rPr>
              <w:t>改善基层人大办公环境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29280">
            <w:pPr>
              <w:jc w:val="center"/>
            </w:pPr>
            <w:r>
              <w:rPr>
                <w:rFonts w:ascii="宋体" w:hAnsi="宋体" w:eastAsia="宋体"/>
                <w:sz w:val="16"/>
              </w:rPr>
              <w:t>有所改善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886C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AF3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D2D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8E2E6">
            <w:pPr>
              <w:jc w:val="center"/>
            </w:pPr>
          </w:p>
        </w:tc>
      </w:tr>
      <w:tr w14:paraId="1FFEE5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18F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D55B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012D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DCB9F">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C16A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14F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073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609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CBE78">
            <w:pPr>
              <w:jc w:val="center"/>
            </w:pPr>
          </w:p>
        </w:tc>
      </w:tr>
      <w:tr w14:paraId="6F6C48D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646CF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B2AF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E47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A27CF">
            <w:pPr>
              <w:jc w:val="center"/>
            </w:pPr>
            <w:r>
              <w:rPr>
                <w:rFonts w:ascii="宋体" w:hAnsi="宋体" w:eastAsia="宋体"/>
                <w:sz w:val="16"/>
              </w:rPr>
              <w:t>63.66分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8DB9376"/>
        </w:tc>
      </w:tr>
    </w:tbl>
    <w:p w14:paraId="4A19B2D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806"/>
        <w:gridCol w:w="177"/>
        <w:gridCol w:w="598"/>
        <w:gridCol w:w="385"/>
        <w:gridCol w:w="983"/>
      </w:tblGrid>
      <w:tr w14:paraId="1E208810">
        <w:tblPrEx>
          <w:tblCellMar>
            <w:top w:w="0" w:type="dxa"/>
            <w:left w:w="108" w:type="dxa"/>
            <w:bottom w:w="0" w:type="dxa"/>
            <w:right w:w="108" w:type="dxa"/>
          </w:tblCellMar>
        </w:tblPrEx>
        <w:tc>
          <w:tcPr>
            <w:tcW w:w="8847" w:type="dxa"/>
            <w:gridSpan w:val="11"/>
            <w:vAlign w:val="center"/>
          </w:tcPr>
          <w:p w14:paraId="261C3A86">
            <w:pPr>
              <w:jc w:val="center"/>
            </w:pPr>
            <w:r>
              <w:rPr>
                <w:rFonts w:ascii="宋体" w:hAnsi="宋体" w:eastAsia="宋体"/>
                <w:sz w:val="24"/>
              </w:rPr>
              <w:t>项目支出绩效自评表</w:t>
            </w:r>
          </w:p>
        </w:tc>
      </w:tr>
      <w:tr w14:paraId="24B41215">
        <w:tblPrEx>
          <w:tblCellMar>
            <w:top w:w="0" w:type="dxa"/>
            <w:left w:w="108" w:type="dxa"/>
            <w:bottom w:w="0" w:type="dxa"/>
            <w:right w:w="108" w:type="dxa"/>
          </w:tblCellMar>
        </w:tblPrEx>
        <w:tc>
          <w:tcPr>
            <w:tcW w:w="8847" w:type="dxa"/>
            <w:gridSpan w:val="11"/>
            <w:vAlign w:val="center"/>
          </w:tcPr>
          <w:p w14:paraId="3BEBF489">
            <w:pPr>
              <w:jc w:val="center"/>
            </w:pPr>
            <w:r>
              <w:rPr>
                <w:rFonts w:ascii="宋体" w:hAnsi="宋体" w:eastAsia="宋体"/>
                <w:sz w:val="24"/>
              </w:rPr>
              <w:t>(2024年度)</w:t>
            </w:r>
          </w:p>
        </w:tc>
      </w:tr>
      <w:tr w14:paraId="1322FC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B0021">
            <w:pPr>
              <w:jc w:val="center"/>
            </w:pPr>
            <w:r>
              <w:rPr>
                <w:rFonts w:ascii="宋体" w:hAnsi="宋体" w:eastAsia="宋体"/>
                <w:sz w:val="16"/>
              </w:rPr>
              <w:t>项目名称</w:t>
            </w:r>
          </w:p>
        </w:tc>
        <w:tc>
          <w:tcPr>
            <w:tcW w:w="7864"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1BC57D25">
            <w:pPr>
              <w:jc w:val="center"/>
            </w:pPr>
            <w:r>
              <w:rPr>
                <w:rFonts w:ascii="宋体" w:hAnsi="宋体" w:eastAsia="宋体"/>
                <w:sz w:val="16"/>
              </w:rPr>
              <w:t>自治区人大代表活动经费</w:t>
            </w:r>
          </w:p>
        </w:tc>
      </w:tr>
      <w:tr w14:paraId="134160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990D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2644C6">
            <w:pPr>
              <w:jc w:val="center"/>
            </w:pPr>
            <w:r>
              <w:rPr>
                <w:rFonts w:ascii="宋体" w:hAnsi="宋体" w:eastAsia="宋体"/>
                <w:sz w:val="16"/>
              </w:rPr>
              <w:t>民丰县人民代表大会常务委员会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7266C">
            <w:pPr>
              <w:jc w:val="center"/>
            </w:pPr>
            <w:r>
              <w:rPr>
                <w:rFonts w:ascii="宋体" w:hAnsi="宋体" w:eastAsia="宋体"/>
                <w:sz w:val="16"/>
              </w:rPr>
              <w:t>实施单位</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247300">
            <w:pPr>
              <w:jc w:val="center"/>
            </w:pPr>
            <w:r>
              <w:rPr>
                <w:rFonts w:ascii="宋体" w:hAnsi="宋体" w:eastAsia="宋体"/>
                <w:sz w:val="16"/>
              </w:rPr>
              <w:t>民丰县人民代表大会常务委员会办公室</w:t>
            </w:r>
          </w:p>
        </w:tc>
      </w:tr>
      <w:tr w14:paraId="54EFCD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18D1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2292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4624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F1E3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E3328">
            <w:pPr>
              <w:jc w:val="center"/>
            </w:pPr>
            <w:r>
              <w:rPr>
                <w:rFonts w:ascii="宋体" w:hAnsi="宋体" w:eastAsia="宋体"/>
                <w:sz w:val="16"/>
              </w:rPr>
              <w:t>全年执行数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5BFBA">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FC30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319FF">
            <w:pPr>
              <w:jc w:val="center"/>
            </w:pPr>
            <w:r>
              <w:rPr>
                <w:rFonts w:ascii="宋体" w:hAnsi="宋体" w:eastAsia="宋体"/>
                <w:sz w:val="16"/>
              </w:rPr>
              <w:t>得分</w:t>
            </w:r>
          </w:p>
        </w:tc>
      </w:tr>
      <w:tr w14:paraId="114A6C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339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504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D8B89">
            <w:pPr>
              <w:jc w:val="center"/>
            </w:pPr>
            <w:r>
              <w:rPr>
                <w:rFonts w:ascii="宋体" w:hAnsi="宋体" w:eastAsia="宋体"/>
                <w:sz w:val="16"/>
              </w:rPr>
              <w:t>0.76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EC968">
            <w:pPr>
              <w:jc w:val="center"/>
            </w:pPr>
            <w:r>
              <w:rPr>
                <w:rFonts w:ascii="宋体" w:hAnsi="宋体" w:eastAsia="宋体"/>
                <w:sz w:val="16"/>
              </w:rPr>
              <w:t>0.76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98734">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D1E89">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0C4B">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D34C8">
            <w:pPr>
              <w:jc w:val="center"/>
            </w:pPr>
            <w:r>
              <w:rPr>
                <w:rFonts w:ascii="宋体" w:hAnsi="宋体" w:eastAsia="宋体"/>
                <w:sz w:val="16"/>
              </w:rPr>
              <w:t>0.00分</w:t>
            </w:r>
          </w:p>
        </w:tc>
      </w:tr>
      <w:tr w14:paraId="7E0693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40F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0A22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B6F4C">
            <w:pPr>
              <w:jc w:val="center"/>
            </w:pPr>
            <w:r>
              <w:rPr>
                <w:rFonts w:ascii="宋体" w:hAnsi="宋体" w:eastAsia="宋体"/>
                <w:sz w:val="16"/>
              </w:rPr>
              <w:t>0.76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79D83">
            <w:pPr>
              <w:jc w:val="center"/>
            </w:pPr>
            <w:r>
              <w:rPr>
                <w:rFonts w:ascii="宋体" w:hAnsi="宋体" w:eastAsia="宋体"/>
                <w:sz w:val="16"/>
              </w:rPr>
              <w:t>0.76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DF450">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CBB7">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B34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99EFC">
            <w:pPr>
              <w:jc w:val="center"/>
            </w:pPr>
            <w:r>
              <w:rPr>
                <w:rFonts w:ascii="宋体" w:hAnsi="宋体" w:eastAsia="宋体"/>
                <w:sz w:val="16"/>
              </w:rPr>
              <w:t>—</w:t>
            </w:r>
          </w:p>
        </w:tc>
      </w:tr>
      <w:tr w14:paraId="3BB78B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091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4FDA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E6A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034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B8BE4">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8174B">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3AA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C2435">
            <w:pPr>
              <w:jc w:val="center"/>
            </w:pPr>
            <w:r>
              <w:rPr>
                <w:rFonts w:ascii="宋体" w:hAnsi="宋体" w:eastAsia="宋体"/>
                <w:sz w:val="16"/>
              </w:rPr>
              <w:t>—</w:t>
            </w:r>
          </w:p>
        </w:tc>
      </w:tr>
      <w:tr w14:paraId="0C1FFE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F1A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9160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99D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874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31BD2">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BBAC2">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3F1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F0AB2">
            <w:pPr>
              <w:jc w:val="center"/>
            </w:pPr>
            <w:r>
              <w:rPr>
                <w:rFonts w:ascii="宋体" w:hAnsi="宋体" w:eastAsia="宋体"/>
                <w:sz w:val="16"/>
              </w:rPr>
              <w:t>—</w:t>
            </w:r>
          </w:p>
        </w:tc>
      </w:tr>
      <w:tr w14:paraId="129BCB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7B1AE">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280D48">
            <w:pPr>
              <w:jc w:val="center"/>
            </w:pPr>
            <w:r>
              <w:rPr>
                <w:rFonts w:ascii="宋体" w:hAnsi="宋体" w:eastAsia="宋体"/>
                <w:sz w:val="16"/>
              </w:rPr>
              <w:t>预期目标</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6B0B26">
            <w:pPr>
              <w:jc w:val="center"/>
            </w:pPr>
            <w:r>
              <w:rPr>
                <w:rFonts w:ascii="宋体" w:hAnsi="宋体" w:eastAsia="宋体"/>
                <w:sz w:val="16"/>
              </w:rPr>
              <w:t>实际完成情况</w:t>
            </w:r>
          </w:p>
        </w:tc>
      </w:tr>
      <w:tr w14:paraId="1EB602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9D759F"/>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0ACB8E">
            <w:pPr>
              <w:jc w:val="both"/>
            </w:pPr>
            <w:r>
              <w:rPr>
                <w:rFonts w:ascii="宋体" w:hAnsi="宋体" w:eastAsia="宋体"/>
                <w:sz w:val="16"/>
              </w:rPr>
              <w:t>根据和地财行</w:t>
            </w:r>
            <w:r>
              <w:rPr>
                <w:rFonts w:hint="eastAsia" w:ascii="宋体" w:hAnsi="宋体"/>
                <w:sz w:val="16"/>
                <w:lang w:eastAsia="zh-CN"/>
              </w:rPr>
              <w:t>〔2022〕37号</w:t>
            </w:r>
            <w:r>
              <w:rPr>
                <w:rFonts w:ascii="宋体" w:hAnsi="宋体" w:eastAsia="宋体"/>
                <w:sz w:val="16"/>
              </w:rPr>
              <w:t>文件要求，实施本项目。主要内容：依法开展调研视察、学习培训、建设联络站和联系选民等活动。通过为人大代表活动提供必要的、合理的活动经费与服务，实现“保运转”的基本目标，确保民丰县人大代表开展闭会期间的活动，依法履职，进一步加强代表服务和保障、强化人大代表活动阵地建设，加强代表沟通联系，完善代表议案建立办理和督办工作机制。</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27520A">
            <w:pPr>
              <w:jc w:val="both"/>
            </w:pPr>
            <w:r>
              <w:rPr>
                <w:rFonts w:ascii="宋体" w:hAnsi="宋体" w:eastAsia="宋体"/>
                <w:sz w:val="16"/>
              </w:rPr>
              <w:t>截至2024年12月底，本项目预算安排0.76万元，实际支出0万元，预算执行率0%。项目未完成。</w:t>
            </w:r>
          </w:p>
        </w:tc>
      </w:tr>
      <w:tr w14:paraId="08EA96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38DC4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8F27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786D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996F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938E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7A04C">
            <w:pPr>
              <w:jc w:val="center"/>
            </w:pPr>
            <w:r>
              <w:rPr>
                <w:rFonts w:ascii="宋体" w:hAnsi="宋体" w:eastAsia="宋体"/>
                <w:sz w:val="16"/>
              </w:rPr>
              <w:t>实际完成值</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1784BE06">
            <w:pPr>
              <w:jc w:val="center"/>
            </w:pPr>
            <w:r>
              <w:rPr>
                <w:rFonts w:ascii="宋体" w:hAnsi="宋体" w:eastAsia="宋体"/>
                <w:sz w:val="16"/>
              </w:rPr>
              <w:t>分值</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C0E0F">
            <w:pPr>
              <w:jc w:val="center"/>
            </w:pPr>
            <w:r>
              <w:rPr>
                <w:rFonts w:ascii="宋体" w:hAnsi="宋体" w:eastAsia="宋体"/>
                <w:sz w:val="16"/>
              </w:rPr>
              <w:t>得分</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EFF37">
            <w:pPr>
              <w:jc w:val="center"/>
            </w:pPr>
            <w:r>
              <w:rPr>
                <w:rFonts w:ascii="宋体" w:hAnsi="宋体" w:eastAsia="宋体"/>
                <w:sz w:val="16"/>
              </w:rPr>
              <w:t>偏差原因分析及改进措施</w:t>
            </w:r>
          </w:p>
        </w:tc>
      </w:tr>
      <w:tr w14:paraId="326B15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5BA7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BCE3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5A1A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04187">
            <w:pPr>
              <w:jc w:val="center"/>
            </w:pPr>
            <w:r>
              <w:rPr>
                <w:rFonts w:ascii="宋体" w:hAnsi="宋体" w:eastAsia="宋体"/>
                <w:sz w:val="16"/>
              </w:rPr>
              <w:t>开展培训次数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15318">
            <w:pPr>
              <w:jc w:val="center"/>
            </w:pPr>
            <w:r>
              <w:rPr>
                <w:rFonts w:ascii="宋体" w:hAnsi="宋体" w:eastAsia="宋体"/>
                <w:sz w:val="16"/>
              </w:rPr>
              <w:t>=1次/季度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493E5">
            <w:pPr>
              <w:jc w:val="center"/>
            </w:pPr>
            <w:r>
              <w:rPr>
                <w:rFonts w:ascii="宋体" w:hAnsi="宋体" w:eastAsia="宋体"/>
                <w:sz w:val="16"/>
              </w:rPr>
              <w:t>=0次/季度</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52E79349">
            <w:pPr>
              <w:jc w:val="center"/>
            </w:pPr>
            <w:r>
              <w:rPr>
                <w:rFonts w:ascii="宋体" w:hAnsi="宋体" w:eastAsia="宋体"/>
                <w:sz w:val="16"/>
              </w:rPr>
              <w:t>5</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3E561">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F8A1C">
            <w:pPr>
              <w:jc w:val="center"/>
            </w:pPr>
            <w:r>
              <w:rPr>
                <w:rFonts w:ascii="宋体" w:hAnsi="宋体" w:eastAsia="宋体"/>
                <w:sz w:val="16"/>
              </w:rPr>
              <w:t>项目开始时缺乏明确的目标和计划，工作开展过程中变更工作计划导致项目未完成。</w:t>
            </w:r>
          </w:p>
        </w:tc>
      </w:tr>
      <w:tr w14:paraId="12B1B3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302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A2A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E4D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4BE5D">
            <w:pPr>
              <w:jc w:val="center"/>
            </w:pPr>
            <w:r>
              <w:rPr>
                <w:rFonts w:ascii="宋体" w:hAnsi="宋体" w:eastAsia="宋体"/>
                <w:sz w:val="16"/>
              </w:rPr>
              <w:t>开展培训天数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FB736">
            <w:pPr>
              <w:jc w:val="center"/>
            </w:pPr>
            <w:r>
              <w:rPr>
                <w:rFonts w:ascii="宋体" w:hAnsi="宋体" w:eastAsia="宋体"/>
                <w:sz w:val="16"/>
              </w:rPr>
              <w:t>=3天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F5045">
            <w:pPr>
              <w:jc w:val="center"/>
            </w:pPr>
            <w:r>
              <w:rPr>
                <w:rFonts w:ascii="宋体" w:hAnsi="宋体" w:eastAsia="宋体"/>
                <w:sz w:val="16"/>
              </w:rPr>
              <w:t>=0天</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12F03C97">
            <w:pPr>
              <w:jc w:val="center"/>
            </w:pPr>
            <w:r>
              <w:rPr>
                <w:rFonts w:ascii="宋体" w:hAnsi="宋体" w:eastAsia="宋体"/>
                <w:sz w:val="16"/>
              </w:rPr>
              <w:t>5</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EC8D7">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2F115">
            <w:pPr>
              <w:jc w:val="center"/>
            </w:pPr>
            <w:r>
              <w:rPr>
                <w:rFonts w:ascii="宋体" w:hAnsi="宋体" w:eastAsia="宋体"/>
                <w:sz w:val="16"/>
              </w:rPr>
              <w:t>项目开始时缺乏明确的目标和计划，工作开展过程中变更工作计划导致项目未完成。</w:t>
            </w:r>
          </w:p>
        </w:tc>
      </w:tr>
      <w:tr w14:paraId="687B73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1A7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497B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0BA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FA8B2">
            <w:pPr>
              <w:jc w:val="center"/>
            </w:pPr>
            <w:r>
              <w:rPr>
                <w:rFonts w:ascii="宋体" w:hAnsi="宋体" w:eastAsia="宋体"/>
                <w:sz w:val="16"/>
              </w:rPr>
              <w:t>各级人大代表人数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12F01">
            <w:pPr>
              <w:jc w:val="center"/>
            </w:pPr>
            <w:r>
              <w:rPr>
                <w:rFonts w:ascii="宋体" w:hAnsi="宋体" w:eastAsia="宋体"/>
                <w:sz w:val="16"/>
              </w:rPr>
              <w:t>=410名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76C5E">
            <w:pPr>
              <w:jc w:val="center"/>
            </w:pPr>
            <w:r>
              <w:rPr>
                <w:rFonts w:ascii="宋体" w:hAnsi="宋体" w:eastAsia="宋体"/>
                <w:sz w:val="16"/>
              </w:rPr>
              <w:t>=0名</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152D2DC9">
            <w:pPr>
              <w:jc w:val="center"/>
            </w:pPr>
            <w:r>
              <w:rPr>
                <w:rFonts w:ascii="宋体" w:hAnsi="宋体" w:eastAsia="宋体"/>
                <w:sz w:val="16"/>
              </w:rPr>
              <w:t>5</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8623F">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5F3A5">
            <w:pPr>
              <w:jc w:val="center"/>
            </w:pPr>
            <w:r>
              <w:rPr>
                <w:rFonts w:ascii="宋体" w:hAnsi="宋体" w:eastAsia="宋体"/>
                <w:sz w:val="16"/>
              </w:rPr>
              <w:t>项目开始时缺乏明确的目标和计划，工作开展过程中变更工作计划导致项目未完成。</w:t>
            </w:r>
          </w:p>
        </w:tc>
      </w:tr>
      <w:tr w14:paraId="54323F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884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AE43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9EB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103AB">
            <w:pPr>
              <w:jc w:val="center"/>
            </w:pPr>
            <w:r>
              <w:rPr>
                <w:rFonts w:ascii="宋体" w:hAnsi="宋体" w:eastAsia="宋体"/>
                <w:sz w:val="16"/>
              </w:rPr>
              <w:t>开展专题调研、视察次数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E82ED">
            <w:pPr>
              <w:jc w:val="center"/>
            </w:pPr>
            <w:r>
              <w:rPr>
                <w:rFonts w:ascii="宋体" w:hAnsi="宋体" w:eastAsia="宋体"/>
                <w:sz w:val="16"/>
              </w:rPr>
              <w:t>&gt;=24次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3564C">
            <w:pPr>
              <w:jc w:val="center"/>
            </w:pPr>
            <w:r>
              <w:rPr>
                <w:rFonts w:ascii="宋体" w:hAnsi="宋体" w:eastAsia="宋体"/>
                <w:sz w:val="16"/>
              </w:rPr>
              <w:t>=0次</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167363C4">
            <w:pPr>
              <w:jc w:val="center"/>
            </w:pPr>
            <w:r>
              <w:rPr>
                <w:rFonts w:ascii="宋体" w:hAnsi="宋体" w:eastAsia="宋体"/>
                <w:sz w:val="16"/>
              </w:rPr>
              <w:t>5</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C02FD">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CF523">
            <w:pPr>
              <w:jc w:val="center"/>
            </w:pPr>
            <w:r>
              <w:rPr>
                <w:rFonts w:ascii="宋体" w:hAnsi="宋体" w:eastAsia="宋体"/>
                <w:sz w:val="16"/>
              </w:rPr>
              <w:t>项目开始时缺乏明确的目标和计划，工作开展过程中变更工作计划导致项目未完成。</w:t>
            </w:r>
          </w:p>
        </w:tc>
      </w:tr>
      <w:tr w14:paraId="2A7713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C96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B2DB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DE20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EBB90">
            <w:pPr>
              <w:jc w:val="center"/>
            </w:pPr>
            <w:r>
              <w:rPr>
                <w:rFonts w:ascii="宋体" w:hAnsi="宋体" w:eastAsia="宋体"/>
                <w:sz w:val="16"/>
              </w:rPr>
              <w:t>开展调研工作人员数量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177FA">
            <w:pPr>
              <w:jc w:val="center"/>
            </w:pPr>
            <w:r>
              <w:rPr>
                <w:rFonts w:ascii="宋体" w:hAnsi="宋体" w:eastAsia="宋体"/>
                <w:sz w:val="16"/>
              </w:rPr>
              <w:t>&gt;=5名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85FE4">
            <w:pPr>
              <w:jc w:val="center"/>
            </w:pPr>
            <w:r>
              <w:rPr>
                <w:rFonts w:ascii="宋体" w:hAnsi="宋体" w:eastAsia="宋体"/>
                <w:sz w:val="16"/>
              </w:rPr>
              <w:t>=0名</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03747961">
            <w:pPr>
              <w:jc w:val="center"/>
            </w:pPr>
            <w:r>
              <w:rPr>
                <w:rFonts w:ascii="宋体" w:hAnsi="宋体" w:eastAsia="宋体"/>
                <w:sz w:val="16"/>
              </w:rPr>
              <w:t>6</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3F927">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A50D9">
            <w:pPr>
              <w:jc w:val="center"/>
            </w:pPr>
            <w:r>
              <w:rPr>
                <w:rFonts w:ascii="宋体" w:hAnsi="宋体" w:eastAsia="宋体"/>
                <w:sz w:val="16"/>
              </w:rPr>
              <w:t>项目开始时缺乏明确的目标和计划，工作开展过程中变更工作计划导致项目未完成。</w:t>
            </w:r>
          </w:p>
        </w:tc>
      </w:tr>
      <w:tr w14:paraId="442F4C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63C2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B23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6BB4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CCC6F">
            <w:pPr>
              <w:jc w:val="center"/>
            </w:pPr>
            <w:r>
              <w:rPr>
                <w:rFonts w:ascii="宋体" w:hAnsi="宋体" w:eastAsia="宋体"/>
                <w:sz w:val="16"/>
              </w:rPr>
              <w:t>建设联络站数量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27C62">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621CC">
            <w:pPr>
              <w:jc w:val="center"/>
            </w:pPr>
            <w:r>
              <w:rPr>
                <w:rFonts w:ascii="宋体" w:hAnsi="宋体" w:eastAsia="宋体"/>
                <w:sz w:val="16"/>
              </w:rPr>
              <w:t>=0个</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19A5CB1A">
            <w:pPr>
              <w:jc w:val="center"/>
            </w:pPr>
            <w:r>
              <w:rPr>
                <w:rFonts w:ascii="宋体" w:hAnsi="宋体" w:eastAsia="宋体"/>
                <w:sz w:val="16"/>
              </w:rPr>
              <w:t>6</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4D032">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33D2B">
            <w:pPr>
              <w:jc w:val="center"/>
            </w:pPr>
            <w:r>
              <w:rPr>
                <w:rFonts w:ascii="宋体" w:hAnsi="宋体" w:eastAsia="宋体"/>
                <w:sz w:val="16"/>
              </w:rPr>
              <w:t>项目开始时缺乏明确的目标和计划，工作开展过程中变更工作计划导致项目未完成。</w:t>
            </w:r>
          </w:p>
        </w:tc>
      </w:tr>
      <w:tr w14:paraId="016BFF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6833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16B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0698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4EBD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E5E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2F71B">
            <w:pPr>
              <w:jc w:val="center"/>
            </w:pPr>
            <w:r>
              <w:rPr>
                <w:rFonts w:ascii="宋体" w:hAnsi="宋体" w:eastAsia="宋体"/>
                <w:sz w:val="16"/>
              </w:rPr>
              <w:t>=0%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690C07AA">
            <w:pPr>
              <w:jc w:val="center"/>
            </w:pPr>
            <w:r>
              <w:rPr>
                <w:rFonts w:ascii="宋体" w:hAnsi="宋体" w:eastAsia="宋体"/>
                <w:sz w:val="16"/>
              </w:rPr>
              <w:t>6</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E52D2">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BAB7F">
            <w:pPr>
              <w:jc w:val="center"/>
            </w:pPr>
            <w:r>
              <w:rPr>
                <w:rFonts w:ascii="宋体" w:hAnsi="宋体" w:eastAsia="宋体"/>
                <w:sz w:val="16"/>
              </w:rPr>
              <w:t>项目开始时缺乏明确的目标和计划，工作开展过程中变更工作计划导致项目未完成。</w:t>
            </w:r>
          </w:p>
        </w:tc>
      </w:tr>
      <w:tr w14:paraId="372A90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5EB1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E2ADA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2DF2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CFA21">
            <w:pPr>
              <w:jc w:val="center"/>
            </w:pPr>
            <w:r>
              <w:rPr>
                <w:rFonts w:ascii="宋体" w:hAnsi="宋体" w:eastAsia="宋体"/>
                <w:sz w:val="16"/>
              </w:rPr>
              <w:t>项目开展及时率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EF9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798F4">
            <w:pPr>
              <w:jc w:val="center"/>
            </w:pPr>
            <w:r>
              <w:rPr>
                <w:rFonts w:ascii="宋体" w:hAnsi="宋体" w:eastAsia="宋体"/>
                <w:sz w:val="16"/>
              </w:rPr>
              <w:t>=0%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7857D231">
            <w:pPr>
              <w:jc w:val="center"/>
            </w:pPr>
            <w:r>
              <w:rPr>
                <w:rFonts w:ascii="宋体" w:hAnsi="宋体" w:eastAsia="宋体"/>
                <w:sz w:val="16"/>
              </w:rPr>
              <w:t>6</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44C7D">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6299B">
            <w:pPr>
              <w:jc w:val="center"/>
            </w:pPr>
            <w:r>
              <w:rPr>
                <w:rFonts w:ascii="宋体" w:hAnsi="宋体" w:eastAsia="宋体"/>
                <w:sz w:val="16"/>
              </w:rPr>
              <w:t>项目开始时缺乏明确的目标和计划，工作开展过程中变更工作计划导致项目未完成。</w:t>
            </w:r>
          </w:p>
        </w:tc>
      </w:tr>
      <w:tr w14:paraId="16D5B7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54A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9C2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5690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BFF7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763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0980F">
            <w:pPr>
              <w:jc w:val="center"/>
            </w:pPr>
            <w:r>
              <w:rPr>
                <w:rFonts w:ascii="宋体" w:hAnsi="宋体" w:eastAsia="宋体"/>
                <w:sz w:val="16"/>
              </w:rPr>
              <w:t>=0%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57A0E262">
            <w:pPr>
              <w:jc w:val="center"/>
            </w:pPr>
            <w:r>
              <w:rPr>
                <w:rFonts w:ascii="宋体" w:hAnsi="宋体" w:eastAsia="宋体"/>
                <w:sz w:val="16"/>
              </w:rPr>
              <w:t>6</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0A1DE">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38BAD">
            <w:pPr>
              <w:jc w:val="center"/>
            </w:pPr>
            <w:r>
              <w:rPr>
                <w:rFonts w:ascii="宋体" w:hAnsi="宋体" w:eastAsia="宋体"/>
                <w:sz w:val="16"/>
              </w:rPr>
              <w:t>项目开始时缺乏明确的目标和计划，工作开展过程中变更工作计划导致项目未完成。</w:t>
            </w:r>
          </w:p>
        </w:tc>
      </w:tr>
      <w:tr w14:paraId="770D5C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6FE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E182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24A7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6E6A3">
            <w:pPr>
              <w:jc w:val="center"/>
            </w:pPr>
            <w:r>
              <w:rPr>
                <w:rFonts w:ascii="宋体" w:hAnsi="宋体" w:eastAsia="宋体"/>
                <w:sz w:val="16"/>
              </w:rPr>
              <w:t>加强人大代表自身建设，全面提高履职保障水平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2E278">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C7851">
            <w:pPr>
              <w:jc w:val="center"/>
            </w:pPr>
            <w:r>
              <w:rPr>
                <w:rFonts w:ascii="宋体" w:hAnsi="宋体" w:eastAsia="宋体"/>
                <w:sz w:val="16"/>
              </w:rPr>
              <w:t>实现目标程度较低</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5D81DF4B">
            <w:pPr>
              <w:jc w:val="center"/>
            </w:pPr>
            <w:r>
              <w:rPr>
                <w:rFonts w:ascii="宋体" w:hAnsi="宋体" w:eastAsia="宋体"/>
                <w:sz w:val="16"/>
              </w:rPr>
              <w:t>30</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957CD">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0DB6E">
            <w:pPr>
              <w:jc w:val="center"/>
            </w:pPr>
            <w:r>
              <w:rPr>
                <w:rFonts w:ascii="宋体" w:hAnsi="宋体" w:eastAsia="宋体"/>
                <w:sz w:val="16"/>
              </w:rPr>
              <w:t>项目开始时缺乏明确的目标和计划，工作开展过程中变更工作计划导致项目未完成。</w:t>
            </w:r>
          </w:p>
        </w:tc>
      </w:tr>
      <w:tr w14:paraId="108F05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3962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A485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6B6E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6DF8F">
            <w:pPr>
              <w:jc w:val="center"/>
            </w:pPr>
            <w:r>
              <w:rPr>
                <w:rFonts w:ascii="宋体" w:hAnsi="宋体" w:eastAsia="宋体"/>
                <w:sz w:val="16"/>
              </w:rPr>
              <w:t>为活动代表提供服务的满意度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63A4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857FB">
            <w:pPr>
              <w:jc w:val="center"/>
            </w:pPr>
            <w:r>
              <w:rPr>
                <w:rFonts w:ascii="宋体" w:hAnsi="宋体" w:eastAsia="宋体"/>
                <w:sz w:val="16"/>
              </w:rPr>
              <w:t>=0%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289E8D10">
            <w:pPr>
              <w:jc w:val="center"/>
            </w:pPr>
            <w:r>
              <w:rPr>
                <w:rFonts w:ascii="宋体" w:hAnsi="宋体" w:eastAsia="宋体"/>
                <w:sz w:val="16"/>
              </w:rPr>
              <w:t>10</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8C076">
            <w:pPr>
              <w:jc w:val="center"/>
            </w:pPr>
            <w:r>
              <w:rPr>
                <w:rFonts w:ascii="宋体" w:hAnsi="宋体" w:eastAsia="宋体"/>
                <w:sz w:val="16"/>
              </w:rPr>
              <w:t>0</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7DD1C">
            <w:pPr>
              <w:jc w:val="center"/>
            </w:pPr>
            <w:r>
              <w:rPr>
                <w:rFonts w:ascii="宋体" w:hAnsi="宋体" w:eastAsia="宋体"/>
                <w:sz w:val="16"/>
              </w:rPr>
              <w:t>项目开始时缺乏明确的目标和计划，工作开展过程中变更工作计划导致项目未完成。</w:t>
            </w:r>
          </w:p>
        </w:tc>
      </w:tr>
      <w:tr w14:paraId="162151E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3FA52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15549D"/>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3EEB6F44">
            <w:pPr>
              <w:jc w:val="center"/>
            </w:pPr>
            <w:r>
              <w:rPr>
                <w:rFonts w:ascii="宋体" w:hAnsi="宋体" w:eastAsia="宋体"/>
                <w:sz w:val="16"/>
              </w:rPr>
              <w:t>100</w:t>
            </w:r>
          </w:p>
        </w:tc>
        <w:tc>
          <w:tcPr>
            <w:tcW w:w="7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73677">
            <w:pPr>
              <w:jc w:val="center"/>
            </w:pPr>
            <w:r>
              <w:rPr>
                <w:rFonts w:ascii="宋体" w:hAnsi="宋体" w:eastAsia="宋体"/>
                <w:sz w:val="16"/>
              </w:rPr>
              <w:t>0分</w:t>
            </w:r>
          </w:p>
        </w:tc>
        <w:tc>
          <w:tcPr>
            <w:tcW w:w="1368" w:type="dxa"/>
            <w:gridSpan w:val="2"/>
            <w:tcBorders>
              <w:top w:val="single" w:color="auto" w:sz="10" w:space="0"/>
              <w:left w:val="single" w:color="auto" w:sz="10" w:space="0"/>
              <w:bottom w:val="single" w:color="auto" w:sz="10" w:space="0"/>
              <w:right w:val="single" w:color="auto" w:sz="10" w:space="0"/>
              <w:insideV w:val="single" w:sz="10" w:space="0"/>
            </w:tcBorders>
          </w:tcPr>
          <w:p w14:paraId="28183847"/>
        </w:tc>
      </w:tr>
    </w:tbl>
    <w:p w14:paraId="2C4CB8F3">
      <w:r>
        <w:br w:type="page"/>
      </w:r>
    </w:p>
    <w:p w14:paraId="1A95458C">
      <w:pPr>
        <w:spacing w:line="640" w:lineRule="exact"/>
        <w:ind w:firstLine="640"/>
        <w:jc w:val="both"/>
        <w:outlineLvl w:val="2"/>
      </w:pPr>
      <w:r>
        <w:rPr>
          <w:rFonts w:ascii="黑体" w:hAnsi="黑体" w:eastAsia="黑体"/>
          <w:sz w:val="32"/>
        </w:rPr>
        <w:t>十二、其他需说明的事项</w:t>
      </w:r>
    </w:p>
    <w:p w14:paraId="5AB5F217">
      <w:pPr>
        <w:spacing w:line="580" w:lineRule="exact"/>
        <w:ind w:firstLine="640"/>
        <w:jc w:val="both"/>
      </w:pPr>
      <w:r>
        <w:rPr>
          <w:rFonts w:ascii="仿宋_GB2312" w:hAnsi="仿宋_GB2312" w:eastAsia="仿宋_GB2312"/>
          <w:b w:val="0"/>
          <w:sz w:val="32"/>
        </w:rPr>
        <w:t>本单位无其他需说明的事项。</w:t>
      </w:r>
    </w:p>
    <w:p w14:paraId="35214656">
      <w:r>
        <w:br w:type="page"/>
      </w:r>
    </w:p>
    <w:p w14:paraId="0FAB8F71">
      <w:pPr>
        <w:spacing w:line="240" w:lineRule="auto"/>
        <w:jc w:val="center"/>
        <w:outlineLvl w:val="1"/>
      </w:pPr>
      <w:r>
        <w:rPr>
          <w:rFonts w:ascii="黑体" w:hAnsi="黑体" w:eastAsia="黑体"/>
          <w:sz w:val="32"/>
        </w:rPr>
        <w:t>第三部分 专业名词解释</w:t>
      </w:r>
    </w:p>
    <w:p w14:paraId="6FF19DB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10761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B9046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854096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36116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D668C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D1B8A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C2BC5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2E622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CE78B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210C2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C3421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52ADE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AA22F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E16F78">
      <w:r>
        <w:br w:type="page"/>
      </w:r>
    </w:p>
    <w:p w14:paraId="60A169AD">
      <w:pPr>
        <w:spacing w:line="240" w:lineRule="auto"/>
        <w:jc w:val="center"/>
        <w:outlineLvl w:val="1"/>
      </w:pPr>
      <w:r>
        <w:rPr>
          <w:rFonts w:ascii="黑体" w:hAnsi="黑体" w:eastAsia="黑体"/>
          <w:sz w:val="32"/>
        </w:rPr>
        <w:t>第四部分 部门决算报表（见附表）</w:t>
      </w:r>
    </w:p>
    <w:p w14:paraId="6FC9EFFC">
      <w:pPr>
        <w:spacing w:line="240" w:lineRule="auto"/>
        <w:ind w:firstLine="640"/>
        <w:jc w:val="both"/>
      </w:pPr>
      <w:r>
        <w:rPr>
          <w:rFonts w:ascii="仿宋_GB2312" w:hAnsi="仿宋_GB2312" w:eastAsia="仿宋_GB2312"/>
          <w:b w:val="0"/>
          <w:sz w:val="32"/>
        </w:rPr>
        <w:t>一、《收入支出决算总表》</w:t>
      </w:r>
    </w:p>
    <w:p w14:paraId="064B7B04">
      <w:pPr>
        <w:spacing w:line="240" w:lineRule="auto"/>
        <w:ind w:firstLine="640"/>
        <w:jc w:val="both"/>
      </w:pPr>
      <w:r>
        <w:rPr>
          <w:rFonts w:ascii="仿宋_GB2312" w:hAnsi="仿宋_GB2312" w:eastAsia="仿宋_GB2312"/>
          <w:b w:val="0"/>
          <w:sz w:val="32"/>
        </w:rPr>
        <w:t>二、《收入决算表》</w:t>
      </w:r>
    </w:p>
    <w:p w14:paraId="0C3DF992">
      <w:pPr>
        <w:spacing w:line="240" w:lineRule="auto"/>
        <w:ind w:firstLine="640"/>
        <w:jc w:val="both"/>
      </w:pPr>
      <w:r>
        <w:rPr>
          <w:rFonts w:ascii="仿宋_GB2312" w:hAnsi="仿宋_GB2312" w:eastAsia="仿宋_GB2312"/>
          <w:b w:val="0"/>
          <w:sz w:val="32"/>
        </w:rPr>
        <w:t>三、《支出决算表》</w:t>
      </w:r>
    </w:p>
    <w:p w14:paraId="23E40C93">
      <w:pPr>
        <w:spacing w:line="240" w:lineRule="auto"/>
        <w:ind w:firstLine="640"/>
        <w:jc w:val="both"/>
      </w:pPr>
      <w:r>
        <w:rPr>
          <w:rFonts w:ascii="仿宋_GB2312" w:hAnsi="仿宋_GB2312" w:eastAsia="仿宋_GB2312"/>
          <w:b w:val="0"/>
          <w:sz w:val="32"/>
        </w:rPr>
        <w:t>四、《财政拨款收入支出决算总表》</w:t>
      </w:r>
    </w:p>
    <w:p w14:paraId="48F4AAF8">
      <w:pPr>
        <w:spacing w:line="240" w:lineRule="auto"/>
        <w:ind w:firstLine="640"/>
        <w:jc w:val="both"/>
      </w:pPr>
      <w:r>
        <w:rPr>
          <w:rFonts w:ascii="仿宋_GB2312" w:hAnsi="仿宋_GB2312" w:eastAsia="仿宋_GB2312"/>
          <w:b w:val="0"/>
          <w:sz w:val="32"/>
        </w:rPr>
        <w:t>五、《一般公共预算财政拨款支出决算表》</w:t>
      </w:r>
    </w:p>
    <w:p w14:paraId="608C1E3C">
      <w:pPr>
        <w:spacing w:line="240" w:lineRule="auto"/>
        <w:ind w:firstLine="640"/>
        <w:jc w:val="both"/>
      </w:pPr>
      <w:r>
        <w:rPr>
          <w:rFonts w:ascii="仿宋_GB2312" w:hAnsi="仿宋_GB2312" w:eastAsia="仿宋_GB2312"/>
          <w:b w:val="0"/>
          <w:sz w:val="32"/>
        </w:rPr>
        <w:t>六、《一般公共预算财政拨款基本支出决算表》</w:t>
      </w:r>
    </w:p>
    <w:p w14:paraId="43F10FA4">
      <w:pPr>
        <w:spacing w:line="240" w:lineRule="auto"/>
        <w:ind w:firstLine="640"/>
        <w:jc w:val="both"/>
      </w:pPr>
      <w:r>
        <w:rPr>
          <w:rFonts w:ascii="仿宋_GB2312" w:hAnsi="仿宋_GB2312" w:eastAsia="仿宋_GB2312"/>
          <w:b w:val="0"/>
          <w:sz w:val="32"/>
        </w:rPr>
        <w:t>七、《政府性基金预算财政拨款收入支出决算表》</w:t>
      </w:r>
    </w:p>
    <w:p w14:paraId="54A804F1">
      <w:pPr>
        <w:spacing w:line="240" w:lineRule="auto"/>
        <w:ind w:firstLine="640"/>
        <w:jc w:val="both"/>
      </w:pPr>
      <w:r>
        <w:rPr>
          <w:rFonts w:ascii="仿宋_GB2312" w:hAnsi="仿宋_GB2312" w:eastAsia="仿宋_GB2312"/>
          <w:b w:val="0"/>
          <w:sz w:val="32"/>
        </w:rPr>
        <w:t>八、《国有资本经营预算财政拨款收入支出决算表》</w:t>
      </w:r>
    </w:p>
    <w:p w14:paraId="0064B1B8">
      <w:pPr>
        <w:spacing w:line="240" w:lineRule="auto"/>
        <w:ind w:firstLine="640"/>
        <w:jc w:val="both"/>
      </w:pPr>
      <w:r>
        <w:rPr>
          <w:rFonts w:ascii="仿宋_GB2312" w:hAnsi="仿宋_GB2312" w:eastAsia="仿宋_GB2312"/>
          <w:b w:val="0"/>
          <w:sz w:val="32"/>
        </w:rPr>
        <w:t>九、《财政拨款“三公”经费支出决算表》</w:t>
      </w:r>
    </w:p>
    <w:p w14:paraId="150C6C5E">
      <w:pPr>
        <w:spacing w:line="240" w:lineRule="auto"/>
        <w:ind w:firstLine="640"/>
        <w:jc w:val="both"/>
      </w:pPr>
    </w:p>
    <w:p w14:paraId="0822D5CB">
      <w:pPr>
        <w:spacing w:line="240" w:lineRule="auto"/>
        <w:ind w:firstLine="640"/>
        <w:jc w:val="both"/>
      </w:pPr>
    </w:p>
    <w:p w14:paraId="3B790ABF">
      <w:pPr>
        <w:spacing w:line="240" w:lineRule="auto"/>
        <w:ind w:firstLine="640"/>
        <w:jc w:val="both"/>
      </w:pPr>
    </w:p>
    <w:p w14:paraId="7351B3BD">
      <w:pPr>
        <w:spacing w:line="240" w:lineRule="auto"/>
        <w:ind w:firstLine="640"/>
        <w:jc w:val="both"/>
      </w:pPr>
    </w:p>
    <w:p w14:paraId="7EC7039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037228"/>
    <w:rsid w:val="71473612"/>
    <w:rsid w:val="718F7F65"/>
    <w:rsid w:val="73423603"/>
    <w:rsid w:val="737A5923"/>
    <w:rsid w:val="73DE4104"/>
    <w:rsid w:val="73FB6630"/>
    <w:rsid w:val="74CE04EC"/>
    <w:rsid w:val="74E76DCD"/>
    <w:rsid w:val="76660D7C"/>
    <w:rsid w:val="778A7CB6"/>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4907</Words>
  <Characters>5598</Characters>
  <Lines>0</Lines>
  <Paragraphs>0</Paragraphs>
  <TotalTime>15</TotalTime>
  <ScaleCrop>false</ScaleCrop>
  <LinksUpToDate>false</LinksUpToDate>
  <CharactersWithSpaces>5606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2025-09-25T04:30:28Z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