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79FC32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民丰县亚瓦通古孜乡小学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17206A">
      <w:r>
        <w:br w:type="page"/>
      </w:r>
    </w:p>
    <w:p w14:paraId="498FDDF5">
      <w:pPr>
        <w:spacing w:line="640" w:lineRule="exact"/>
        <w:jc w:val="center"/>
        <w:outlineLvl w:val="1"/>
      </w:pPr>
      <w:r>
        <w:rPr>
          <w:rFonts w:ascii="黑体" w:hAnsi="黑体" w:eastAsia="黑体"/>
          <w:sz w:val="32"/>
        </w:rPr>
        <w:t>第一部分 单位概况</w:t>
      </w:r>
    </w:p>
    <w:p w14:paraId="69A7D428">
      <w:pPr>
        <w:spacing w:line="640" w:lineRule="exact"/>
        <w:ind w:firstLine="640"/>
        <w:jc w:val="both"/>
        <w:outlineLvl w:val="2"/>
      </w:pPr>
      <w:r>
        <w:rPr>
          <w:rFonts w:ascii="黑体" w:hAnsi="黑体" w:eastAsia="黑体"/>
          <w:sz w:val="32"/>
        </w:rPr>
        <w:t>一、主要职能</w:t>
      </w:r>
    </w:p>
    <w:p w14:paraId="57FE7092">
      <w:pPr>
        <w:spacing w:line="580" w:lineRule="exact"/>
        <w:ind w:firstLine="640"/>
        <w:jc w:val="both"/>
      </w:pPr>
      <w:r>
        <w:rPr>
          <w:rFonts w:ascii="仿宋_GB2312" w:hAnsi="仿宋_GB2312" w:eastAsia="仿宋_GB2312"/>
          <w:sz w:val="32"/>
        </w:rPr>
        <w:t>民丰县亚瓦通古孜乡小学主要是教育、教学工作任务，业务范围</w:t>
      </w:r>
      <w:r>
        <w:rPr>
          <w:rFonts w:hint="eastAsia" w:ascii="仿宋_GB2312" w:hAnsi="仿宋_GB2312" w:eastAsia="仿宋_GB2312"/>
          <w:sz w:val="32"/>
          <w:lang w:eastAsia="zh-CN"/>
        </w:rPr>
        <w:t>是</w:t>
      </w:r>
      <w:r>
        <w:rPr>
          <w:rFonts w:ascii="仿宋_GB2312" w:hAnsi="仿宋_GB2312" w:eastAsia="仿宋_GB2312"/>
          <w:sz w:val="32"/>
        </w:rPr>
        <w:t>小学教育，具体承办的小学教育、义务教育学校标准化建设和均衡发展、小学教师继续教育培训、职称评定、管理小学教育教学、招聘教师、学校思想政治工作、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工作、工青妇等日常工作。</w:t>
      </w:r>
    </w:p>
    <w:p w14:paraId="350AD07F">
      <w:pPr>
        <w:spacing w:line="640" w:lineRule="exact"/>
        <w:ind w:firstLine="640"/>
        <w:jc w:val="both"/>
        <w:outlineLvl w:val="2"/>
      </w:pPr>
      <w:r>
        <w:rPr>
          <w:rFonts w:ascii="黑体" w:hAnsi="黑体" w:eastAsia="黑体"/>
          <w:sz w:val="32"/>
        </w:rPr>
        <w:t>二、机构设置及人员情况</w:t>
      </w:r>
    </w:p>
    <w:p w14:paraId="231C006B">
      <w:pPr>
        <w:spacing w:line="580" w:lineRule="exact"/>
        <w:ind w:firstLine="640"/>
        <w:jc w:val="both"/>
      </w:pPr>
      <w:r>
        <w:rPr>
          <w:rFonts w:ascii="仿宋_GB2312" w:hAnsi="仿宋_GB2312" w:eastAsia="仿宋_GB2312"/>
          <w:sz w:val="32"/>
        </w:rPr>
        <w:t>民丰县亚瓦通古孜乡小学2024年度，实有人数10人，其中：在职人员10人，增加0人；离休人员0人，增加0人；退休人员0人</w:t>
      </w:r>
      <w:bookmarkStart w:id="0" w:name="_GoBack"/>
      <w:r>
        <w:rPr>
          <w:rFonts w:ascii="仿宋_GB2312" w:hAnsi="仿宋_GB2312" w:eastAsia="仿宋_GB2312"/>
          <w:sz w:val="32"/>
        </w:rPr>
        <w:t>,</w:t>
      </w:r>
      <w:bookmarkEnd w:id="0"/>
      <w:r>
        <w:rPr>
          <w:rFonts w:ascii="仿宋_GB2312" w:hAnsi="仿宋_GB2312" w:eastAsia="仿宋_GB2312"/>
          <w:sz w:val="32"/>
        </w:rPr>
        <w:t>增加0人。</w:t>
      </w:r>
    </w:p>
    <w:p w14:paraId="58770983">
      <w:pPr>
        <w:spacing w:line="580" w:lineRule="exact"/>
        <w:ind w:firstLine="640"/>
        <w:jc w:val="both"/>
      </w:pPr>
      <w:r>
        <w:rPr>
          <w:rFonts w:ascii="仿宋_GB2312" w:hAnsi="仿宋_GB2312" w:eastAsia="仿宋_GB2312"/>
          <w:sz w:val="32"/>
        </w:rPr>
        <w:t>民丰县亚瓦通古孜乡小学无下属预算单位，下设7个科室，分别是：书记办公室、教务室、德育办、办公室、维护学校稳定工作办、教师培训中心、少年活动中心。</w:t>
      </w:r>
    </w:p>
    <w:p w14:paraId="066B18A3">
      <w:r>
        <w:br w:type="page"/>
      </w:r>
    </w:p>
    <w:p w14:paraId="752F9B64">
      <w:pPr>
        <w:spacing w:line="240" w:lineRule="auto"/>
        <w:jc w:val="center"/>
        <w:outlineLvl w:val="1"/>
      </w:pPr>
      <w:r>
        <w:rPr>
          <w:rFonts w:ascii="黑体" w:hAnsi="黑体" w:eastAsia="黑体"/>
          <w:sz w:val="32"/>
        </w:rPr>
        <w:t>第二部分 部门决算情况说明</w:t>
      </w:r>
    </w:p>
    <w:p w14:paraId="6C7B6078">
      <w:pPr>
        <w:spacing w:line="640" w:lineRule="exact"/>
        <w:ind w:firstLine="640"/>
        <w:jc w:val="both"/>
        <w:outlineLvl w:val="2"/>
      </w:pPr>
      <w:r>
        <w:rPr>
          <w:rFonts w:ascii="黑体" w:hAnsi="黑体" w:eastAsia="黑体"/>
          <w:sz w:val="32"/>
        </w:rPr>
        <w:t>一、收入支出决算总体情况说明</w:t>
      </w:r>
    </w:p>
    <w:p w14:paraId="31CE34EF">
      <w:pPr>
        <w:spacing w:line="580" w:lineRule="exact"/>
        <w:ind w:firstLine="640"/>
        <w:jc w:val="both"/>
      </w:pPr>
      <w:r>
        <w:rPr>
          <w:rFonts w:ascii="仿宋_GB2312" w:hAnsi="仿宋_GB2312" w:eastAsia="仿宋_GB2312"/>
          <w:b/>
          <w:sz w:val="32"/>
        </w:rPr>
        <w:t>2024年度收入总计213.23万元，</w:t>
      </w:r>
      <w:r>
        <w:rPr>
          <w:rFonts w:ascii="仿宋_GB2312" w:hAnsi="仿宋_GB2312" w:eastAsia="仿宋_GB2312"/>
          <w:b w:val="0"/>
          <w:sz w:val="32"/>
        </w:rPr>
        <w:t>其中：本年收入合计213.23万元，使用非财政拨款结余（含专用结余）0.00万元，年初结转和结余0.00万元。</w:t>
      </w:r>
    </w:p>
    <w:p w14:paraId="3FD071F8">
      <w:pPr>
        <w:spacing w:line="580" w:lineRule="exact"/>
        <w:ind w:firstLine="640"/>
        <w:jc w:val="both"/>
      </w:pPr>
      <w:r>
        <w:rPr>
          <w:rFonts w:ascii="仿宋_GB2312" w:hAnsi="仿宋_GB2312" w:eastAsia="仿宋_GB2312"/>
          <w:b/>
          <w:sz w:val="32"/>
        </w:rPr>
        <w:t>2024年度支出总计213.23万元，</w:t>
      </w:r>
      <w:r>
        <w:rPr>
          <w:rFonts w:ascii="仿宋_GB2312" w:hAnsi="仿宋_GB2312" w:eastAsia="仿宋_GB2312"/>
          <w:b w:val="0"/>
          <w:sz w:val="32"/>
        </w:rPr>
        <w:t>其中：本年支出合计213.23万元，结余分配0.00万元，年末结转和结余0.00万元。</w:t>
      </w:r>
    </w:p>
    <w:p w14:paraId="36D35A0B">
      <w:pPr>
        <w:spacing w:line="580" w:lineRule="exact"/>
        <w:ind w:firstLine="640"/>
        <w:jc w:val="both"/>
      </w:pPr>
      <w:r>
        <w:rPr>
          <w:rFonts w:ascii="仿宋_GB2312" w:hAnsi="仿宋_GB2312" w:eastAsia="仿宋_GB2312"/>
          <w:b w:val="0"/>
          <w:sz w:val="32"/>
        </w:rPr>
        <w:t>收入支出总体与上年相比，增加9.27万元，增长4.55%，主要原因是：本年在职人员工资调增，社保、公积金基数调增，人员经费增加。</w:t>
      </w:r>
    </w:p>
    <w:p w14:paraId="3411CDE2">
      <w:pPr>
        <w:spacing w:line="640" w:lineRule="exact"/>
        <w:ind w:firstLine="640"/>
        <w:jc w:val="both"/>
        <w:outlineLvl w:val="2"/>
      </w:pPr>
      <w:r>
        <w:rPr>
          <w:rFonts w:ascii="黑体" w:hAnsi="黑体" w:eastAsia="黑体"/>
          <w:sz w:val="32"/>
        </w:rPr>
        <w:t>二、收入决算情况说明</w:t>
      </w:r>
    </w:p>
    <w:p w14:paraId="2B62B8D4">
      <w:pPr>
        <w:spacing w:line="580" w:lineRule="exact"/>
        <w:ind w:firstLine="640"/>
        <w:jc w:val="both"/>
      </w:pPr>
      <w:r>
        <w:rPr>
          <w:rFonts w:ascii="仿宋_GB2312" w:hAnsi="仿宋_GB2312" w:eastAsia="仿宋_GB2312"/>
          <w:b/>
          <w:sz w:val="32"/>
        </w:rPr>
        <w:t>本年收入213.23万元，</w:t>
      </w:r>
      <w:r>
        <w:rPr>
          <w:rFonts w:ascii="仿宋_GB2312" w:hAnsi="仿宋_GB2312" w:eastAsia="仿宋_GB2312"/>
          <w:b w:val="0"/>
          <w:sz w:val="32"/>
        </w:rPr>
        <w:t>其中：财政拨款收入213.21万元，占99.99%；上级补助收入0.00万元，占0.00%；事业收入0.00万元，占0.00%；经营收入0.00万元，占0.00%；附属单位上缴收入0.00万元，占0.00%；其他收入0.02万元，占0.009%。</w:t>
      </w:r>
    </w:p>
    <w:p w14:paraId="1AEC074D">
      <w:pPr>
        <w:spacing w:line="640" w:lineRule="exact"/>
        <w:ind w:firstLine="640"/>
        <w:jc w:val="both"/>
        <w:outlineLvl w:val="2"/>
      </w:pPr>
      <w:r>
        <w:rPr>
          <w:rFonts w:ascii="黑体" w:hAnsi="黑体" w:eastAsia="黑体"/>
          <w:sz w:val="32"/>
        </w:rPr>
        <w:t>三、支出决算情况说明</w:t>
      </w:r>
    </w:p>
    <w:p w14:paraId="4750C16F">
      <w:pPr>
        <w:spacing w:line="580" w:lineRule="exact"/>
        <w:ind w:firstLine="640"/>
        <w:jc w:val="both"/>
      </w:pPr>
      <w:r>
        <w:rPr>
          <w:rFonts w:ascii="仿宋_GB2312" w:hAnsi="仿宋_GB2312" w:eastAsia="仿宋_GB2312"/>
          <w:b/>
          <w:sz w:val="32"/>
        </w:rPr>
        <w:t>本年支出213.23万元，</w:t>
      </w:r>
      <w:r>
        <w:rPr>
          <w:rFonts w:ascii="仿宋_GB2312" w:hAnsi="仿宋_GB2312" w:eastAsia="仿宋_GB2312"/>
          <w:b w:val="0"/>
          <w:sz w:val="32"/>
        </w:rPr>
        <w:t>其中：基本支出184.15万元，占86.36%；项目支出29.08万元，占13.64%；上缴上级支出0.00万元，占0.00%；经营支出0.00万元，占0.00%；对附属单位补助支出0.00万元，占0.00%。</w:t>
      </w:r>
    </w:p>
    <w:p w14:paraId="2D943B85">
      <w:pPr>
        <w:spacing w:line="640" w:lineRule="exact"/>
        <w:ind w:firstLine="640"/>
        <w:jc w:val="both"/>
        <w:outlineLvl w:val="2"/>
      </w:pPr>
      <w:r>
        <w:rPr>
          <w:rFonts w:ascii="黑体" w:hAnsi="黑体" w:eastAsia="黑体"/>
          <w:sz w:val="32"/>
        </w:rPr>
        <w:t>四、财政拨款收入支出决算总体情况说明</w:t>
      </w:r>
    </w:p>
    <w:p w14:paraId="71BC7ED1">
      <w:pPr>
        <w:spacing w:line="580" w:lineRule="exact"/>
        <w:ind w:firstLine="640"/>
        <w:jc w:val="both"/>
      </w:pPr>
      <w:r>
        <w:rPr>
          <w:rFonts w:ascii="仿宋_GB2312" w:hAnsi="仿宋_GB2312" w:eastAsia="仿宋_GB2312"/>
          <w:b/>
          <w:sz w:val="32"/>
        </w:rPr>
        <w:t>2024年度财政拨款收入总计213.21万元，</w:t>
      </w:r>
      <w:r>
        <w:rPr>
          <w:rFonts w:ascii="仿宋_GB2312" w:hAnsi="仿宋_GB2312" w:eastAsia="仿宋_GB2312"/>
          <w:b w:val="0"/>
          <w:sz w:val="32"/>
        </w:rPr>
        <w:t>其中：年初财政拨款结转和结余0.00万元，本年财政拨款收入213.21万元。</w:t>
      </w:r>
      <w:r>
        <w:rPr>
          <w:rFonts w:ascii="仿宋_GB2312" w:hAnsi="仿宋_GB2312" w:eastAsia="仿宋_GB2312"/>
          <w:b/>
          <w:sz w:val="32"/>
        </w:rPr>
        <w:t>财政拨款支出总计213.21万元，</w:t>
      </w:r>
      <w:r>
        <w:rPr>
          <w:rFonts w:ascii="仿宋_GB2312" w:hAnsi="仿宋_GB2312" w:eastAsia="仿宋_GB2312"/>
          <w:b w:val="0"/>
          <w:sz w:val="32"/>
        </w:rPr>
        <w:t>其中：年末财政拨款结转和结余0.00万元，本年财政拨款支出213.21万元。</w:t>
      </w:r>
    </w:p>
    <w:p w14:paraId="35C720F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增加9.25万元，增长4.54%，主要原因是：本年在职人员工资调增，社保、公积金基数调增，人员经费增加。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年初预算数214.06万元，决算数213.21万元，预决算差异率-0.40%，主要原因是：严格落实中央八项规定精神，厉行节约，减少不必要的开支。</w:t>
      </w:r>
    </w:p>
    <w:p w14:paraId="7828A2E1">
      <w:pPr>
        <w:spacing w:line="640" w:lineRule="exact"/>
        <w:ind w:firstLine="640"/>
        <w:jc w:val="both"/>
        <w:outlineLvl w:val="2"/>
      </w:pPr>
      <w:r>
        <w:rPr>
          <w:rFonts w:ascii="黑体" w:hAnsi="黑体" w:eastAsia="黑体"/>
          <w:sz w:val="32"/>
        </w:rPr>
        <w:t>五、一般公共预算财政拨款支出决算情况说明</w:t>
      </w:r>
    </w:p>
    <w:p w14:paraId="1F67FF95">
      <w:pPr>
        <w:spacing w:line="640" w:lineRule="exact"/>
        <w:ind w:firstLine="640"/>
        <w:jc w:val="both"/>
        <w:outlineLvl w:val="3"/>
      </w:pPr>
      <w:r>
        <w:rPr>
          <w:rFonts w:ascii="楷体_GB2312" w:hAnsi="楷体_GB2312" w:eastAsia="楷体_GB2312"/>
          <w:b/>
          <w:sz w:val="32"/>
        </w:rPr>
        <w:t>（一）一般公共预算财政拨款支出决算总体情况</w:t>
      </w:r>
    </w:p>
    <w:p w14:paraId="55A0E92E">
      <w:pPr>
        <w:spacing w:line="580" w:lineRule="exact"/>
        <w:ind w:firstLine="640"/>
        <w:jc w:val="both"/>
      </w:pPr>
      <w:r>
        <w:rPr>
          <w:rFonts w:ascii="仿宋_GB2312" w:hAnsi="仿宋_GB2312" w:eastAsia="仿宋_GB2312"/>
          <w:b/>
          <w:sz w:val="32"/>
        </w:rPr>
        <w:t>2024年度一般公共预算财政拨款支出213.21万元，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增加9.25万元，增长4.54%，主要原因是：本年在职人员工资调增，社保、公积金基数调增，人员经费增加。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年初预算数214.06万元，决算数213.21万元，预决算差异率-0.40%，主要原因是：严格落实中央八项规定精神，厉行节约，减少不必要的开支。</w:t>
      </w:r>
    </w:p>
    <w:p w14:paraId="6C6019C4">
      <w:pPr>
        <w:spacing w:line="640" w:lineRule="exact"/>
        <w:ind w:firstLine="640"/>
        <w:jc w:val="both"/>
        <w:outlineLvl w:val="3"/>
      </w:pPr>
      <w:r>
        <w:rPr>
          <w:rFonts w:ascii="楷体_GB2312" w:hAnsi="楷体_GB2312" w:eastAsia="楷体_GB2312"/>
          <w:b/>
          <w:sz w:val="32"/>
        </w:rPr>
        <w:t>（二）一般公共预算财政拨款支出决算结构情况</w:t>
      </w:r>
    </w:p>
    <w:p w14:paraId="7DBE7236">
      <w:pPr>
        <w:spacing w:line="580" w:lineRule="exact"/>
        <w:ind w:firstLine="640"/>
        <w:jc w:val="both"/>
      </w:pPr>
      <w:r>
        <w:rPr>
          <w:rFonts w:ascii="仿宋_GB2312" w:hAnsi="仿宋_GB2312" w:eastAsia="仿宋_GB2312"/>
          <w:b w:val="0"/>
          <w:sz w:val="32"/>
        </w:rPr>
        <w:t>1.教育支出(类)213.21万元,占100.00%。</w:t>
      </w:r>
    </w:p>
    <w:p w14:paraId="4493E469">
      <w:pPr>
        <w:spacing w:line="640" w:lineRule="exact"/>
        <w:ind w:firstLine="640"/>
        <w:jc w:val="both"/>
        <w:outlineLvl w:val="3"/>
      </w:pPr>
      <w:r>
        <w:rPr>
          <w:rFonts w:ascii="楷体_GB2312" w:hAnsi="楷体_GB2312" w:eastAsia="楷体_GB2312"/>
          <w:b/>
          <w:sz w:val="32"/>
        </w:rPr>
        <w:t>（三）一般公共预算财政拨款支出决算具体情况</w:t>
      </w:r>
    </w:p>
    <w:p w14:paraId="7920EDFC">
      <w:pPr>
        <w:spacing w:line="580" w:lineRule="exact"/>
        <w:ind w:firstLine="640"/>
        <w:jc w:val="both"/>
      </w:pPr>
      <w:r>
        <w:rPr>
          <w:rFonts w:ascii="仿宋_GB2312" w:hAnsi="仿宋_GB2312" w:eastAsia="仿宋_GB2312"/>
          <w:b w:val="0"/>
          <w:sz w:val="32"/>
        </w:rPr>
        <w:t>1.教育支出(类)普通教育(款)学前教育(项):支出决算数为1.90万元，比上年决算减少1.30万元，下降40.62%,主要原因是：学前教育保障经费较上年减少。</w:t>
      </w:r>
    </w:p>
    <w:p w14:paraId="6217E0F1">
      <w:pPr>
        <w:spacing w:line="580" w:lineRule="exact"/>
        <w:ind w:firstLine="640"/>
        <w:jc w:val="both"/>
      </w:pPr>
      <w:r>
        <w:rPr>
          <w:rFonts w:ascii="仿宋_GB2312" w:hAnsi="仿宋_GB2312" w:eastAsia="仿宋_GB2312"/>
          <w:b w:val="0"/>
          <w:sz w:val="32"/>
        </w:rPr>
        <w:t>2.教育支出(类)普通教育(款)小学教育(项):支出决算数为211.31万元，比上年决算增加10.55万元，增长5.26%,主要原因是：本年在职人员工资调增，社保、公积金基数调增，人员经费增加。</w:t>
      </w:r>
    </w:p>
    <w:p w14:paraId="2B2808D0">
      <w:pPr>
        <w:spacing w:line="640" w:lineRule="exact"/>
        <w:ind w:firstLine="640"/>
        <w:jc w:val="both"/>
        <w:outlineLvl w:val="2"/>
      </w:pPr>
      <w:r>
        <w:rPr>
          <w:rFonts w:ascii="黑体" w:hAnsi="黑体" w:eastAsia="黑体"/>
          <w:sz w:val="32"/>
        </w:rPr>
        <w:t>六、一般公共预算财政拨款基本支出决算情况说明</w:t>
      </w:r>
    </w:p>
    <w:p w14:paraId="5DD0AAE6">
      <w:pPr>
        <w:spacing w:line="580" w:lineRule="exact"/>
        <w:ind w:firstLine="640"/>
        <w:jc w:val="both"/>
      </w:pPr>
      <w:r>
        <w:rPr>
          <w:rFonts w:ascii="仿宋_GB2312" w:hAnsi="仿宋_GB2312" w:eastAsia="仿宋_GB2312"/>
          <w:b w:val="0"/>
          <w:sz w:val="32"/>
        </w:rPr>
        <w:t>2024年度一般公共预算财政拨款基本支出184.14万元，其中：</w:t>
      </w:r>
      <w:r>
        <w:rPr>
          <w:rFonts w:ascii="仿宋_GB2312" w:hAnsi="仿宋_GB2312" w:eastAsia="仿宋_GB2312"/>
          <w:b/>
          <w:sz w:val="32"/>
        </w:rPr>
        <w:t>人员经费184.14万元，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39B3CF1C">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D54D315">
      <w:pPr>
        <w:spacing w:line="640" w:lineRule="exact"/>
        <w:ind w:firstLine="640"/>
        <w:jc w:val="both"/>
        <w:outlineLvl w:val="2"/>
      </w:pPr>
      <w:r>
        <w:rPr>
          <w:rFonts w:ascii="黑体" w:hAnsi="黑体" w:eastAsia="黑体"/>
          <w:sz w:val="32"/>
        </w:rPr>
        <w:t>七、政府性基金预算财政拨款收入支出决算情况说明</w:t>
      </w:r>
    </w:p>
    <w:p w14:paraId="2D10DCD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CBD909">
      <w:pPr>
        <w:spacing w:line="640" w:lineRule="exact"/>
        <w:ind w:firstLine="640"/>
        <w:jc w:val="both"/>
        <w:outlineLvl w:val="2"/>
      </w:pPr>
      <w:r>
        <w:rPr>
          <w:rFonts w:ascii="黑体" w:hAnsi="黑体" w:eastAsia="黑体"/>
          <w:sz w:val="32"/>
        </w:rPr>
        <w:t>八、国有资本经营预算财政拨款收入支出决算情况说明</w:t>
      </w:r>
    </w:p>
    <w:p w14:paraId="412D77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020546">
      <w:pPr>
        <w:spacing w:line="640" w:lineRule="exact"/>
        <w:ind w:firstLine="640"/>
        <w:jc w:val="both"/>
        <w:outlineLvl w:val="2"/>
      </w:pPr>
      <w:r>
        <w:rPr>
          <w:rFonts w:ascii="黑体" w:hAnsi="黑体" w:eastAsia="黑体"/>
          <w:sz w:val="32"/>
        </w:rPr>
        <w:t>九、财政拨款“三公”经费支出决算情况说明</w:t>
      </w:r>
    </w:p>
    <w:p w14:paraId="37FEAA7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1757F84">
      <w:pPr>
        <w:spacing w:line="580" w:lineRule="exact"/>
        <w:ind w:firstLine="640"/>
        <w:jc w:val="both"/>
      </w:pPr>
      <w:r>
        <w:rPr>
          <w:rFonts w:ascii="仿宋_GB2312" w:hAnsi="仿宋_GB2312" w:eastAsia="仿宋_GB2312"/>
          <w:b/>
          <w:sz w:val="32"/>
        </w:rPr>
        <w:t>具体情况如下：</w:t>
      </w:r>
    </w:p>
    <w:p w14:paraId="063AA4F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408899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B73D6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B62FA0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D72E019">
      <w:pPr>
        <w:spacing w:line="640" w:lineRule="exact"/>
        <w:ind w:firstLine="640"/>
        <w:jc w:val="both"/>
        <w:outlineLvl w:val="2"/>
      </w:pPr>
      <w:r>
        <w:rPr>
          <w:rFonts w:ascii="黑体" w:hAnsi="黑体" w:eastAsia="黑体"/>
          <w:sz w:val="32"/>
        </w:rPr>
        <w:t>十、其他重要事项的情况说明</w:t>
      </w:r>
    </w:p>
    <w:p w14:paraId="4DE4C774">
      <w:pPr>
        <w:spacing w:line="640" w:lineRule="exact"/>
        <w:ind w:firstLine="640"/>
        <w:jc w:val="both"/>
        <w:outlineLvl w:val="3"/>
      </w:pPr>
      <w:r>
        <w:rPr>
          <w:rFonts w:ascii="楷体_GB2312" w:hAnsi="楷体_GB2312" w:eastAsia="楷体_GB2312"/>
          <w:b/>
          <w:sz w:val="32"/>
        </w:rPr>
        <w:t>（一）机关运行经费及公用经费支出情况</w:t>
      </w:r>
    </w:p>
    <w:p w14:paraId="75E57CFE">
      <w:pPr>
        <w:spacing w:line="580" w:lineRule="exact"/>
        <w:ind w:firstLine="640"/>
        <w:jc w:val="both"/>
      </w:pPr>
      <w:r>
        <w:rPr>
          <w:rFonts w:ascii="仿宋_GB2312" w:hAnsi="仿宋_GB2312" w:eastAsia="仿宋_GB2312"/>
          <w:b w:val="0"/>
          <w:sz w:val="32"/>
        </w:rPr>
        <w:t>2024年度民丰县亚瓦通古孜乡小学（事业单位）公用经费支出0.00万元，比上年增加0.00万元，增长0.00%，主要原因是：2023年与2024年均未安排公用经费支出。</w:t>
      </w:r>
    </w:p>
    <w:p w14:paraId="645A77D3">
      <w:pPr>
        <w:spacing w:line="640" w:lineRule="exact"/>
        <w:ind w:firstLine="640"/>
        <w:jc w:val="both"/>
        <w:outlineLvl w:val="3"/>
      </w:pPr>
      <w:r>
        <w:rPr>
          <w:rFonts w:ascii="楷体_GB2312" w:hAnsi="楷体_GB2312" w:eastAsia="楷体_GB2312"/>
          <w:b/>
          <w:sz w:val="32"/>
        </w:rPr>
        <w:t>（二）政府采购情况</w:t>
      </w:r>
    </w:p>
    <w:p w14:paraId="771ECC59">
      <w:pPr>
        <w:spacing w:line="580" w:lineRule="exact"/>
        <w:ind w:firstLine="640"/>
        <w:jc w:val="both"/>
      </w:pPr>
      <w:r>
        <w:rPr>
          <w:rFonts w:ascii="仿宋_GB2312" w:hAnsi="仿宋_GB2312" w:eastAsia="仿宋_GB2312"/>
          <w:b w:val="0"/>
          <w:sz w:val="32"/>
        </w:rPr>
        <w:t>2024年度政府采购支出总额0.69万元，其中：政府采购货物支出0.69万元、政府采购工程支出0.00万元、政府采购服务支出0.00万元。</w:t>
      </w:r>
    </w:p>
    <w:p w14:paraId="1BD2C807">
      <w:pPr>
        <w:spacing w:line="580" w:lineRule="exact"/>
        <w:ind w:firstLine="640"/>
        <w:jc w:val="both"/>
      </w:pPr>
      <w:r>
        <w:rPr>
          <w:rFonts w:ascii="仿宋_GB2312" w:hAnsi="仿宋_GB2312" w:eastAsia="仿宋_GB2312"/>
          <w:b w:val="0"/>
          <w:sz w:val="32"/>
        </w:rPr>
        <w:t>授予中小企业合同金额0.69万元，占政府采购支出总额的100.00%，其中：授予小微企业合同金额0.69万元，占政府采购支出总额的100.00%。</w:t>
      </w:r>
    </w:p>
    <w:p w14:paraId="78086C18">
      <w:pPr>
        <w:spacing w:line="640" w:lineRule="exact"/>
        <w:ind w:firstLine="640"/>
        <w:jc w:val="both"/>
        <w:outlineLvl w:val="3"/>
      </w:pPr>
      <w:r>
        <w:rPr>
          <w:rFonts w:ascii="楷体_GB2312" w:hAnsi="楷体_GB2312" w:eastAsia="楷体_GB2312"/>
          <w:b/>
          <w:sz w:val="32"/>
        </w:rPr>
        <w:t>（三）国有资产占用情况说明</w:t>
      </w:r>
    </w:p>
    <w:p w14:paraId="7637574B">
      <w:pPr>
        <w:spacing w:line="580" w:lineRule="exact"/>
        <w:ind w:firstLine="640"/>
        <w:jc w:val="both"/>
      </w:pPr>
      <w:r>
        <w:rPr>
          <w:rFonts w:ascii="仿宋_GB2312" w:hAnsi="仿宋_GB2312" w:eastAsia="仿宋_GB2312"/>
          <w:b w:val="0"/>
          <w:sz w:val="32"/>
        </w:rPr>
        <w:t>截至2024年12月31日，房屋822.36平方米，价值101.57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C7DE8D4">
      <w:pPr>
        <w:spacing w:line="640" w:lineRule="exact"/>
        <w:ind w:firstLine="640"/>
        <w:jc w:val="both"/>
        <w:outlineLvl w:val="2"/>
      </w:pPr>
      <w:r>
        <w:rPr>
          <w:rFonts w:ascii="黑体" w:hAnsi="黑体" w:eastAsia="黑体"/>
          <w:sz w:val="32"/>
        </w:rPr>
        <w:t>十一、预算绩效的情况说明</w:t>
      </w:r>
    </w:p>
    <w:p w14:paraId="5B378BA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213.23万元，实际执行总额213.23万元；预算绩效评价项目4个，全年预算数0.96万元，全年执行数0.96万元。预算绩效管理取得的成效：通过项目的实施，有效保障学校正常运转，同时</w:t>
      </w:r>
      <w:r>
        <w:rPr>
          <w:rFonts w:hint="eastAsia" w:ascii="仿宋_GB2312" w:hAnsi="仿宋_GB2312" w:eastAsia="仿宋_GB2312"/>
          <w:b w:val="0"/>
          <w:sz w:val="32"/>
          <w:lang w:eastAsia="zh-CN"/>
        </w:rPr>
        <w:t>提供</w:t>
      </w:r>
      <w:r>
        <w:rPr>
          <w:rFonts w:ascii="仿宋_GB2312" w:hAnsi="仿宋_GB2312" w:eastAsia="仿宋_GB2312"/>
          <w:b w:val="0"/>
          <w:sz w:val="32"/>
        </w:rPr>
        <w:t>师生安全舒适的教学和学习环境。大力实施教育优先发展战略，全面贯彻党的教育方针，提升我校教师教育教学能力，我园将为5名教师开展5次培训。通过定期不定期的教师培训工作，提高教师工作的积极性，促进教学，全面提升教育教学质量，增强教师教书育人的责任感，促进全县各学段教育教学质量的全面提升。发现的问题及原因：对个别项目资金使用方面预算不够细致，出现实际支出数超出了预算申报数和出现项目资金</w:t>
      </w:r>
      <w:r>
        <w:rPr>
          <w:rFonts w:hint="eastAsia" w:ascii="仿宋_GB2312" w:hAnsi="仿宋_GB2312" w:eastAsia="仿宋_GB2312"/>
          <w:b w:val="0"/>
          <w:sz w:val="32"/>
          <w:lang w:eastAsia="zh-CN"/>
        </w:rPr>
        <w:t>结余</w:t>
      </w:r>
      <w:r>
        <w:rPr>
          <w:rFonts w:ascii="仿宋_GB2312" w:hAnsi="仿宋_GB2312" w:eastAsia="仿宋_GB2312"/>
          <w:b w:val="0"/>
          <w:sz w:val="32"/>
        </w:rPr>
        <w:t>数额多的情况。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14:paraId="6901F30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BBBCB7">
        <w:tblPrEx>
          <w:tblCellMar>
            <w:top w:w="0" w:type="dxa"/>
            <w:left w:w="108" w:type="dxa"/>
            <w:bottom w:w="0" w:type="dxa"/>
            <w:right w:w="108" w:type="dxa"/>
          </w:tblCellMar>
        </w:tblPrEx>
        <w:tc>
          <w:tcPr>
            <w:tcW w:w="8847" w:type="dxa"/>
            <w:gridSpan w:val="9"/>
            <w:vAlign w:val="center"/>
          </w:tcPr>
          <w:p w14:paraId="59351470">
            <w:pPr>
              <w:jc w:val="center"/>
            </w:pPr>
            <w:r>
              <w:rPr>
                <w:rFonts w:ascii="宋体" w:hAnsi="宋体" w:eastAsia="宋体"/>
                <w:sz w:val="24"/>
              </w:rPr>
              <w:t>单位整体支出绩效自评表</w:t>
            </w:r>
          </w:p>
        </w:tc>
      </w:tr>
      <w:tr w14:paraId="66E5DA75">
        <w:tblPrEx>
          <w:tblCellMar>
            <w:top w:w="0" w:type="dxa"/>
            <w:left w:w="108" w:type="dxa"/>
            <w:bottom w:w="0" w:type="dxa"/>
            <w:right w:w="108" w:type="dxa"/>
          </w:tblCellMar>
        </w:tblPrEx>
        <w:tc>
          <w:tcPr>
            <w:tcW w:w="8847" w:type="dxa"/>
            <w:gridSpan w:val="9"/>
            <w:vAlign w:val="center"/>
          </w:tcPr>
          <w:p w14:paraId="46450ECF">
            <w:pPr>
              <w:jc w:val="center"/>
            </w:pPr>
            <w:r>
              <w:rPr>
                <w:rFonts w:ascii="宋体" w:hAnsi="宋体" w:eastAsia="宋体"/>
                <w:sz w:val="24"/>
              </w:rPr>
              <w:t>（2024年度）</w:t>
            </w:r>
          </w:p>
        </w:tc>
      </w:tr>
      <w:tr w14:paraId="5048FD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2747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5DE8C22">
            <w:pPr>
              <w:jc w:val="center"/>
            </w:pPr>
            <w:r>
              <w:rPr>
                <w:rFonts w:ascii="宋体" w:hAnsi="宋体" w:eastAsia="宋体"/>
                <w:sz w:val="16"/>
              </w:rPr>
              <w:t>民丰县亚瓦通古孜乡小学</w:t>
            </w:r>
          </w:p>
        </w:tc>
      </w:tr>
      <w:tr w14:paraId="257A90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158B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1DED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2085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DEC4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BE61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AB6B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9F88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E405A">
            <w:pPr>
              <w:jc w:val="center"/>
            </w:pPr>
            <w:r>
              <w:rPr>
                <w:rFonts w:ascii="宋体" w:hAnsi="宋体" w:eastAsia="宋体"/>
                <w:sz w:val="16"/>
              </w:rPr>
              <w:t>得分</w:t>
            </w:r>
          </w:p>
        </w:tc>
      </w:tr>
      <w:tr w14:paraId="5491B0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05BC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36B81">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126FF">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151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709D9">
            <w:pPr>
              <w:jc w:val="center"/>
            </w:pPr>
            <w:r>
              <w:rPr>
                <w:rFonts w:ascii="宋体" w:hAnsi="宋体" w:eastAsia="宋体"/>
                <w:sz w:val="16"/>
              </w:rPr>
              <w:t>29.08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D2179">
            <w:pPr>
              <w:jc w:val="center"/>
            </w:pPr>
            <w:r>
              <w:rPr>
                <w:rFonts w:ascii="宋体" w:hAnsi="宋体" w:eastAsia="宋体"/>
                <w:sz w:val="16"/>
              </w:rPr>
              <w:t>29.08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33F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BF2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8EA43">
            <w:pPr>
              <w:jc w:val="center"/>
            </w:pPr>
            <w:r>
              <w:rPr>
                <w:rFonts w:ascii="宋体" w:hAnsi="宋体" w:eastAsia="宋体"/>
                <w:sz w:val="16"/>
              </w:rPr>
              <w:t>-</w:t>
            </w:r>
          </w:p>
        </w:tc>
      </w:tr>
      <w:tr w14:paraId="6AE876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326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BFC9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09F0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90334">
            <w:pPr>
              <w:jc w:val="center"/>
            </w:pPr>
            <w:r>
              <w:rPr>
                <w:rFonts w:ascii="宋体" w:hAnsi="宋体" w:eastAsia="宋体"/>
                <w:sz w:val="16"/>
              </w:rPr>
              <w:t>214.06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A8A90">
            <w:pPr>
              <w:jc w:val="center"/>
            </w:pPr>
            <w:r>
              <w:rPr>
                <w:rFonts w:ascii="宋体" w:hAnsi="宋体" w:eastAsia="宋体"/>
                <w:sz w:val="16"/>
              </w:rPr>
              <w:t>184.15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F32F3">
            <w:pPr>
              <w:jc w:val="center"/>
            </w:pPr>
            <w:r>
              <w:rPr>
                <w:rFonts w:ascii="宋体" w:hAnsi="宋体" w:eastAsia="宋体"/>
                <w:sz w:val="16"/>
              </w:rPr>
              <w:t>184.15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9AA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BED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47A3A">
            <w:pPr>
              <w:jc w:val="center"/>
            </w:pPr>
            <w:r>
              <w:rPr>
                <w:rFonts w:ascii="宋体" w:hAnsi="宋体" w:eastAsia="宋体"/>
                <w:sz w:val="16"/>
              </w:rPr>
              <w:t>-</w:t>
            </w:r>
          </w:p>
        </w:tc>
      </w:tr>
      <w:tr w14:paraId="72A599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683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49FB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E381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E14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A02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E6B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A65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BE9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63CE1">
            <w:pPr>
              <w:jc w:val="center"/>
            </w:pPr>
            <w:r>
              <w:rPr>
                <w:rFonts w:ascii="宋体" w:hAnsi="宋体" w:eastAsia="宋体"/>
                <w:sz w:val="16"/>
              </w:rPr>
              <w:t>-</w:t>
            </w:r>
          </w:p>
        </w:tc>
      </w:tr>
      <w:tr w14:paraId="689C28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EC44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9112E">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E3C7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7104A">
            <w:pPr>
              <w:jc w:val="center"/>
            </w:pPr>
            <w:r>
              <w:rPr>
                <w:rFonts w:ascii="宋体" w:hAnsi="宋体" w:eastAsia="宋体"/>
                <w:sz w:val="16"/>
              </w:rPr>
              <w:t>214.06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8D0A9">
            <w:pPr>
              <w:jc w:val="center"/>
            </w:pPr>
            <w:r>
              <w:rPr>
                <w:rFonts w:ascii="宋体" w:hAnsi="宋体" w:eastAsia="宋体"/>
                <w:sz w:val="16"/>
              </w:rPr>
              <w:t>213.23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669B8">
            <w:pPr>
              <w:jc w:val="center"/>
            </w:pPr>
            <w:r>
              <w:rPr>
                <w:rFonts w:ascii="宋体" w:hAnsi="宋体" w:eastAsia="宋体"/>
                <w:sz w:val="16"/>
              </w:rPr>
              <w:t>213.23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B3F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63268">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71482">
            <w:pPr>
              <w:jc w:val="center"/>
            </w:pPr>
            <w:r>
              <w:rPr>
                <w:rFonts w:ascii="宋体" w:hAnsi="宋体" w:eastAsia="宋体"/>
                <w:sz w:val="16"/>
              </w:rPr>
              <w:t>10</w:t>
            </w:r>
          </w:p>
        </w:tc>
      </w:tr>
      <w:tr w14:paraId="3877E4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A7FED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7937E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85CB2">
            <w:pPr>
              <w:jc w:val="center"/>
            </w:pPr>
            <w:r>
              <w:rPr>
                <w:rFonts w:ascii="宋体" w:hAnsi="宋体" w:eastAsia="宋体"/>
                <w:sz w:val="16"/>
              </w:rPr>
              <w:t>实际完成情况</w:t>
            </w:r>
          </w:p>
        </w:tc>
      </w:tr>
      <w:tr w14:paraId="07E7F3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93F0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63264A">
            <w:pPr>
              <w:jc w:val="both"/>
            </w:pPr>
            <w:r>
              <w:rPr>
                <w:rFonts w:ascii="宋体" w:hAnsi="宋体" w:eastAsia="宋体"/>
                <w:sz w:val="16"/>
              </w:rPr>
              <w:t>目标1：保障学生人数31人（幼儿人数7人，小学生24人），保障教师人数10人。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目标2：维护学校的教学秩序，为学生创造良好的学习环境；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目标3：根据学校规模，设置学校管理机构，建立健全各项规章制度和岗位责任制；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目标4：坚持教书育人，服务育人，环境育人方针，加强对学生的思想品德教育，使学生的德智体全面发展；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F53B82">
            <w:pPr>
              <w:jc w:val="both"/>
            </w:pPr>
            <w:r>
              <w:rPr>
                <w:rFonts w:ascii="宋体" w:hAnsi="宋体" w:eastAsia="宋体"/>
                <w:sz w:val="16"/>
              </w:rPr>
              <w:t>保障本小学幼儿园1所，保证各学校正常运转，保障本校28名学生按时入学，做好中小学校园体制改革工作，实现教育均衡发展，深化平安校园建设；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，完善城乡学前教育经费保障机制，保障幼儿园正常运转，保证学校校舍安全。</w:t>
            </w:r>
          </w:p>
        </w:tc>
      </w:tr>
      <w:tr w14:paraId="423B72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1CCB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24F3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710B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A7E3E">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D690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E97C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849E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266D0">
            <w:pPr>
              <w:jc w:val="center"/>
            </w:pPr>
            <w:r>
              <w:rPr>
                <w:rFonts w:ascii="宋体" w:hAnsi="宋体" w:eastAsia="宋体"/>
                <w:sz w:val="16"/>
              </w:rPr>
              <w:t>得分</w:t>
            </w:r>
          </w:p>
        </w:tc>
      </w:tr>
      <w:tr w14:paraId="6B9D23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5293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C4C4C">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942C5">
            <w:pPr>
              <w:jc w:val="center"/>
            </w:pPr>
            <w:r>
              <w:rPr>
                <w:rFonts w:ascii="宋体" w:hAnsi="宋体" w:eastAsia="宋体"/>
                <w:sz w:val="16"/>
              </w:rPr>
              <w:t>保障幼儿人数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B8BF5">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E983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6B13A">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FA12B">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9748E">
            <w:pPr>
              <w:jc w:val="center"/>
            </w:pPr>
            <w:r>
              <w:rPr>
                <w:rFonts w:ascii="宋体" w:hAnsi="宋体" w:eastAsia="宋体"/>
                <w:sz w:val="16"/>
              </w:rPr>
              <w:t>19.71</w:t>
            </w:r>
          </w:p>
        </w:tc>
      </w:tr>
      <w:tr w14:paraId="5F79F3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EDC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702D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C9FBA">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2D643">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0144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009AB">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3CB24">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A4DD4">
            <w:pPr>
              <w:jc w:val="center"/>
            </w:pPr>
            <w:r>
              <w:rPr>
                <w:rFonts w:ascii="宋体" w:hAnsi="宋体" w:eastAsia="宋体"/>
                <w:sz w:val="16"/>
              </w:rPr>
              <w:t>21.08</w:t>
            </w:r>
          </w:p>
        </w:tc>
      </w:tr>
      <w:tr w14:paraId="35A1E1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AA3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0BA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0A107">
            <w:pPr>
              <w:jc w:val="center"/>
            </w:pPr>
            <w:r>
              <w:rPr>
                <w:rFonts w:ascii="宋体" w:hAnsi="宋体" w:eastAsia="宋体"/>
                <w:sz w:val="16"/>
              </w:rPr>
              <w:t>保障教师人数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9AC5F">
            <w:pPr>
              <w:jc w:val="center"/>
            </w:pPr>
            <w:r>
              <w:rPr>
                <w:rFonts w:ascii="宋体" w:hAnsi="宋体" w:eastAsia="宋体"/>
                <w:sz w:val="16"/>
              </w:rPr>
              <w:t>&gt;=10人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0FEF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482F6">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C5E6C">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88CF7">
            <w:pPr>
              <w:jc w:val="center"/>
            </w:pPr>
            <w:r>
              <w:rPr>
                <w:rFonts w:ascii="宋体" w:hAnsi="宋体" w:eastAsia="宋体"/>
                <w:sz w:val="16"/>
              </w:rPr>
              <w:t>22</w:t>
            </w:r>
          </w:p>
        </w:tc>
      </w:tr>
      <w:tr w14:paraId="63EB76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DC5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44B38">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029BE">
            <w:pPr>
              <w:jc w:val="center"/>
            </w:pPr>
            <w:r>
              <w:rPr>
                <w:rFonts w:ascii="宋体" w:hAnsi="宋体" w:eastAsia="宋体"/>
                <w:sz w:val="16"/>
              </w:rPr>
              <w:t>入学率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7E2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E169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5743A">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7E4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9898B">
            <w:pPr>
              <w:jc w:val="center"/>
            </w:pPr>
            <w:r>
              <w:rPr>
                <w:rFonts w:ascii="宋体" w:hAnsi="宋体" w:eastAsia="宋体"/>
                <w:sz w:val="16"/>
              </w:rPr>
              <w:t>22</w:t>
            </w:r>
          </w:p>
        </w:tc>
      </w:tr>
    </w:tbl>
    <w:p w14:paraId="4698C8E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B0E7219">
        <w:tblPrEx>
          <w:tblCellMar>
            <w:top w:w="0" w:type="dxa"/>
            <w:left w:w="108" w:type="dxa"/>
            <w:bottom w:w="0" w:type="dxa"/>
            <w:right w:w="108" w:type="dxa"/>
          </w:tblCellMar>
        </w:tblPrEx>
        <w:tc>
          <w:tcPr>
            <w:tcW w:w="8847" w:type="dxa"/>
            <w:gridSpan w:val="9"/>
            <w:vAlign w:val="center"/>
          </w:tcPr>
          <w:p w14:paraId="45AFF286">
            <w:pPr>
              <w:jc w:val="center"/>
            </w:pPr>
            <w:r>
              <w:rPr>
                <w:rFonts w:ascii="宋体" w:hAnsi="宋体" w:eastAsia="宋体"/>
                <w:sz w:val="24"/>
              </w:rPr>
              <w:t>项目支出绩效自评表</w:t>
            </w:r>
          </w:p>
        </w:tc>
      </w:tr>
      <w:tr w14:paraId="024886BA">
        <w:tblPrEx>
          <w:tblCellMar>
            <w:top w:w="0" w:type="dxa"/>
            <w:left w:w="108" w:type="dxa"/>
            <w:bottom w:w="0" w:type="dxa"/>
            <w:right w:w="108" w:type="dxa"/>
          </w:tblCellMar>
        </w:tblPrEx>
        <w:tc>
          <w:tcPr>
            <w:tcW w:w="8847" w:type="dxa"/>
            <w:gridSpan w:val="9"/>
            <w:vAlign w:val="center"/>
          </w:tcPr>
          <w:p w14:paraId="318B0A5B">
            <w:pPr>
              <w:jc w:val="center"/>
            </w:pPr>
            <w:r>
              <w:rPr>
                <w:rFonts w:ascii="宋体" w:hAnsi="宋体" w:eastAsia="宋体"/>
                <w:sz w:val="24"/>
              </w:rPr>
              <w:t>(2024年度)</w:t>
            </w:r>
          </w:p>
        </w:tc>
      </w:tr>
      <w:tr w14:paraId="605A7BA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0B53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C0422C">
            <w:pPr>
              <w:jc w:val="center"/>
            </w:pPr>
            <w:r>
              <w:rPr>
                <w:rFonts w:ascii="宋体" w:hAnsi="宋体" w:eastAsia="宋体"/>
                <w:sz w:val="16"/>
              </w:rPr>
              <w:t>2023年城乡义务教育补助经费（中央直达资金）营养改善计划  和地财教</w:t>
            </w:r>
            <w:r>
              <w:rPr>
                <w:rFonts w:hint="eastAsia" w:ascii="宋体" w:hAnsi="宋体"/>
                <w:sz w:val="16"/>
                <w:lang w:eastAsia="zh-CN"/>
              </w:rPr>
              <w:t>〔2022〕70号</w:t>
            </w:r>
            <w:r>
              <w:rPr>
                <w:rFonts w:ascii="宋体" w:hAnsi="宋体" w:eastAsia="宋体"/>
                <w:sz w:val="16"/>
              </w:rPr>
              <w:t>（结转）</w:t>
            </w:r>
          </w:p>
        </w:tc>
      </w:tr>
      <w:tr w14:paraId="18FDF3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427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D6DC91">
            <w:pPr>
              <w:jc w:val="center"/>
            </w:pPr>
            <w:r>
              <w:rPr>
                <w:rFonts w:ascii="宋体" w:hAnsi="宋体" w:eastAsia="宋体"/>
                <w:sz w:val="16"/>
              </w:rPr>
              <w:t>民丰县亚瓦通古孜乡小学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F7A7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107521">
            <w:pPr>
              <w:jc w:val="center"/>
            </w:pPr>
            <w:r>
              <w:rPr>
                <w:rFonts w:ascii="宋体" w:hAnsi="宋体" w:eastAsia="宋体"/>
                <w:sz w:val="16"/>
              </w:rPr>
              <w:t>民丰县亚瓦通古孜乡小学</w:t>
            </w:r>
          </w:p>
        </w:tc>
      </w:tr>
      <w:tr w14:paraId="4A81F4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59E0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24D9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803B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F30E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83E2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4A61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64E1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04361">
            <w:pPr>
              <w:jc w:val="center"/>
            </w:pPr>
            <w:r>
              <w:rPr>
                <w:rFonts w:ascii="宋体" w:hAnsi="宋体" w:eastAsia="宋体"/>
                <w:sz w:val="16"/>
              </w:rPr>
              <w:t>得分</w:t>
            </w:r>
          </w:p>
        </w:tc>
      </w:tr>
      <w:tr w14:paraId="3FB7F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555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CF7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40F78">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5291E">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2AA3C">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DD0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4BE7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2D040">
            <w:pPr>
              <w:jc w:val="center"/>
            </w:pPr>
            <w:r>
              <w:rPr>
                <w:rFonts w:ascii="宋体" w:hAnsi="宋体" w:eastAsia="宋体"/>
                <w:sz w:val="16"/>
              </w:rPr>
              <w:t>10.00分</w:t>
            </w:r>
          </w:p>
        </w:tc>
      </w:tr>
      <w:tr w14:paraId="6672F0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BE31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B487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3B758">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94C81">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AAD7">
            <w:pPr>
              <w:jc w:val="center"/>
            </w:pPr>
            <w:r>
              <w:rPr>
                <w:rFonts w:ascii="宋体" w:hAnsi="宋体" w:eastAsia="宋体"/>
                <w:sz w:val="16"/>
              </w:rPr>
              <w:t>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13D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8A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DCE43">
            <w:pPr>
              <w:jc w:val="center"/>
            </w:pPr>
            <w:r>
              <w:rPr>
                <w:rFonts w:ascii="宋体" w:hAnsi="宋体" w:eastAsia="宋体"/>
                <w:sz w:val="16"/>
              </w:rPr>
              <w:t>—</w:t>
            </w:r>
          </w:p>
        </w:tc>
      </w:tr>
      <w:tr w14:paraId="7F910D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5B9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5FC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33F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7E7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4E3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179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AFB8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2802D">
            <w:pPr>
              <w:jc w:val="center"/>
            </w:pPr>
            <w:r>
              <w:rPr>
                <w:rFonts w:ascii="宋体" w:hAnsi="宋体" w:eastAsia="宋体"/>
                <w:sz w:val="16"/>
              </w:rPr>
              <w:t>—</w:t>
            </w:r>
          </w:p>
        </w:tc>
      </w:tr>
      <w:tr w14:paraId="12BF72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F79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8FB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B35B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90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E15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BDC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090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EC59">
            <w:pPr>
              <w:jc w:val="center"/>
            </w:pPr>
            <w:r>
              <w:rPr>
                <w:rFonts w:ascii="宋体" w:hAnsi="宋体" w:eastAsia="宋体"/>
                <w:sz w:val="16"/>
              </w:rPr>
              <w:t>—</w:t>
            </w:r>
          </w:p>
        </w:tc>
      </w:tr>
      <w:tr w14:paraId="477122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A682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A1CAF5">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81D98B">
            <w:pPr>
              <w:jc w:val="center"/>
            </w:pPr>
            <w:r>
              <w:rPr>
                <w:rFonts w:ascii="宋体" w:hAnsi="宋体" w:eastAsia="宋体"/>
                <w:sz w:val="16"/>
              </w:rPr>
              <w:t>实际完成情况</w:t>
            </w:r>
          </w:p>
        </w:tc>
      </w:tr>
      <w:tr w14:paraId="0E5EE4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BF75A"/>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504B33">
            <w:pPr>
              <w:jc w:val="both"/>
            </w:pPr>
            <w:r>
              <w:rPr>
                <w:rFonts w:ascii="宋体" w:hAnsi="宋体" w:eastAsia="宋体"/>
                <w:sz w:val="16"/>
              </w:rPr>
              <w:t>根据和地财教</w:t>
            </w:r>
            <w:r>
              <w:rPr>
                <w:rFonts w:hint="eastAsia" w:ascii="宋体" w:hAnsi="宋体"/>
                <w:sz w:val="16"/>
                <w:lang w:eastAsia="zh-CN"/>
              </w:rPr>
              <w:t>〔2022〕70号</w:t>
            </w:r>
            <w:r>
              <w:rPr>
                <w:rFonts w:ascii="宋体" w:hAnsi="宋体" w:eastAsia="宋体"/>
                <w:sz w:val="16"/>
              </w:rPr>
              <w:t>文件要求，实施本项目。主要内容：保障1所义务教育阶段学校和24名学生、每生每年1000元的标准进行营养改善补贴。</w:t>
            </w:r>
            <w:r>
              <w:rPr>
                <w:rFonts w:ascii="宋体" w:hAnsi="宋体" w:eastAsia="宋体"/>
                <w:sz w:val="16"/>
              </w:rPr>
              <w:br w:type="textWrapping"/>
            </w:r>
            <w:r>
              <w:rPr>
                <w:rFonts w:ascii="宋体" w:hAnsi="宋体" w:eastAsia="宋体"/>
                <w:sz w:val="16"/>
              </w:rPr>
              <w:t>通过项目的实施，有效减轻学生家庭负担，改善学校办学条件，提升学生身体素质。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1579B7">
            <w:pPr>
              <w:jc w:val="both"/>
            </w:pPr>
            <w:r>
              <w:rPr>
                <w:rFonts w:ascii="宋体" w:hAnsi="宋体" w:eastAsia="宋体"/>
                <w:sz w:val="16"/>
              </w:rPr>
              <w:t>截至目前，该项目已完成</w:t>
            </w:r>
            <w:r>
              <w:rPr>
                <w:rFonts w:ascii="宋体" w:hAnsi="宋体" w:eastAsia="宋体"/>
                <w:sz w:val="16"/>
              </w:rPr>
              <w:br w:type="textWrapping"/>
            </w:r>
            <w:r>
              <w:rPr>
                <w:rFonts w:ascii="宋体" w:hAnsi="宋体" w:eastAsia="宋体"/>
                <w:sz w:val="16"/>
              </w:rPr>
              <w:t>民丰县亚瓦通古孜乡小学有1所义务教育阶段学校，受补助学生人数22人，每生每年1000元的标准进行营养改善补贴。通过项目的实施，提升学生身体素质，减轻学生家庭负担，促进教育公平。</w:t>
            </w:r>
          </w:p>
        </w:tc>
      </w:tr>
      <w:tr w14:paraId="177202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F7CB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CBE6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4DF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FC99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1CF1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F4CF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568D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78C8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87D4E">
            <w:pPr>
              <w:jc w:val="center"/>
            </w:pPr>
            <w:r>
              <w:rPr>
                <w:rFonts w:ascii="宋体" w:hAnsi="宋体" w:eastAsia="宋体"/>
                <w:sz w:val="16"/>
              </w:rPr>
              <w:t>偏差原因分析及改进措施</w:t>
            </w:r>
          </w:p>
        </w:tc>
      </w:tr>
      <w:tr w14:paraId="37AC74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3A1C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9DFB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B3E3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C0ECF">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545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744BA">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3475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9220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22BAB">
            <w:pPr>
              <w:jc w:val="center"/>
            </w:pPr>
          </w:p>
        </w:tc>
      </w:tr>
      <w:tr w14:paraId="24A3D8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957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5F6A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ECE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A2A6E">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4145B">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C3BF4">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58B2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5D279">
            <w:pPr>
              <w:jc w:val="center"/>
            </w:pPr>
            <w:r>
              <w:rPr>
                <w:rFonts w:ascii="宋体" w:hAnsi="宋体" w:eastAsia="宋体"/>
                <w:sz w:val="16"/>
              </w:rPr>
              <w:t>6.34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A7A6A">
            <w:pPr>
              <w:jc w:val="center"/>
            </w:pPr>
            <w:r>
              <w:rPr>
                <w:rFonts w:ascii="宋体" w:hAnsi="宋体" w:eastAsia="宋体"/>
                <w:sz w:val="16"/>
              </w:rPr>
              <w:t>原因：人数按实际需求存在变动，人数减少。措施：加强年初预算精准度。</w:t>
            </w:r>
          </w:p>
        </w:tc>
      </w:tr>
      <w:tr w14:paraId="072268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AB1C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517E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EAE1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93DA7">
            <w:pPr>
              <w:jc w:val="center"/>
            </w:pPr>
            <w:r>
              <w:rPr>
                <w:rFonts w:ascii="宋体" w:hAnsi="宋体" w:eastAsia="宋体"/>
                <w:sz w:val="16"/>
              </w:rPr>
              <w:t>学生营养改善享受</w:t>
            </w:r>
            <w:r>
              <w:rPr>
                <w:rFonts w:hint="eastAsia" w:ascii="宋体" w:hAnsi="宋体"/>
                <w:sz w:val="16"/>
                <w:lang w:eastAsia="zh-CN"/>
              </w:rPr>
              <w:t>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B1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806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524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109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F58CF">
            <w:pPr>
              <w:jc w:val="center"/>
            </w:pPr>
          </w:p>
        </w:tc>
      </w:tr>
      <w:tr w14:paraId="6D79CF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35E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8E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54F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D09B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A9F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EAF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F44B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AB52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9B18A">
            <w:pPr>
              <w:jc w:val="center"/>
            </w:pPr>
          </w:p>
        </w:tc>
      </w:tr>
      <w:tr w14:paraId="148808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BD66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0E1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8B77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5E86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38B4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01215">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B67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833E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8FA5D2">
            <w:pPr>
              <w:jc w:val="center"/>
            </w:pPr>
          </w:p>
        </w:tc>
      </w:tr>
      <w:tr w14:paraId="3B6DFE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42B7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A9C2D">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3F9D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781C6">
            <w:pPr>
              <w:jc w:val="center"/>
            </w:pPr>
            <w:r>
              <w:rPr>
                <w:rFonts w:ascii="宋体" w:hAnsi="宋体" w:eastAsia="宋体"/>
                <w:sz w:val="16"/>
              </w:rPr>
              <w:t>营养补贴标准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02830">
            <w:pPr>
              <w:jc w:val="center"/>
            </w:pPr>
            <w:r>
              <w:rPr>
                <w:rFonts w:ascii="宋体" w:hAnsi="宋体" w:eastAsia="宋体"/>
                <w:sz w:val="16"/>
              </w:rPr>
              <w:t>&lt;=1000元/人/年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9D81B">
            <w:pPr>
              <w:jc w:val="center"/>
            </w:pPr>
            <w:r>
              <w:rPr>
                <w:rFonts w:ascii="宋体" w:hAnsi="宋体" w:eastAsia="宋体"/>
                <w:sz w:val="16"/>
              </w:rPr>
              <w:t>=1000元/人/年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C86F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2EE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36966">
            <w:pPr>
              <w:jc w:val="center"/>
            </w:pPr>
          </w:p>
        </w:tc>
      </w:tr>
      <w:tr w14:paraId="155396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9CE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A89F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4D05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326E">
            <w:pPr>
              <w:jc w:val="center"/>
            </w:pPr>
            <w:r>
              <w:rPr>
                <w:rFonts w:ascii="宋体" w:hAnsi="宋体" w:eastAsia="宋体"/>
                <w:sz w:val="16"/>
              </w:rPr>
              <w:t>减轻学生家庭负担，促进学生营养均衡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04F21">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4CE54">
            <w:pPr>
              <w:jc w:val="center"/>
            </w:pPr>
            <w:r>
              <w:rPr>
                <w:rFonts w:ascii="宋体" w:hAnsi="宋体" w:eastAsia="宋体"/>
                <w:sz w:val="16"/>
              </w:rPr>
              <w:t>达成指标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83CE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FA2B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D9929">
            <w:pPr>
              <w:jc w:val="center"/>
            </w:pPr>
          </w:p>
        </w:tc>
      </w:tr>
      <w:tr w14:paraId="14D32E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C64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8E46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57EB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1A2FE">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FE08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17B8D">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B4C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CD6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CB1FB">
            <w:pPr>
              <w:jc w:val="center"/>
            </w:pPr>
          </w:p>
        </w:tc>
      </w:tr>
      <w:tr w14:paraId="41CCD5D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E51D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1E4C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A42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924E1">
            <w:pPr>
              <w:jc w:val="center"/>
            </w:pPr>
            <w:r>
              <w:rPr>
                <w:rFonts w:ascii="宋体" w:hAnsi="宋体" w:eastAsia="宋体"/>
                <w:sz w:val="16"/>
              </w:rPr>
              <w:t>98.34分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73DDF9"/>
        </w:tc>
      </w:tr>
    </w:tbl>
    <w:p w14:paraId="688D51E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C5B2A0">
        <w:tblPrEx>
          <w:tblCellMar>
            <w:top w:w="0" w:type="dxa"/>
            <w:left w:w="108" w:type="dxa"/>
            <w:bottom w:w="0" w:type="dxa"/>
            <w:right w:w="108" w:type="dxa"/>
          </w:tblCellMar>
        </w:tblPrEx>
        <w:tc>
          <w:tcPr>
            <w:tcW w:w="8847" w:type="dxa"/>
            <w:gridSpan w:val="9"/>
            <w:vAlign w:val="center"/>
          </w:tcPr>
          <w:p w14:paraId="4A8CFFA6">
            <w:pPr>
              <w:jc w:val="center"/>
            </w:pPr>
            <w:r>
              <w:rPr>
                <w:rFonts w:ascii="宋体" w:hAnsi="宋体" w:eastAsia="宋体"/>
                <w:sz w:val="24"/>
              </w:rPr>
              <w:t>项目支出绩效自评表</w:t>
            </w:r>
          </w:p>
        </w:tc>
      </w:tr>
      <w:tr w14:paraId="549B758B">
        <w:tblPrEx>
          <w:tblCellMar>
            <w:top w:w="0" w:type="dxa"/>
            <w:left w:w="108" w:type="dxa"/>
            <w:bottom w:w="0" w:type="dxa"/>
            <w:right w:w="108" w:type="dxa"/>
          </w:tblCellMar>
        </w:tblPrEx>
        <w:tc>
          <w:tcPr>
            <w:tcW w:w="8847" w:type="dxa"/>
            <w:gridSpan w:val="9"/>
            <w:vAlign w:val="center"/>
          </w:tcPr>
          <w:p w14:paraId="061EFE4E">
            <w:pPr>
              <w:jc w:val="center"/>
            </w:pPr>
            <w:r>
              <w:rPr>
                <w:rFonts w:ascii="宋体" w:hAnsi="宋体" w:eastAsia="宋体"/>
                <w:sz w:val="24"/>
              </w:rPr>
              <w:t>(2024年度)</w:t>
            </w:r>
          </w:p>
        </w:tc>
      </w:tr>
      <w:tr w14:paraId="313F0A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CCF3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10FFBB3">
            <w:pPr>
              <w:jc w:val="center"/>
            </w:pPr>
            <w:r>
              <w:rPr>
                <w:rFonts w:ascii="宋体" w:hAnsi="宋体" w:eastAsia="宋体"/>
                <w:sz w:val="16"/>
              </w:rPr>
              <w:t>2023年自治区农村学前三年免费教育保障经费   和地财教</w:t>
            </w:r>
            <w:r>
              <w:rPr>
                <w:rFonts w:hint="eastAsia" w:ascii="宋体" w:hAnsi="宋体"/>
                <w:sz w:val="16"/>
                <w:lang w:eastAsia="zh-CN"/>
              </w:rPr>
              <w:t>〔2023〕42号</w:t>
            </w:r>
            <w:r>
              <w:rPr>
                <w:rFonts w:ascii="宋体" w:hAnsi="宋体" w:eastAsia="宋体"/>
                <w:sz w:val="16"/>
              </w:rPr>
              <w:t>（伙食费）（结转）</w:t>
            </w:r>
          </w:p>
        </w:tc>
      </w:tr>
      <w:tr w14:paraId="3D88CA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AB0F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7CB9B2">
            <w:pPr>
              <w:jc w:val="center"/>
            </w:pPr>
            <w:r>
              <w:rPr>
                <w:rFonts w:ascii="宋体" w:hAnsi="宋体" w:eastAsia="宋体"/>
                <w:sz w:val="16"/>
              </w:rPr>
              <w:t>民丰县亚瓦通古孜乡小学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FF40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6E8987">
            <w:pPr>
              <w:jc w:val="center"/>
            </w:pPr>
            <w:r>
              <w:rPr>
                <w:rFonts w:ascii="宋体" w:hAnsi="宋体" w:eastAsia="宋体"/>
                <w:sz w:val="16"/>
              </w:rPr>
              <w:t>民丰县亚瓦通古孜乡小学</w:t>
            </w:r>
          </w:p>
        </w:tc>
      </w:tr>
      <w:tr w14:paraId="494CB4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D66F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B98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021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4B7C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037B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EC65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DACE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02371">
            <w:pPr>
              <w:jc w:val="center"/>
            </w:pPr>
            <w:r>
              <w:rPr>
                <w:rFonts w:ascii="宋体" w:hAnsi="宋体" w:eastAsia="宋体"/>
                <w:sz w:val="16"/>
              </w:rPr>
              <w:t>得分</w:t>
            </w:r>
          </w:p>
        </w:tc>
      </w:tr>
      <w:tr w14:paraId="0AFDEE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FF3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45F1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5FC99">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DA323">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C0C9B">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6F2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3BE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9EB2C">
            <w:pPr>
              <w:jc w:val="center"/>
            </w:pPr>
            <w:r>
              <w:rPr>
                <w:rFonts w:ascii="宋体" w:hAnsi="宋体" w:eastAsia="宋体"/>
                <w:sz w:val="16"/>
              </w:rPr>
              <w:t>10.00分</w:t>
            </w:r>
          </w:p>
        </w:tc>
      </w:tr>
      <w:tr w14:paraId="4D68BF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985D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335F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BF78">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741B8">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F5142">
            <w:pPr>
              <w:jc w:val="center"/>
            </w:pPr>
            <w:r>
              <w:rPr>
                <w:rFonts w:ascii="宋体" w:hAnsi="宋体" w:eastAsia="宋体"/>
                <w:sz w:val="16"/>
              </w:rPr>
              <w:t>0.19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965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520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FCD89">
            <w:pPr>
              <w:jc w:val="center"/>
            </w:pPr>
            <w:r>
              <w:rPr>
                <w:rFonts w:ascii="宋体" w:hAnsi="宋体" w:eastAsia="宋体"/>
                <w:sz w:val="16"/>
              </w:rPr>
              <w:t>—</w:t>
            </w:r>
          </w:p>
        </w:tc>
      </w:tr>
      <w:tr w14:paraId="5CAFB0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001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68D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538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B1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48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F9A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B07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4825D">
            <w:pPr>
              <w:jc w:val="center"/>
            </w:pPr>
            <w:r>
              <w:rPr>
                <w:rFonts w:ascii="宋体" w:hAnsi="宋体" w:eastAsia="宋体"/>
                <w:sz w:val="16"/>
              </w:rPr>
              <w:t>—</w:t>
            </w:r>
          </w:p>
        </w:tc>
      </w:tr>
      <w:tr w14:paraId="2B92DC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C9BF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8946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B7D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919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67C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3D2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42F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F3CA3">
            <w:pPr>
              <w:jc w:val="center"/>
            </w:pPr>
            <w:r>
              <w:rPr>
                <w:rFonts w:ascii="宋体" w:hAnsi="宋体" w:eastAsia="宋体"/>
                <w:sz w:val="16"/>
              </w:rPr>
              <w:t>—</w:t>
            </w:r>
          </w:p>
        </w:tc>
      </w:tr>
      <w:tr w14:paraId="51A681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6A60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58133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B0936D">
            <w:pPr>
              <w:jc w:val="center"/>
            </w:pPr>
            <w:r>
              <w:rPr>
                <w:rFonts w:ascii="宋体" w:hAnsi="宋体" w:eastAsia="宋体"/>
                <w:sz w:val="16"/>
              </w:rPr>
              <w:t>实际完成情况</w:t>
            </w:r>
          </w:p>
        </w:tc>
      </w:tr>
      <w:tr w14:paraId="5CB34F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F42E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E07DAC">
            <w:pPr>
              <w:jc w:val="both"/>
            </w:pPr>
            <w:r>
              <w:rPr>
                <w:rFonts w:ascii="宋体" w:hAnsi="宋体" w:eastAsia="宋体"/>
                <w:sz w:val="16"/>
              </w:rPr>
              <w:t>根据和地财教</w:t>
            </w:r>
            <w:r>
              <w:rPr>
                <w:rFonts w:hint="eastAsia" w:ascii="宋体" w:hAnsi="宋体"/>
                <w:sz w:val="16"/>
                <w:lang w:eastAsia="zh-CN"/>
              </w:rPr>
              <w:t>〔2023〕42号</w:t>
            </w:r>
            <w:r>
              <w:rPr>
                <w:rFonts w:ascii="宋体" w:hAnsi="宋体" w:eastAsia="宋体"/>
                <w:sz w:val="16"/>
              </w:rPr>
              <w:t>文件要求实施本项目，主要实施内容：保障我县1所幼儿园7名学生220天的伙食补助，按照每人每年1450元标准进行补助。通过项目实施，减轻学前教育困难家庭学生生活费负担，促进教育资源公平均衡配置。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FC8DD">
            <w:pPr>
              <w:jc w:val="both"/>
            </w:pPr>
            <w:r>
              <w:rPr>
                <w:rFonts w:ascii="宋体" w:hAnsi="宋体" w:eastAsia="宋体"/>
                <w:sz w:val="16"/>
              </w:rPr>
              <w:t>截至目前，该项目已完成民丰县亚瓦通古孜乡小学有1所义务教育阶段学校，受补助学生人数22人，每生每年1450元的标准进行学前伙食补助。通过项目的实施，提升学生身体素质，减轻学生家庭负担，促进教育公平。</w:t>
            </w:r>
          </w:p>
        </w:tc>
      </w:tr>
      <w:tr w14:paraId="1C2912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2526A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7776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121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34AB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68E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2EDB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29CE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B94D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FE58C">
            <w:pPr>
              <w:jc w:val="center"/>
            </w:pPr>
            <w:r>
              <w:rPr>
                <w:rFonts w:ascii="宋体" w:hAnsi="宋体" w:eastAsia="宋体"/>
                <w:sz w:val="16"/>
              </w:rPr>
              <w:t>偏差原因分析及改进措施</w:t>
            </w:r>
          </w:p>
        </w:tc>
      </w:tr>
      <w:tr w14:paraId="1351039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908E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6015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86C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57FBE">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7FA61">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02E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137D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35AF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2C74D">
            <w:pPr>
              <w:jc w:val="center"/>
            </w:pPr>
          </w:p>
        </w:tc>
      </w:tr>
      <w:tr w14:paraId="0AE87F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165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92F3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63FD5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8B6D2">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EE94">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3CE5B">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FBD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5983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AFEA9">
            <w:pPr>
              <w:jc w:val="center"/>
            </w:pPr>
          </w:p>
        </w:tc>
      </w:tr>
      <w:tr w14:paraId="415C5E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33E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A1E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5AD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03FB7">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2AFCE">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25690">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89D1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202EE">
            <w:pPr>
              <w:jc w:val="center"/>
            </w:pPr>
            <w:r>
              <w:rPr>
                <w:rFonts w:ascii="宋体" w:hAnsi="宋体" w:eastAsia="宋体"/>
                <w:sz w:val="16"/>
              </w:rPr>
              <w:t>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14F75">
            <w:pPr>
              <w:jc w:val="center"/>
            </w:pPr>
            <w:r>
              <w:rPr>
                <w:rFonts w:ascii="宋体" w:hAnsi="宋体" w:eastAsia="宋体"/>
                <w:sz w:val="16"/>
              </w:rPr>
              <w:t>原因：人数按实际需求存在变动，人数减少。措施：加强年初预算精准度。</w:t>
            </w:r>
          </w:p>
        </w:tc>
      </w:tr>
      <w:tr w14:paraId="79E3DB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2C4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41C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3EB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C1ED3">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2A7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796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D6F6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8921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52C7D">
            <w:pPr>
              <w:jc w:val="center"/>
            </w:pPr>
          </w:p>
        </w:tc>
      </w:tr>
      <w:tr w14:paraId="410EF0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53F4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317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FEC7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2C08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CB9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BBB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7CDD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DE6E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4818E">
            <w:pPr>
              <w:jc w:val="center"/>
            </w:pPr>
          </w:p>
        </w:tc>
      </w:tr>
      <w:tr w14:paraId="26D485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82E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3DF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DB3B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0FDC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57FF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D3C4D">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2AD6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B95C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E2472">
            <w:pPr>
              <w:jc w:val="center"/>
            </w:pPr>
          </w:p>
        </w:tc>
      </w:tr>
      <w:tr w14:paraId="27E7C0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FE4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5B61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8985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B1689">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4DED9">
            <w:pPr>
              <w:jc w:val="center"/>
            </w:pPr>
            <w:r>
              <w:rPr>
                <w:rFonts w:ascii="宋体" w:hAnsi="宋体" w:eastAsia="宋体"/>
                <w:sz w:val="16"/>
              </w:rPr>
              <w:t>&lt;=1450元/人/年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8F1E3">
            <w:pPr>
              <w:jc w:val="center"/>
            </w:pPr>
            <w:r>
              <w:rPr>
                <w:rFonts w:ascii="宋体" w:hAnsi="宋体" w:eastAsia="宋体"/>
                <w:sz w:val="16"/>
              </w:rPr>
              <w:t>=1450元/人/年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84C1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3C4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94762">
            <w:pPr>
              <w:jc w:val="center"/>
            </w:pPr>
          </w:p>
        </w:tc>
      </w:tr>
      <w:tr w14:paraId="1FAD0E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228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E95A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9D7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4EECC">
            <w:pPr>
              <w:jc w:val="center"/>
            </w:pPr>
            <w:r>
              <w:rPr>
                <w:rFonts w:ascii="宋体" w:hAnsi="宋体" w:eastAsia="宋体"/>
                <w:sz w:val="16"/>
              </w:rPr>
              <w:t>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8F286">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CF475">
            <w:pPr>
              <w:jc w:val="center"/>
            </w:pPr>
            <w:r>
              <w:rPr>
                <w:rFonts w:ascii="宋体" w:hAnsi="宋体" w:eastAsia="宋体"/>
                <w:sz w:val="16"/>
              </w:rPr>
              <w:t>达成指标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D673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B9C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211E7">
            <w:pPr>
              <w:jc w:val="center"/>
            </w:pPr>
          </w:p>
        </w:tc>
      </w:tr>
      <w:tr w14:paraId="42C44D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D1D1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8667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849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E9F9A">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1DBC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0A3F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A8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8F3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DF650">
            <w:pPr>
              <w:jc w:val="center"/>
            </w:pPr>
          </w:p>
        </w:tc>
      </w:tr>
      <w:tr w14:paraId="7BF9FFE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9DB7D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5D75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F4A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D6EEE">
            <w:pPr>
              <w:jc w:val="center"/>
            </w:pPr>
            <w:r>
              <w:rPr>
                <w:rFonts w:ascii="宋体" w:hAnsi="宋体" w:eastAsia="宋体"/>
                <w:sz w:val="16"/>
              </w:rPr>
              <w:t>97.5分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AAB9D77"/>
        </w:tc>
      </w:tr>
    </w:tbl>
    <w:p w14:paraId="3BFC79A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06CFDB">
        <w:tblPrEx>
          <w:tblCellMar>
            <w:top w:w="0" w:type="dxa"/>
            <w:left w:w="108" w:type="dxa"/>
            <w:bottom w:w="0" w:type="dxa"/>
            <w:right w:w="108" w:type="dxa"/>
          </w:tblCellMar>
        </w:tblPrEx>
        <w:tc>
          <w:tcPr>
            <w:tcW w:w="8847" w:type="dxa"/>
            <w:gridSpan w:val="9"/>
            <w:vAlign w:val="center"/>
          </w:tcPr>
          <w:p w14:paraId="5C252137">
            <w:pPr>
              <w:jc w:val="center"/>
            </w:pPr>
            <w:r>
              <w:rPr>
                <w:rFonts w:ascii="宋体" w:hAnsi="宋体" w:eastAsia="宋体"/>
                <w:sz w:val="24"/>
              </w:rPr>
              <w:t>项目支出绩效自评表</w:t>
            </w:r>
          </w:p>
        </w:tc>
      </w:tr>
      <w:tr w14:paraId="7BF07DA5">
        <w:tblPrEx>
          <w:tblCellMar>
            <w:top w:w="0" w:type="dxa"/>
            <w:left w:w="108" w:type="dxa"/>
            <w:bottom w:w="0" w:type="dxa"/>
            <w:right w:w="108" w:type="dxa"/>
          </w:tblCellMar>
        </w:tblPrEx>
        <w:tc>
          <w:tcPr>
            <w:tcW w:w="8847" w:type="dxa"/>
            <w:gridSpan w:val="9"/>
            <w:vAlign w:val="center"/>
          </w:tcPr>
          <w:p w14:paraId="4EE93AA0">
            <w:pPr>
              <w:jc w:val="center"/>
            </w:pPr>
            <w:r>
              <w:rPr>
                <w:rFonts w:ascii="宋体" w:hAnsi="宋体" w:eastAsia="宋体"/>
                <w:sz w:val="24"/>
              </w:rPr>
              <w:t>(2024年度)</w:t>
            </w:r>
          </w:p>
        </w:tc>
      </w:tr>
      <w:tr w14:paraId="0C3F4C5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1920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D25A83">
            <w:pPr>
              <w:jc w:val="center"/>
            </w:pPr>
            <w:r>
              <w:rPr>
                <w:rFonts w:ascii="宋体" w:hAnsi="宋体" w:eastAsia="宋体"/>
                <w:sz w:val="16"/>
              </w:rPr>
              <w:t>县配套义务教育生均公用经费</w:t>
            </w:r>
          </w:p>
        </w:tc>
      </w:tr>
      <w:tr w14:paraId="07EF38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0063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799547">
            <w:pPr>
              <w:jc w:val="center"/>
            </w:pPr>
            <w:r>
              <w:rPr>
                <w:rFonts w:ascii="宋体" w:hAnsi="宋体" w:eastAsia="宋体"/>
                <w:sz w:val="16"/>
              </w:rPr>
              <w:t>民丰县亚瓦通古孜乡小学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D459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028558">
            <w:pPr>
              <w:jc w:val="center"/>
            </w:pPr>
            <w:r>
              <w:rPr>
                <w:rFonts w:ascii="宋体" w:hAnsi="宋体" w:eastAsia="宋体"/>
                <w:sz w:val="16"/>
              </w:rPr>
              <w:t>民丰县亚瓦通古孜乡小学</w:t>
            </w:r>
          </w:p>
        </w:tc>
      </w:tr>
      <w:tr w14:paraId="288D00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33532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1D78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8047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DC9A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D0F4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C60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6E23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275DE">
            <w:pPr>
              <w:jc w:val="center"/>
            </w:pPr>
            <w:r>
              <w:rPr>
                <w:rFonts w:ascii="宋体" w:hAnsi="宋体" w:eastAsia="宋体"/>
                <w:sz w:val="16"/>
              </w:rPr>
              <w:t>得分</w:t>
            </w:r>
          </w:p>
        </w:tc>
      </w:tr>
      <w:tr w14:paraId="71BD33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106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4AA8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7F051">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0F98">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D1A33">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EF8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6856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714FF">
            <w:pPr>
              <w:jc w:val="center"/>
            </w:pPr>
            <w:r>
              <w:rPr>
                <w:rFonts w:ascii="宋体" w:hAnsi="宋体" w:eastAsia="宋体"/>
                <w:sz w:val="16"/>
              </w:rPr>
              <w:t>10.00分</w:t>
            </w:r>
          </w:p>
        </w:tc>
      </w:tr>
      <w:tr w14:paraId="76CBF1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F5CA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5ACC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97E43">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A7B7F">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B40A5">
            <w:pPr>
              <w:jc w:val="center"/>
            </w:pPr>
            <w:r>
              <w:rPr>
                <w:rFonts w:ascii="宋体" w:hAnsi="宋体" w:eastAsia="宋体"/>
                <w:sz w:val="16"/>
              </w:rPr>
              <w:t>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5EB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33E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DCEC6">
            <w:pPr>
              <w:jc w:val="center"/>
            </w:pPr>
            <w:r>
              <w:rPr>
                <w:rFonts w:ascii="宋体" w:hAnsi="宋体" w:eastAsia="宋体"/>
                <w:sz w:val="16"/>
              </w:rPr>
              <w:t>—</w:t>
            </w:r>
          </w:p>
        </w:tc>
      </w:tr>
      <w:tr w14:paraId="6683D4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C95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04E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F99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63F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B61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A2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79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01507">
            <w:pPr>
              <w:jc w:val="center"/>
            </w:pPr>
            <w:r>
              <w:rPr>
                <w:rFonts w:ascii="宋体" w:hAnsi="宋体" w:eastAsia="宋体"/>
                <w:sz w:val="16"/>
              </w:rPr>
              <w:t>—</w:t>
            </w:r>
          </w:p>
        </w:tc>
      </w:tr>
      <w:tr w14:paraId="0FFC5F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17A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75E3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F82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8EB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728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A0A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FD5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07F3D">
            <w:pPr>
              <w:jc w:val="center"/>
            </w:pPr>
            <w:r>
              <w:rPr>
                <w:rFonts w:ascii="宋体" w:hAnsi="宋体" w:eastAsia="宋体"/>
                <w:sz w:val="16"/>
              </w:rPr>
              <w:t>—</w:t>
            </w:r>
          </w:p>
        </w:tc>
      </w:tr>
      <w:tr w14:paraId="33E58E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B65F6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AD47B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1597A">
            <w:pPr>
              <w:jc w:val="center"/>
            </w:pPr>
            <w:r>
              <w:rPr>
                <w:rFonts w:ascii="宋体" w:hAnsi="宋体" w:eastAsia="宋体"/>
                <w:sz w:val="16"/>
              </w:rPr>
              <w:t>实际完成情况</w:t>
            </w:r>
          </w:p>
        </w:tc>
      </w:tr>
      <w:tr w14:paraId="415139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FDC1A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0B8965">
            <w:pPr>
              <w:jc w:val="both"/>
            </w:pPr>
            <w:r>
              <w:rPr>
                <w:rFonts w:ascii="宋体" w:hAnsi="宋体" w:eastAsia="宋体"/>
                <w:sz w:val="16"/>
              </w:rPr>
              <w:t>根据实施方案，实施开展。主要内容：保障1所义务教育阶段学校、24名学生和10名教师日常教育教学。通过项目的实施，有效保障本校教育教学正常运转。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AAE26">
            <w:pPr>
              <w:jc w:val="both"/>
            </w:pPr>
            <w:r>
              <w:rPr>
                <w:rFonts w:ascii="宋体" w:hAnsi="宋体" w:eastAsia="宋体"/>
                <w:sz w:val="16"/>
              </w:rPr>
              <w:t>截至目前，该项目已完成民丰县亚瓦通古孜乡小学1所义务教育阶段学校，受补助学生人数22人，通过项目的实施，提升学生身体素质，减轻学生家庭负担，促进教育公平。</w:t>
            </w:r>
          </w:p>
        </w:tc>
      </w:tr>
      <w:tr w14:paraId="27E4EB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CD68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C59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D29E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42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5C601">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82E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794B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2434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97DAB">
            <w:pPr>
              <w:jc w:val="center"/>
            </w:pPr>
            <w:r>
              <w:rPr>
                <w:rFonts w:ascii="宋体" w:hAnsi="宋体" w:eastAsia="宋体"/>
                <w:sz w:val="16"/>
              </w:rPr>
              <w:t>偏差原因分析及改进措施</w:t>
            </w:r>
          </w:p>
        </w:tc>
      </w:tr>
      <w:tr w14:paraId="1918F7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CF87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EDE2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E1B7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A00F4">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9C14D">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9F67D">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CE3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D3F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80CB">
            <w:pPr>
              <w:jc w:val="center"/>
            </w:pPr>
          </w:p>
        </w:tc>
      </w:tr>
      <w:tr w14:paraId="4B8DFE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AC5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EDF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61B6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7DA2E">
            <w:pPr>
              <w:jc w:val="center"/>
            </w:pPr>
            <w:r>
              <w:rPr>
                <w:rFonts w:ascii="宋体" w:hAnsi="宋体" w:eastAsia="宋体"/>
                <w:sz w:val="16"/>
              </w:rPr>
              <w:t>义务教育阶段学生人数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A97DE">
            <w:pPr>
              <w:jc w:val="center"/>
            </w:pPr>
            <w:r>
              <w:rPr>
                <w:rFonts w:ascii="宋体" w:hAnsi="宋体" w:eastAsia="宋体"/>
                <w:sz w:val="16"/>
              </w:rPr>
              <w:t>&gt;=24名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77509">
            <w:pPr>
              <w:jc w:val="center"/>
            </w:pPr>
            <w:r>
              <w:rPr>
                <w:rFonts w:ascii="宋体" w:hAnsi="宋体" w:eastAsia="宋体"/>
                <w:sz w:val="16"/>
              </w:rPr>
              <w:t>=22名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B0E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3CDFC">
            <w:pPr>
              <w:jc w:val="center"/>
            </w:pPr>
            <w:r>
              <w:rPr>
                <w:rFonts w:ascii="宋体" w:hAnsi="宋体" w:eastAsia="宋体"/>
                <w:sz w:val="16"/>
              </w:rPr>
              <w:t>7.93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A4FBB">
            <w:pPr>
              <w:jc w:val="center"/>
            </w:pPr>
            <w:r>
              <w:rPr>
                <w:rFonts w:ascii="宋体" w:hAnsi="宋体" w:eastAsia="宋体"/>
                <w:sz w:val="16"/>
              </w:rPr>
              <w:t>原因：人数按实际需求存在变动，人数减少。措施：加强年初预算精准度。</w:t>
            </w:r>
          </w:p>
        </w:tc>
      </w:tr>
      <w:tr w14:paraId="73E363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2B4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0D5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313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41EC4">
            <w:pPr>
              <w:jc w:val="center"/>
            </w:pPr>
            <w:r>
              <w:rPr>
                <w:rFonts w:ascii="宋体" w:hAnsi="宋体" w:eastAsia="宋体"/>
                <w:sz w:val="16"/>
              </w:rPr>
              <w:t>义务教育阶段学校教师人数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9A8A2">
            <w:pPr>
              <w:jc w:val="center"/>
            </w:pPr>
            <w:r>
              <w:rPr>
                <w:rFonts w:ascii="宋体" w:hAnsi="宋体" w:eastAsia="宋体"/>
                <w:sz w:val="16"/>
              </w:rPr>
              <w:t>&gt;=10名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20A4E">
            <w:pPr>
              <w:jc w:val="center"/>
            </w:pPr>
            <w:r>
              <w:rPr>
                <w:rFonts w:ascii="宋体" w:hAnsi="宋体" w:eastAsia="宋体"/>
                <w:sz w:val="16"/>
              </w:rPr>
              <w:t>=10名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EDF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964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B4CB1">
            <w:pPr>
              <w:jc w:val="center"/>
            </w:pPr>
          </w:p>
        </w:tc>
      </w:tr>
      <w:tr w14:paraId="108BF8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92A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C2E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08DF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7B77F">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01D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D16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CFD8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2B03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F1457">
            <w:pPr>
              <w:jc w:val="center"/>
            </w:pPr>
          </w:p>
        </w:tc>
      </w:tr>
      <w:tr w14:paraId="085CDD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8D7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A9E1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A4EEA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6DAF6">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F61D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A10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0330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FDB5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6586A">
            <w:pPr>
              <w:jc w:val="center"/>
            </w:pPr>
          </w:p>
        </w:tc>
      </w:tr>
      <w:tr w14:paraId="250957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7AE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AF1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34E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01A9C">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684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F58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0CE7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91E9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E4958">
            <w:pPr>
              <w:jc w:val="center"/>
            </w:pPr>
          </w:p>
        </w:tc>
      </w:tr>
      <w:tr w14:paraId="4B580B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416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D418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7FF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92D6">
            <w:pPr>
              <w:jc w:val="center"/>
            </w:pPr>
            <w:r>
              <w:rPr>
                <w:rFonts w:ascii="宋体" w:hAnsi="宋体" w:eastAsia="宋体"/>
                <w:sz w:val="16"/>
              </w:rPr>
              <w:t>保障本校教育教学正常运转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A9CD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92EA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FD29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5887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472A0">
            <w:pPr>
              <w:jc w:val="center"/>
            </w:pPr>
          </w:p>
        </w:tc>
      </w:tr>
      <w:tr w14:paraId="7912B0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157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7AA5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531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C9AB8">
            <w:pPr>
              <w:jc w:val="center"/>
            </w:pPr>
            <w:r>
              <w:rPr>
                <w:rFonts w:ascii="宋体" w:hAnsi="宋体" w:eastAsia="宋体"/>
                <w:sz w:val="16"/>
              </w:rPr>
              <w:t>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9B3C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E58F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F0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9F4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E6B44">
            <w:pPr>
              <w:jc w:val="center"/>
            </w:pPr>
          </w:p>
        </w:tc>
      </w:tr>
      <w:tr w14:paraId="4EB9B22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CFC5B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88EF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222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DA8C5">
            <w:pPr>
              <w:jc w:val="center"/>
            </w:pPr>
            <w:r>
              <w:rPr>
                <w:rFonts w:ascii="宋体" w:hAnsi="宋体" w:eastAsia="宋体"/>
                <w:sz w:val="16"/>
              </w:rPr>
              <w:t>97.93分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645A2A"/>
        </w:tc>
      </w:tr>
    </w:tbl>
    <w:p w14:paraId="5108E29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9526083">
        <w:tblPrEx>
          <w:tblCellMar>
            <w:top w:w="0" w:type="dxa"/>
            <w:left w:w="108" w:type="dxa"/>
            <w:bottom w:w="0" w:type="dxa"/>
            <w:right w:w="108" w:type="dxa"/>
          </w:tblCellMar>
        </w:tblPrEx>
        <w:tc>
          <w:tcPr>
            <w:tcW w:w="8847" w:type="dxa"/>
            <w:gridSpan w:val="9"/>
            <w:vAlign w:val="center"/>
          </w:tcPr>
          <w:p w14:paraId="4A4C50BF">
            <w:pPr>
              <w:jc w:val="center"/>
            </w:pPr>
            <w:r>
              <w:rPr>
                <w:rFonts w:ascii="宋体" w:hAnsi="宋体" w:eastAsia="宋体"/>
                <w:sz w:val="24"/>
              </w:rPr>
              <w:t>项目支出绩效自评表</w:t>
            </w:r>
          </w:p>
        </w:tc>
      </w:tr>
      <w:tr w14:paraId="7698018D">
        <w:tblPrEx>
          <w:tblCellMar>
            <w:top w:w="0" w:type="dxa"/>
            <w:left w:w="108" w:type="dxa"/>
            <w:bottom w:w="0" w:type="dxa"/>
            <w:right w:w="108" w:type="dxa"/>
          </w:tblCellMar>
        </w:tblPrEx>
        <w:tc>
          <w:tcPr>
            <w:tcW w:w="8847" w:type="dxa"/>
            <w:gridSpan w:val="9"/>
            <w:vAlign w:val="center"/>
          </w:tcPr>
          <w:p w14:paraId="5A51F9F6">
            <w:pPr>
              <w:jc w:val="center"/>
            </w:pPr>
            <w:r>
              <w:rPr>
                <w:rFonts w:ascii="宋体" w:hAnsi="宋体" w:eastAsia="宋体"/>
                <w:sz w:val="24"/>
              </w:rPr>
              <w:t>(2024年度)</w:t>
            </w:r>
          </w:p>
        </w:tc>
      </w:tr>
      <w:tr w14:paraId="29388A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D3C6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DBC41A">
            <w:pPr>
              <w:jc w:val="center"/>
            </w:pPr>
            <w:r>
              <w:rPr>
                <w:rFonts w:ascii="宋体" w:hAnsi="宋体" w:eastAsia="宋体"/>
                <w:sz w:val="16"/>
              </w:rPr>
              <w:t>县配套学前教育经费项目</w:t>
            </w:r>
          </w:p>
        </w:tc>
      </w:tr>
      <w:tr w14:paraId="16ADE7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E417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10AAA2">
            <w:pPr>
              <w:jc w:val="center"/>
            </w:pPr>
            <w:r>
              <w:rPr>
                <w:rFonts w:ascii="宋体" w:hAnsi="宋体" w:eastAsia="宋体"/>
                <w:sz w:val="16"/>
              </w:rPr>
              <w:t>民丰县亚瓦通古孜乡小学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BC6C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01A62">
            <w:pPr>
              <w:jc w:val="center"/>
            </w:pPr>
            <w:r>
              <w:rPr>
                <w:rFonts w:ascii="宋体" w:hAnsi="宋体" w:eastAsia="宋体"/>
                <w:sz w:val="16"/>
              </w:rPr>
              <w:t>民丰县亚瓦通古孜乡小学</w:t>
            </w:r>
          </w:p>
        </w:tc>
      </w:tr>
      <w:tr w14:paraId="04C9AF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9AAF6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0CF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E78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FA08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7D01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A2C3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21D3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92972">
            <w:pPr>
              <w:jc w:val="center"/>
            </w:pPr>
            <w:r>
              <w:rPr>
                <w:rFonts w:ascii="宋体" w:hAnsi="宋体" w:eastAsia="宋体"/>
                <w:sz w:val="16"/>
              </w:rPr>
              <w:t>得分</w:t>
            </w:r>
          </w:p>
        </w:tc>
      </w:tr>
      <w:tr w14:paraId="198320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46D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42C5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FC4C9">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A65C1">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02988">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131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625A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E04E8">
            <w:pPr>
              <w:jc w:val="center"/>
            </w:pPr>
            <w:r>
              <w:rPr>
                <w:rFonts w:ascii="宋体" w:hAnsi="宋体" w:eastAsia="宋体"/>
                <w:sz w:val="16"/>
              </w:rPr>
              <w:t>10.00分</w:t>
            </w:r>
          </w:p>
        </w:tc>
      </w:tr>
      <w:tr w14:paraId="6DD5CC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AE7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2AD7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08D2A">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CC6E">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40672">
            <w:pPr>
              <w:jc w:val="center"/>
            </w:pPr>
            <w:r>
              <w:rPr>
                <w:rFonts w:ascii="宋体" w:hAnsi="宋体" w:eastAsia="宋体"/>
                <w:sz w:val="16"/>
              </w:rPr>
              <w:t>0.36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64B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E9C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7F697">
            <w:pPr>
              <w:jc w:val="center"/>
            </w:pPr>
            <w:r>
              <w:rPr>
                <w:rFonts w:ascii="宋体" w:hAnsi="宋体" w:eastAsia="宋体"/>
                <w:sz w:val="16"/>
              </w:rPr>
              <w:t>—</w:t>
            </w:r>
          </w:p>
        </w:tc>
      </w:tr>
      <w:tr w14:paraId="4AE6D3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4E9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61A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902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5EC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A23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76B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2E6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743A6">
            <w:pPr>
              <w:jc w:val="center"/>
            </w:pPr>
            <w:r>
              <w:rPr>
                <w:rFonts w:ascii="宋体" w:hAnsi="宋体" w:eastAsia="宋体"/>
                <w:sz w:val="16"/>
              </w:rPr>
              <w:t>—</w:t>
            </w:r>
          </w:p>
        </w:tc>
      </w:tr>
      <w:tr w14:paraId="28E2CC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6A68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DBD5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271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79E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1B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3F6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7EB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4F8A9">
            <w:pPr>
              <w:jc w:val="center"/>
            </w:pPr>
            <w:r>
              <w:rPr>
                <w:rFonts w:ascii="宋体" w:hAnsi="宋体" w:eastAsia="宋体"/>
                <w:sz w:val="16"/>
              </w:rPr>
              <w:t>—</w:t>
            </w:r>
          </w:p>
        </w:tc>
      </w:tr>
      <w:tr w14:paraId="49E0D8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3F57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F810E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3818E0">
            <w:pPr>
              <w:jc w:val="center"/>
            </w:pPr>
            <w:r>
              <w:rPr>
                <w:rFonts w:ascii="宋体" w:hAnsi="宋体" w:eastAsia="宋体"/>
                <w:sz w:val="16"/>
              </w:rPr>
              <w:t>实际完成情况</w:t>
            </w:r>
          </w:p>
        </w:tc>
      </w:tr>
      <w:tr w14:paraId="572B26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81ED4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74663A">
            <w:pPr>
              <w:jc w:val="both"/>
            </w:pPr>
            <w:r>
              <w:rPr>
                <w:rFonts w:ascii="宋体" w:hAnsi="宋体" w:eastAsia="宋体"/>
                <w:sz w:val="16"/>
              </w:rPr>
              <w:t>根据本项目实施方案，实施开展。主要内容：保障我县1所学校7名学生220天的伙食补助，按照每人每年516元标准进行补助。通过项目实施，减轻学前教育困难家庭学生生活费负担，促进教育资源公平均衡配置。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6C6031">
            <w:pPr>
              <w:jc w:val="both"/>
            </w:pPr>
            <w:r>
              <w:rPr>
                <w:rFonts w:ascii="宋体" w:hAnsi="宋体" w:eastAsia="宋体"/>
                <w:sz w:val="16"/>
              </w:rPr>
              <w:t>截至目前，该项目已完成民丰县寄宿制初级中学有1所义务教育阶段学校，受补助学生人数24人，每生每年516元的标准进行县配套学前教育经费项目。通过项目的实施，提升学生身体素质，减轻学生家庭负担，促进教育公平。</w:t>
            </w:r>
          </w:p>
        </w:tc>
      </w:tr>
      <w:tr w14:paraId="0A8B4A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8A6BD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FA4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1607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E27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3CBA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BE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FC50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AB63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CDEEA">
            <w:pPr>
              <w:jc w:val="center"/>
            </w:pPr>
            <w:r>
              <w:rPr>
                <w:rFonts w:ascii="宋体" w:hAnsi="宋体" w:eastAsia="宋体"/>
                <w:sz w:val="16"/>
              </w:rPr>
              <w:t>偏差原因分析及改进措施</w:t>
            </w:r>
          </w:p>
        </w:tc>
      </w:tr>
      <w:tr w14:paraId="4A8D90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06A2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6D79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3DDE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0CE84">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03841">
            <w:pPr>
              <w:jc w:val="center"/>
            </w:pPr>
            <w:r>
              <w:rPr>
                <w:rFonts w:ascii="宋体" w:hAnsi="宋体" w:eastAsia="宋体"/>
                <w:sz w:val="16"/>
              </w:rPr>
              <w:t>&gt;=1所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1854B">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EB9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8E3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835CE">
            <w:pPr>
              <w:jc w:val="center"/>
            </w:pPr>
          </w:p>
        </w:tc>
      </w:tr>
      <w:tr w14:paraId="6E9E45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F83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ECD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9EC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33CFD">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EA186">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0E187">
            <w:pPr>
              <w:jc w:val="center"/>
            </w:pPr>
            <w:r>
              <w:rPr>
                <w:rFonts w:ascii="宋体" w:hAnsi="宋体" w:eastAsia="宋体"/>
                <w:sz w:val="16"/>
              </w:rPr>
              <w: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DC8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E49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663E8">
            <w:pPr>
              <w:jc w:val="center"/>
            </w:pPr>
          </w:p>
        </w:tc>
      </w:tr>
      <w:tr w14:paraId="70EB0E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640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6D3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7AAB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A478C">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27E2F">
            <w:pPr>
              <w:jc w:val="center"/>
            </w:pPr>
            <w:r>
              <w:rPr>
                <w:rFonts w:ascii="宋体" w:hAnsi="宋体" w:eastAsia="宋体"/>
                <w:sz w:val="16"/>
              </w:rPr>
              <w:t>&gt;=7人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1BECD">
            <w:pPr>
              <w:jc w:val="center"/>
            </w:pPr>
            <w:r>
              <w:rPr>
                <w:rFonts w:ascii="宋体" w:hAnsi="宋体" w:eastAsia="宋体"/>
                <w:sz w:val="16"/>
              </w:rPr>
              <w:t>=6人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3DDF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E2589">
            <w:pPr>
              <w:jc w:val="center"/>
            </w:pPr>
            <w:r>
              <w:rPr>
                <w:rFonts w:ascii="宋体" w:hAnsi="宋体" w:eastAsia="宋体"/>
                <w:sz w:val="16"/>
              </w:rPr>
              <w:t>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A42DC">
            <w:pPr>
              <w:jc w:val="center"/>
            </w:pPr>
            <w:r>
              <w:rPr>
                <w:rFonts w:ascii="宋体" w:hAnsi="宋体" w:eastAsia="宋体"/>
                <w:sz w:val="16"/>
              </w:rPr>
              <w:t>偏差原因：人数按实际需求存在变动，人数减少。改进措施：加强年初预算精准度。</w:t>
            </w:r>
          </w:p>
        </w:tc>
      </w:tr>
      <w:tr w14:paraId="161CD3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EA2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D528E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9F5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9E372">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23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16E2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26AF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C73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D67AD">
            <w:pPr>
              <w:jc w:val="center"/>
            </w:pPr>
          </w:p>
        </w:tc>
      </w:tr>
      <w:tr w14:paraId="0EA7B7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431D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EA5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EF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5796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DF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2B1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1737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C9B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17F10">
            <w:pPr>
              <w:jc w:val="center"/>
            </w:pPr>
          </w:p>
        </w:tc>
      </w:tr>
      <w:tr w14:paraId="306743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9B2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45BF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019A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450F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CC82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630B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CA2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627D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7324C">
            <w:pPr>
              <w:jc w:val="center"/>
            </w:pPr>
          </w:p>
        </w:tc>
      </w:tr>
      <w:tr w14:paraId="642D79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B98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7711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46D6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F6CAB">
            <w:pPr>
              <w:jc w:val="center"/>
            </w:pPr>
            <w:r>
              <w:rPr>
                <w:rFonts w:ascii="宋体" w:hAnsi="宋体" w:eastAsia="宋体"/>
                <w:sz w:val="16"/>
              </w:rPr>
              <w:t>减轻学前教育困难家庭学生生活费负担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E4646">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08B1C">
            <w:pPr>
              <w:jc w:val="center"/>
            </w:pPr>
            <w:r>
              <w:rPr>
                <w:rFonts w:ascii="宋体" w:hAnsi="宋体" w:eastAsia="宋体"/>
                <w:sz w:val="16"/>
              </w:rPr>
              <w:t>基本</w:t>
            </w:r>
            <w:r>
              <w:rPr>
                <w:rFonts w:hint="eastAsia" w:ascii="宋体" w:hAnsi="宋体"/>
                <w:sz w:val="16"/>
                <w:lang w:eastAsia="zh-CN"/>
              </w:rPr>
              <w:t>达成</w:t>
            </w:r>
            <w:r>
              <w:rPr>
                <w:rFonts w:ascii="宋体" w:hAnsi="宋体" w:eastAsia="宋体"/>
                <w:sz w:val="16"/>
              </w:rPr>
              <w:t>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7626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61C1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BB884">
            <w:pPr>
              <w:jc w:val="center"/>
            </w:pPr>
          </w:p>
        </w:tc>
      </w:tr>
      <w:tr w14:paraId="76D842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28E2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B38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BEA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15749">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3DCC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1785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485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FFC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35D47">
            <w:pPr>
              <w:jc w:val="center"/>
            </w:pPr>
          </w:p>
        </w:tc>
      </w:tr>
      <w:tr w14:paraId="5C09765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24CFA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FE3DB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30C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D5D33">
            <w:pPr>
              <w:jc w:val="center"/>
            </w:pPr>
            <w:r>
              <w:rPr>
                <w:rFonts w:ascii="宋体" w:hAnsi="宋体" w:eastAsia="宋体"/>
                <w:sz w:val="16"/>
              </w:rPr>
              <w:t>97.2分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CE7945B"/>
        </w:tc>
      </w:tr>
    </w:tbl>
    <w:p w14:paraId="20EB8A99">
      <w:r>
        <w:br w:type="page"/>
      </w:r>
    </w:p>
    <w:p w14:paraId="69E2E19C">
      <w:pPr>
        <w:spacing w:line="640" w:lineRule="exact"/>
        <w:ind w:firstLine="640"/>
        <w:jc w:val="both"/>
        <w:outlineLvl w:val="2"/>
      </w:pPr>
      <w:r>
        <w:rPr>
          <w:rFonts w:ascii="黑体" w:hAnsi="黑体" w:eastAsia="黑体"/>
          <w:sz w:val="32"/>
        </w:rPr>
        <w:t>十二、其他需说明的事项</w:t>
      </w:r>
    </w:p>
    <w:p w14:paraId="6212ACFB">
      <w:pPr>
        <w:spacing w:line="580" w:lineRule="exact"/>
        <w:ind w:firstLine="640"/>
        <w:jc w:val="both"/>
      </w:pPr>
      <w:r>
        <w:rPr>
          <w:rFonts w:ascii="仿宋_GB2312" w:hAnsi="仿宋_GB2312" w:eastAsia="仿宋_GB2312"/>
          <w:b w:val="0"/>
          <w:sz w:val="32"/>
        </w:rPr>
        <w:t>本单位无其他需说明的事项。</w:t>
      </w:r>
    </w:p>
    <w:p w14:paraId="25C43140">
      <w:r>
        <w:br w:type="page"/>
      </w:r>
    </w:p>
    <w:p w14:paraId="5036BF08">
      <w:pPr>
        <w:spacing w:line="240" w:lineRule="auto"/>
        <w:jc w:val="center"/>
        <w:outlineLvl w:val="1"/>
      </w:pPr>
      <w:r>
        <w:rPr>
          <w:rFonts w:ascii="黑体" w:hAnsi="黑体" w:eastAsia="黑体"/>
          <w:sz w:val="32"/>
        </w:rPr>
        <w:t>第三部分 专业名词解释</w:t>
      </w:r>
    </w:p>
    <w:p w14:paraId="0A9EE99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FE294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3B654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FD71D4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1A710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5AA6B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B7D0F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0311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C5767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16745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7FB71A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0DA57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136D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20DD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48A0E0">
      <w:r>
        <w:br w:type="page"/>
      </w:r>
    </w:p>
    <w:p w14:paraId="1B4DE2C8">
      <w:pPr>
        <w:spacing w:line="240" w:lineRule="auto"/>
        <w:jc w:val="center"/>
        <w:outlineLvl w:val="1"/>
      </w:pPr>
      <w:r>
        <w:rPr>
          <w:rFonts w:ascii="黑体" w:hAnsi="黑体" w:eastAsia="黑体"/>
          <w:sz w:val="32"/>
        </w:rPr>
        <w:t>第四部分 部门决算报表（见附表）</w:t>
      </w:r>
    </w:p>
    <w:p w14:paraId="5BD56009">
      <w:pPr>
        <w:spacing w:line="240" w:lineRule="auto"/>
        <w:ind w:firstLine="640"/>
        <w:jc w:val="both"/>
      </w:pPr>
      <w:r>
        <w:rPr>
          <w:rFonts w:ascii="仿宋_GB2312" w:hAnsi="仿宋_GB2312" w:eastAsia="仿宋_GB2312"/>
          <w:b w:val="0"/>
          <w:sz w:val="32"/>
        </w:rPr>
        <w:t>一、《收入支出决算总表》</w:t>
      </w:r>
    </w:p>
    <w:p w14:paraId="73EE97E4">
      <w:pPr>
        <w:spacing w:line="240" w:lineRule="auto"/>
        <w:ind w:firstLine="640"/>
        <w:jc w:val="both"/>
      </w:pPr>
      <w:r>
        <w:rPr>
          <w:rFonts w:ascii="仿宋_GB2312" w:hAnsi="仿宋_GB2312" w:eastAsia="仿宋_GB2312"/>
          <w:b w:val="0"/>
          <w:sz w:val="32"/>
        </w:rPr>
        <w:t>二、《收入决算表》</w:t>
      </w:r>
    </w:p>
    <w:p w14:paraId="23B5F9FE">
      <w:pPr>
        <w:spacing w:line="240" w:lineRule="auto"/>
        <w:ind w:firstLine="640"/>
        <w:jc w:val="both"/>
      </w:pPr>
      <w:r>
        <w:rPr>
          <w:rFonts w:ascii="仿宋_GB2312" w:hAnsi="仿宋_GB2312" w:eastAsia="仿宋_GB2312"/>
          <w:b w:val="0"/>
          <w:sz w:val="32"/>
        </w:rPr>
        <w:t>三、《支出决算表》</w:t>
      </w:r>
    </w:p>
    <w:p w14:paraId="395F766B">
      <w:pPr>
        <w:spacing w:line="240" w:lineRule="auto"/>
        <w:ind w:firstLine="640"/>
        <w:jc w:val="both"/>
      </w:pPr>
      <w:r>
        <w:rPr>
          <w:rFonts w:ascii="仿宋_GB2312" w:hAnsi="仿宋_GB2312" w:eastAsia="仿宋_GB2312"/>
          <w:b w:val="0"/>
          <w:sz w:val="32"/>
        </w:rPr>
        <w:t>四、《财政拨款收入支出决算总表》</w:t>
      </w:r>
    </w:p>
    <w:p w14:paraId="4997E605">
      <w:pPr>
        <w:spacing w:line="240" w:lineRule="auto"/>
        <w:ind w:firstLine="640"/>
        <w:jc w:val="both"/>
      </w:pPr>
      <w:r>
        <w:rPr>
          <w:rFonts w:ascii="仿宋_GB2312" w:hAnsi="仿宋_GB2312" w:eastAsia="仿宋_GB2312"/>
          <w:b w:val="0"/>
          <w:sz w:val="32"/>
        </w:rPr>
        <w:t>五、《一般公共预算财政拨款支出决算表》</w:t>
      </w:r>
    </w:p>
    <w:p w14:paraId="22A545EF">
      <w:pPr>
        <w:spacing w:line="240" w:lineRule="auto"/>
        <w:ind w:firstLine="640"/>
        <w:jc w:val="both"/>
      </w:pPr>
      <w:r>
        <w:rPr>
          <w:rFonts w:ascii="仿宋_GB2312" w:hAnsi="仿宋_GB2312" w:eastAsia="仿宋_GB2312"/>
          <w:b w:val="0"/>
          <w:sz w:val="32"/>
        </w:rPr>
        <w:t>六、《一般公共预算财政拨款基本支出决算表》</w:t>
      </w:r>
    </w:p>
    <w:p w14:paraId="51E5669A">
      <w:pPr>
        <w:spacing w:line="240" w:lineRule="auto"/>
        <w:ind w:firstLine="640"/>
        <w:jc w:val="both"/>
      </w:pPr>
      <w:r>
        <w:rPr>
          <w:rFonts w:ascii="仿宋_GB2312" w:hAnsi="仿宋_GB2312" w:eastAsia="仿宋_GB2312"/>
          <w:b w:val="0"/>
          <w:sz w:val="32"/>
        </w:rPr>
        <w:t>七、《政府性基金预算财政拨款收入支出决算表》</w:t>
      </w:r>
    </w:p>
    <w:p w14:paraId="0D01480A">
      <w:pPr>
        <w:spacing w:line="240" w:lineRule="auto"/>
        <w:ind w:firstLine="640"/>
        <w:jc w:val="both"/>
      </w:pPr>
      <w:r>
        <w:rPr>
          <w:rFonts w:ascii="仿宋_GB2312" w:hAnsi="仿宋_GB2312" w:eastAsia="仿宋_GB2312"/>
          <w:b w:val="0"/>
          <w:sz w:val="32"/>
        </w:rPr>
        <w:t>八、《国有资本经营预算财政拨款收入支出决算表》</w:t>
      </w:r>
    </w:p>
    <w:p w14:paraId="152A3981">
      <w:pPr>
        <w:spacing w:line="240" w:lineRule="auto"/>
        <w:ind w:firstLine="640"/>
        <w:jc w:val="both"/>
      </w:pPr>
      <w:r>
        <w:rPr>
          <w:rFonts w:ascii="仿宋_GB2312" w:hAnsi="仿宋_GB2312" w:eastAsia="仿宋_GB2312"/>
          <w:b w:val="0"/>
          <w:sz w:val="32"/>
        </w:rPr>
        <w:t>九、《财政拨款“三公”经费支出决算表》</w:t>
      </w:r>
    </w:p>
    <w:p w14:paraId="73FE0AF8">
      <w:pPr>
        <w:spacing w:line="240" w:lineRule="auto"/>
        <w:ind w:firstLine="640"/>
        <w:jc w:val="both"/>
      </w:pPr>
    </w:p>
    <w:p w14:paraId="60D00225">
      <w:pPr>
        <w:spacing w:line="240" w:lineRule="auto"/>
        <w:ind w:firstLine="640"/>
        <w:jc w:val="both"/>
      </w:pPr>
    </w:p>
    <w:p w14:paraId="7BDBB9E8">
      <w:pPr>
        <w:spacing w:line="240" w:lineRule="auto"/>
        <w:ind w:firstLine="640"/>
        <w:jc w:val="both"/>
      </w:pPr>
    </w:p>
    <w:p w14:paraId="38857AA1">
      <w:pPr>
        <w:spacing w:line="240" w:lineRule="auto"/>
        <w:ind w:firstLine="640"/>
        <w:jc w:val="both"/>
      </w:pPr>
    </w:p>
    <w:p w14:paraId="30AF7B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990D2E"/>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C516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4516</Words>
  <Characters>5145</Characters>
  <Lines>0</Lines>
  <Paragraphs>0</Paragraphs>
  <TotalTime>8</TotalTime>
  <ScaleCrop>false</ScaleCrop>
  <LinksUpToDate>false</LinksUpToDate>
  <CharactersWithSpaces>5175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