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7956D8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民丰县亚瓦通古孜乡人民卫生院</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3FE5ADA">
      <w:r>
        <w:br w:type="page"/>
      </w:r>
    </w:p>
    <w:p w14:paraId="1102E879">
      <w:pPr>
        <w:spacing w:line="640" w:lineRule="exact"/>
        <w:jc w:val="center"/>
        <w:outlineLvl w:val="1"/>
      </w:pPr>
      <w:r>
        <w:rPr>
          <w:rFonts w:ascii="黑体" w:hAnsi="黑体" w:eastAsia="黑体"/>
          <w:sz w:val="32"/>
        </w:rPr>
        <w:t>第一部分 单位概况</w:t>
      </w:r>
    </w:p>
    <w:p w14:paraId="3F30246B">
      <w:pPr>
        <w:spacing w:line="640" w:lineRule="exact"/>
        <w:ind w:firstLine="640"/>
        <w:jc w:val="both"/>
        <w:outlineLvl w:val="2"/>
      </w:pPr>
      <w:r>
        <w:rPr>
          <w:rFonts w:ascii="黑体" w:hAnsi="黑体" w:eastAsia="黑体"/>
          <w:sz w:val="32"/>
        </w:rPr>
        <w:t>一、主要职能</w:t>
      </w:r>
    </w:p>
    <w:p w14:paraId="446B575F">
      <w:pPr>
        <w:spacing w:line="580" w:lineRule="exact"/>
        <w:ind w:firstLine="640"/>
        <w:jc w:val="both"/>
      </w:pPr>
      <w:r>
        <w:rPr>
          <w:rFonts w:ascii="仿宋_GB2312" w:hAnsi="仿宋_GB2312" w:eastAsia="仿宋_GB2312"/>
          <w:sz w:val="32"/>
        </w:rPr>
        <w:t>1.宣传贯彻党和政府的各项医疗卫生方针政策，协助政府实施农村医改工作。</w:t>
      </w:r>
    </w:p>
    <w:p w14:paraId="1FA38DC6">
      <w:pPr>
        <w:spacing w:line="580" w:lineRule="exact"/>
        <w:ind w:firstLine="640"/>
        <w:jc w:val="both"/>
      </w:pPr>
      <w:r>
        <w:rPr>
          <w:rFonts w:ascii="仿宋_GB2312" w:hAnsi="仿宋_GB2312" w:eastAsia="仿宋_GB2312"/>
          <w:sz w:val="32"/>
        </w:rPr>
        <w:t>2.提供基本医疗服务，</w:t>
      </w:r>
      <w:bookmarkStart w:id="0" w:name="_GoBack"/>
      <w:bookmarkEnd w:id="0"/>
      <w:r>
        <w:rPr>
          <w:rFonts w:ascii="仿宋_GB2312" w:hAnsi="仿宋_GB2312" w:eastAsia="仿宋_GB2312"/>
          <w:sz w:val="32"/>
        </w:rPr>
        <w:t>开展农村常见病、多发病以及诊断明确的慢性非传染性疾病的诊疗、护理。</w:t>
      </w:r>
    </w:p>
    <w:p w14:paraId="04C39A91">
      <w:pPr>
        <w:spacing w:line="580" w:lineRule="exact"/>
        <w:ind w:firstLine="640"/>
        <w:jc w:val="both"/>
      </w:pPr>
      <w:r>
        <w:rPr>
          <w:rFonts w:ascii="仿宋_GB2312" w:hAnsi="仿宋_GB2312" w:eastAsia="仿宋_GB2312"/>
          <w:sz w:val="32"/>
        </w:rPr>
        <w:t>3.乡镇卫生院对聘用的人员；以岗位绩效和工作业绩为核心实行绩效工资，进行绩效考核，每季度一次，将医务人员工作业绩与个人收入挂钩。</w:t>
      </w:r>
    </w:p>
    <w:p w14:paraId="63EF8254">
      <w:pPr>
        <w:spacing w:line="580" w:lineRule="exact"/>
        <w:ind w:firstLine="640"/>
        <w:jc w:val="both"/>
      </w:pPr>
      <w:r>
        <w:rPr>
          <w:rFonts w:ascii="仿宋_GB2312" w:hAnsi="仿宋_GB2312" w:eastAsia="仿宋_GB2312"/>
          <w:sz w:val="32"/>
        </w:rPr>
        <w:t>4.贯彻落实国家基本药物制度，乡镇卫生院全部配备、使用基本药物；实行网上统一采购、统一配送的基本药物采购机制；实施基本药物零差率销售。</w:t>
      </w:r>
    </w:p>
    <w:p w14:paraId="5A6B9401">
      <w:pPr>
        <w:spacing w:line="580" w:lineRule="exact"/>
        <w:ind w:firstLine="640"/>
        <w:jc w:val="both"/>
      </w:pPr>
      <w:r>
        <w:rPr>
          <w:rFonts w:ascii="仿宋_GB2312" w:hAnsi="仿宋_GB2312" w:eastAsia="仿宋_GB2312"/>
          <w:sz w:val="32"/>
        </w:rPr>
        <w:t>5.协助开展突发公共卫生事件应急调查和处置工作，承担区域内公共卫生相关信息的收集和报告。</w:t>
      </w:r>
    </w:p>
    <w:p w14:paraId="1D03EBB7">
      <w:pPr>
        <w:spacing w:line="580" w:lineRule="exact"/>
        <w:ind w:firstLine="640"/>
        <w:jc w:val="both"/>
      </w:pPr>
      <w:r>
        <w:rPr>
          <w:rFonts w:ascii="仿宋_GB2312" w:hAnsi="仿宋_GB2312" w:eastAsia="仿宋_GB2312"/>
          <w:sz w:val="32"/>
        </w:rPr>
        <w:t>6.对所属行政村卫生室实行一体化管理，承担对村卫生室和乡村医生的业务管理和指导。</w:t>
      </w:r>
    </w:p>
    <w:p w14:paraId="40D3153B">
      <w:pPr>
        <w:spacing w:line="580" w:lineRule="exact"/>
        <w:ind w:firstLine="640"/>
        <w:jc w:val="both"/>
      </w:pPr>
      <w:r>
        <w:rPr>
          <w:rFonts w:ascii="仿宋_GB2312" w:hAnsi="仿宋_GB2312" w:eastAsia="仿宋_GB2312"/>
          <w:sz w:val="32"/>
        </w:rPr>
        <w:t>7.协助做好区域内食品卫生、饮用水卫生、公共场所卫生、职业卫生等公共卫生工作；协助做好爱国卫生工作。</w:t>
      </w:r>
    </w:p>
    <w:p w14:paraId="6B626C61">
      <w:pPr>
        <w:spacing w:line="580" w:lineRule="exact"/>
        <w:ind w:firstLine="640"/>
        <w:jc w:val="both"/>
      </w:pPr>
      <w:r>
        <w:rPr>
          <w:rFonts w:ascii="仿宋_GB2312" w:hAnsi="仿宋_GB2312" w:eastAsia="仿宋_GB2312"/>
          <w:sz w:val="32"/>
        </w:rPr>
        <w:t>8.协助做好新型农村合作医疗工作。</w:t>
      </w:r>
    </w:p>
    <w:p w14:paraId="7276207D">
      <w:pPr>
        <w:spacing w:line="580" w:lineRule="exact"/>
        <w:ind w:firstLine="640"/>
        <w:jc w:val="both"/>
      </w:pPr>
      <w:r>
        <w:rPr>
          <w:rFonts w:ascii="仿宋_GB2312" w:hAnsi="仿宋_GB2312" w:eastAsia="仿宋_GB2312"/>
          <w:sz w:val="32"/>
        </w:rPr>
        <w:t>9.乡镇中心卫生院除履行乡镇卫生院职责外，要协助做好对乡镇卫生院基本医疗服务的技术指导工作。</w:t>
      </w:r>
    </w:p>
    <w:p w14:paraId="124EE522">
      <w:pPr>
        <w:spacing w:line="580" w:lineRule="exact"/>
        <w:ind w:firstLine="640"/>
        <w:jc w:val="both"/>
      </w:pPr>
      <w:r>
        <w:rPr>
          <w:rFonts w:ascii="仿宋_GB2312" w:hAnsi="仿宋_GB2312" w:eastAsia="仿宋_GB2312"/>
          <w:sz w:val="32"/>
        </w:rPr>
        <w:t>10.负责本乡(镇)村卫生室和个体医疗机构的医疗。预防保健和卫生信息等工作技术培训和指导。</w:t>
      </w:r>
    </w:p>
    <w:p w14:paraId="3F98870E">
      <w:pPr>
        <w:spacing w:line="580" w:lineRule="exact"/>
        <w:ind w:firstLine="640"/>
        <w:jc w:val="both"/>
      </w:pPr>
      <w:r>
        <w:rPr>
          <w:rFonts w:ascii="仿宋_GB2312" w:hAnsi="仿宋_GB2312" w:eastAsia="仿宋_GB2312"/>
          <w:sz w:val="32"/>
        </w:rPr>
        <w:t>11.受卫生部门委托依法对本乡镇村卫生室、个体医疗机构进行卫生行政管理和监督。</w:t>
      </w:r>
    </w:p>
    <w:p w14:paraId="7488F53F">
      <w:pPr>
        <w:spacing w:line="580" w:lineRule="exact"/>
        <w:ind w:firstLine="640"/>
        <w:jc w:val="both"/>
      </w:pPr>
      <w:r>
        <w:rPr>
          <w:rFonts w:ascii="仿宋_GB2312" w:hAnsi="仿宋_GB2312" w:eastAsia="仿宋_GB2312"/>
          <w:sz w:val="32"/>
        </w:rPr>
        <w:t>12.提供公共卫生服务，包括建立居民健康档案、健康教育、预防接种、传染病</w:t>
      </w:r>
      <w:r>
        <w:rPr>
          <w:rFonts w:hint="eastAsia" w:ascii="仿宋_GB2312" w:hAnsi="仿宋_GB2312" w:eastAsia="仿宋_GB2312"/>
          <w:sz w:val="32"/>
          <w:lang w:eastAsia="zh-CN"/>
        </w:rPr>
        <w:t>防治</w:t>
      </w:r>
      <w:r>
        <w:rPr>
          <w:rFonts w:ascii="仿宋_GB2312" w:hAnsi="仿宋_GB2312" w:eastAsia="仿宋_GB2312"/>
          <w:sz w:val="32"/>
        </w:rPr>
        <w:t>、儿童保健、孕产妇保健、老年人保健等。</w:t>
      </w:r>
    </w:p>
    <w:p w14:paraId="052C13E6">
      <w:pPr>
        <w:spacing w:line="580" w:lineRule="exact"/>
        <w:ind w:firstLine="640"/>
        <w:jc w:val="both"/>
      </w:pPr>
      <w:r>
        <w:rPr>
          <w:rFonts w:ascii="仿宋_GB2312" w:hAnsi="仿宋_GB2312" w:eastAsia="仿宋_GB2312"/>
          <w:sz w:val="32"/>
        </w:rPr>
        <w:t>13.完成乡</w:t>
      </w:r>
      <w:r>
        <w:rPr>
          <w:rFonts w:hint="eastAsia" w:ascii="仿宋_GB2312" w:hAnsi="仿宋_GB2312" w:eastAsia="仿宋_GB2312"/>
          <w:sz w:val="32"/>
          <w:lang w:eastAsia="zh-CN"/>
        </w:rPr>
        <w:t>镇党委、镇政府</w:t>
      </w:r>
      <w:r>
        <w:rPr>
          <w:rFonts w:ascii="仿宋_GB2312" w:hAnsi="仿宋_GB2312" w:eastAsia="仿宋_GB2312"/>
          <w:sz w:val="32"/>
        </w:rPr>
        <w:t>和上级业务部门交办的其他工作。</w:t>
      </w:r>
    </w:p>
    <w:p w14:paraId="057D77E9">
      <w:pPr>
        <w:spacing w:line="640" w:lineRule="exact"/>
        <w:ind w:firstLine="640"/>
        <w:jc w:val="both"/>
        <w:outlineLvl w:val="2"/>
      </w:pPr>
      <w:r>
        <w:rPr>
          <w:rFonts w:ascii="黑体" w:hAnsi="黑体" w:eastAsia="黑体"/>
          <w:sz w:val="32"/>
        </w:rPr>
        <w:t>二、机构设置及人员情况</w:t>
      </w:r>
    </w:p>
    <w:p w14:paraId="3C9F930A">
      <w:pPr>
        <w:spacing w:line="580" w:lineRule="exact"/>
        <w:ind w:firstLine="640"/>
        <w:jc w:val="both"/>
      </w:pPr>
      <w:r>
        <w:rPr>
          <w:rFonts w:ascii="仿宋_GB2312" w:hAnsi="仿宋_GB2312" w:eastAsia="仿宋_GB2312"/>
          <w:sz w:val="32"/>
        </w:rPr>
        <w:t>民丰县亚瓦通古孜乡人民卫生院2024年度，实有人数9人，其中：在职人员8人，增加0人；离休人员0人，增加0人；退休人员1人,增加0人。</w:t>
      </w:r>
    </w:p>
    <w:p w14:paraId="7D656628">
      <w:pPr>
        <w:spacing w:line="580" w:lineRule="exact"/>
        <w:ind w:firstLine="640"/>
        <w:jc w:val="both"/>
      </w:pPr>
      <w:r>
        <w:rPr>
          <w:rFonts w:ascii="仿宋_GB2312" w:hAnsi="仿宋_GB2312" w:eastAsia="仿宋_GB2312"/>
          <w:sz w:val="32"/>
        </w:rPr>
        <w:t>民丰县亚瓦通古孜乡人民卫生院无下属预算单位，下设1个科室，分别是：亚瓦通古孜村卫生室。</w:t>
      </w:r>
    </w:p>
    <w:p w14:paraId="0004F02C">
      <w:r>
        <w:br w:type="page"/>
      </w:r>
    </w:p>
    <w:p w14:paraId="15328338">
      <w:pPr>
        <w:spacing w:line="240" w:lineRule="auto"/>
        <w:jc w:val="center"/>
        <w:outlineLvl w:val="1"/>
      </w:pPr>
      <w:r>
        <w:rPr>
          <w:rFonts w:ascii="黑体" w:hAnsi="黑体" w:eastAsia="黑体"/>
          <w:sz w:val="32"/>
        </w:rPr>
        <w:t>第二部分 部门决算情况说明</w:t>
      </w:r>
    </w:p>
    <w:p w14:paraId="1C6CBA8E">
      <w:pPr>
        <w:spacing w:line="640" w:lineRule="exact"/>
        <w:ind w:firstLine="640"/>
        <w:jc w:val="both"/>
        <w:outlineLvl w:val="2"/>
      </w:pPr>
      <w:r>
        <w:rPr>
          <w:rFonts w:ascii="黑体" w:hAnsi="黑体" w:eastAsia="黑体"/>
          <w:sz w:val="32"/>
        </w:rPr>
        <w:t>一、收入支出决算总体情况说明</w:t>
      </w:r>
    </w:p>
    <w:p w14:paraId="4C1B5058">
      <w:pPr>
        <w:spacing w:line="580" w:lineRule="exact"/>
        <w:ind w:firstLine="640"/>
        <w:jc w:val="both"/>
      </w:pPr>
      <w:r>
        <w:rPr>
          <w:rFonts w:ascii="仿宋_GB2312" w:hAnsi="仿宋_GB2312" w:eastAsia="仿宋_GB2312"/>
          <w:b/>
          <w:sz w:val="32"/>
        </w:rPr>
        <w:t>2024年度收入总计126.26万元，</w:t>
      </w:r>
      <w:r>
        <w:rPr>
          <w:rFonts w:ascii="仿宋_GB2312" w:hAnsi="仿宋_GB2312" w:eastAsia="仿宋_GB2312"/>
          <w:b w:val="0"/>
          <w:sz w:val="32"/>
        </w:rPr>
        <w:t>其中：本年收入合计126.26万元，使用非财政拨款结余（含专用结余）0.00万元，年初结转和结余0.00万元。</w:t>
      </w:r>
    </w:p>
    <w:p w14:paraId="79C5B3E2">
      <w:pPr>
        <w:spacing w:line="580" w:lineRule="exact"/>
        <w:ind w:firstLine="640"/>
        <w:jc w:val="both"/>
      </w:pPr>
      <w:r>
        <w:rPr>
          <w:rFonts w:ascii="仿宋_GB2312" w:hAnsi="仿宋_GB2312" w:eastAsia="仿宋_GB2312"/>
          <w:b/>
          <w:sz w:val="32"/>
        </w:rPr>
        <w:t>2024年度支出总计126.26万元，</w:t>
      </w:r>
      <w:r>
        <w:rPr>
          <w:rFonts w:ascii="仿宋_GB2312" w:hAnsi="仿宋_GB2312" w:eastAsia="仿宋_GB2312"/>
          <w:b w:val="0"/>
          <w:sz w:val="32"/>
        </w:rPr>
        <w:t>其中：本年支出合计126.26万元，结余分配0.00万元，年末结转和结余0.00万元。</w:t>
      </w:r>
    </w:p>
    <w:p w14:paraId="16A9BB0F">
      <w:pPr>
        <w:spacing w:line="580" w:lineRule="exact"/>
        <w:ind w:firstLine="640"/>
        <w:jc w:val="both"/>
      </w:pPr>
      <w:r>
        <w:rPr>
          <w:rFonts w:ascii="仿宋_GB2312" w:hAnsi="仿宋_GB2312" w:eastAsia="仿宋_GB2312"/>
          <w:b w:val="0"/>
          <w:sz w:val="32"/>
        </w:rPr>
        <w:t>收入支出总体与上年相比，增加4.84万元，增长3.99%，主要原因是：本年在职人员工资调增，社保、公积金基数调增，人员经费增加。</w:t>
      </w:r>
    </w:p>
    <w:p w14:paraId="436CE2F6">
      <w:pPr>
        <w:spacing w:line="640" w:lineRule="exact"/>
        <w:ind w:firstLine="640"/>
        <w:jc w:val="both"/>
        <w:outlineLvl w:val="2"/>
      </w:pPr>
      <w:r>
        <w:rPr>
          <w:rFonts w:ascii="黑体" w:hAnsi="黑体" w:eastAsia="黑体"/>
          <w:sz w:val="32"/>
        </w:rPr>
        <w:t>二、收入决算情况说明</w:t>
      </w:r>
    </w:p>
    <w:p w14:paraId="1EFA1F22">
      <w:pPr>
        <w:spacing w:line="580" w:lineRule="exact"/>
        <w:ind w:firstLine="640"/>
        <w:jc w:val="both"/>
      </w:pPr>
      <w:r>
        <w:rPr>
          <w:rFonts w:ascii="仿宋_GB2312" w:hAnsi="仿宋_GB2312" w:eastAsia="仿宋_GB2312"/>
          <w:b/>
          <w:sz w:val="32"/>
        </w:rPr>
        <w:t>本年收入126.26万元，</w:t>
      </w:r>
      <w:r>
        <w:rPr>
          <w:rFonts w:ascii="仿宋_GB2312" w:hAnsi="仿宋_GB2312" w:eastAsia="仿宋_GB2312"/>
          <w:b w:val="0"/>
          <w:sz w:val="32"/>
        </w:rPr>
        <w:t>其中：财政拨款收入126.25万元，占99.99%；上级补助收入0.00万元，占0.00%；事业收入0.00万元，占0.00%；经营收入0.00万元，占0.00%；附属单位上缴收入0.00万元，占0.00%；其他收入0.00万元，占0.00%。</w:t>
      </w:r>
    </w:p>
    <w:p w14:paraId="2ECA5FEA">
      <w:pPr>
        <w:spacing w:line="640" w:lineRule="exact"/>
        <w:ind w:firstLine="640"/>
        <w:jc w:val="both"/>
        <w:outlineLvl w:val="2"/>
      </w:pPr>
      <w:r>
        <w:rPr>
          <w:rFonts w:ascii="黑体" w:hAnsi="黑体" w:eastAsia="黑体"/>
          <w:sz w:val="32"/>
        </w:rPr>
        <w:t>三、支出决算情况说明</w:t>
      </w:r>
    </w:p>
    <w:p w14:paraId="5A56BAFC">
      <w:pPr>
        <w:spacing w:line="580" w:lineRule="exact"/>
        <w:ind w:firstLine="640"/>
        <w:jc w:val="both"/>
      </w:pPr>
      <w:r>
        <w:rPr>
          <w:rFonts w:ascii="仿宋_GB2312" w:hAnsi="仿宋_GB2312" w:eastAsia="仿宋_GB2312"/>
          <w:b/>
          <w:sz w:val="32"/>
        </w:rPr>
        <w:t>本年支出126.26万元，</w:t>
      </w:r>
      <w:r>
        <w:rPr>
          <w:rFonts w:ascii="仿宋_GB2312" w:hAnsi="仿宋_GB2312" w:eastAsia="仿宋_GB2312"/>
          <w:b w:val="0"/>
          <w:sz w:val="32"/>
        </w:rPr>
        <w:t>其中：基本支出126.26万元，占100.00%；项目支出0.00万元，占0.00%；上缴上级支出0.00万元，占0.00%；经营支出0.00万元，占0.00%；对附属单位补助支出0.00万元，占0.00%。</w:t>
      </w:r>
    </w:p>
    <w:p w14:paraId="4B49DF43">
      <w:pPr>
        <w:spacing w:line="640" w:lineRule="exact"/>
        <w:ind w:firstLine="640"/>
        <w:jc w:val="both"/>
        <w:outlineLvl w:val="2"/>
      </w:pPr>
      <w:r>
        <w:rPr>
          <w:rFonts w:ascii="黑体" w:hAnsi="黑体" w:eastAsia="黑体"/>
          <w:sz w:val="32"/>
        </w:rPr>
        <w:t>四、财政拨款收入支出决算总体情况说明</w:t>
      </w:r>
    </w:p>
    <w:p w14:paraId="63B05ABB">
      <w:pPr>
        <w:spacing w:line="580" w:lineRule="exact"/>
        <w:ind w:firstLine="640"/>
        <w:jc w:val="both"/>
      </w:pPr>
      <w:r>
        <w:rPr>
          <w:rFonts w:ascii="仿宋_GB2312" w:hAnsi="仿宋_GB2312" w:eastAsia="仿宋_GB2312"/>
          <w:b/>
          <w:sz w:val="32"/>
        </w:rPr>
        <w:t>2024年度财政拨款收入总计126.25万元，</w:t>
      </w:r>
      <w:r>
        <w:rPr>
          <w:rFonts w:ascii="仿宋_GB2312" w:hAnsi="仿宋_GB2312" w:eastAsia="仿宋_GB2312"/>
          <w:b w:val="0"/>
          <w:sz w:val="32"/>
        </w:rPr>
        <w:t>其中：年初财政拨款结转和结余0.00万元，本年财政拨款收入126.25万元。</w:t>
      </w:r>
      <w:r>
        <w:rPr>
          <w:rFonts w:ascii="仿宋_GB2312" w:hAnsi="仿宋_GB2312" w:eastAsia="仿宋_GB2312"/>
          <w:b/>
          <w:sz w:val="32"/>
        </w:rPr>
        <w:t>财政拨款支出总计126.25万元，</w:t>
      </w:r>
      <w:r>
        <w:rPr>
          <w:rFonts w:ascii="仿宋_GB2312" w:hAnsi="仿宋_GB2312" w:eastAsia="仿宋_GB2312"/>
          <w:b w:val="0"/>
          <w:sz w:val="32"/>
        </w:rPr>
        <w:t>其中：年末财政拨款结转和结余0.00万元，本年财政拨款支出126.25万元。</w:t>
      </w:r>
    </w:p>
    <w:p w14:paraId="1342B5E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增加4.83万元，增长3.98%，主要原因是：本年在职人员工资调增，社保、公积金基数调增，人员经费增加。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年初预算数142.75万元，决算数126.25万元，预决算差异率-11.56%，主要原因是：年中调减</w:t>
      </w:r>
      <w:r>
        <w:rPr>
          <w:rFonts w:hint="eastAsia" w:ascii="仿宋_GB2312" w:hAnsi="仿宋_GB2312" w:eastAsia="仿宋_GB2312"/>
          <w:b w:val="0"/>
          <w:sz w:val="32"/>
          <w:lang w:val="en-US" w:eastAsia="zh-CN"/>
        </w:rPr>
        <w:t>工资等相关人员经费，导致预决算存在差异。</w:t>
      </w:r>
    </w:p>
    <w:p w14:paraId="402792E3">
      <w:pPr>
        <w:spacing w:line="640" w:lineRule="exact"/>
        <w:ind w:firstLine="640"/>
        <w:jc w:val="both"/>
        <w:outlineLvl w:val="2"/>
      </w:pPr>
      <w:r>
        <w:rPr>
          <w:rFonts w:ascii="黑体" w:hAnsi="黑体" w:eastAsia="黑体"/>
          <w:sz w:val="32"/>
        </w:rPr>
        <w:t>五、一般公共预算财政拨款支出决算情况说明</w:t>
      </w:r>
    </w:p>
    <w:p w14:paraId="1247B0BF">
      <w:pPr>
        <w:spacing w:line="640" w:lineRule="exact"/>
        <w:ind w:firstLine="640"/>
        <w:jc w:val="both"/>
        <w:outlineLvl w:val="3"/>
      </w:pPr>
      <w:r>
        <w:rPr>
          <w:rFonts w:ascii="楷体_GB2312" w:hAnsi="楷体_GB2312" w:eastAsia="楷体_GB2312"/>
          <w:b/>
          <w:sz w:val="32"/>
        </w:rPr>
        <w:t>（一）一般公共预算财政拨款支出决算总体情况</w:t>
      </w:r>
    </w:p>
    <w:p w14:paraId="3EA3AB68">
      <w:pPr>
        <w:spacing w:line="580" w:lineRule="exact"/>
        <w:ind w:firstLine="640"/>
        <w:jc w:val="both"/>
        <w:rPr>
          <w:rFonts w:hint="default" w:eastAsia="仿宋_GB2312"/>
          <w:lang w:val="en-US" w:eastAsia="zh-CN"/>
        </w:rPr>
      </w:pPr>
      <w:r>
        <w:rPr>
          <w:rFonts w:ascii="仿宋_GB2312" w:hAnsi="仿宋_GB2312" w:eastAsia="仿宋_GB2312"/>
          <w:b/>
          <w:sz w:val="32"/>
        </w:rPr>
        <w:t>2024年度一般公共预算财政拨款支出126.25万元，</w:t>
      </w:r>
      <w:r>
        <w:rPr>
          <w:rFonts w:ascii="仿宋_GB2312" w:hAnsi="仿宋_GB2312" w:eastAsia="仿宋_GB2312"/>
          <w:b w:val="0"/>
          <w:sz w:val="32"/>
        </w:rPr>
        <w:t>占本年支出合计的99.99%。</w:t>
      </w:r>
      <w:r>
        <w:rPr>
          <w:rFonts w:ascii="仿宋_GB2312" w:hAnsi="仿宋_GB2312" w:eastAsia="仿宋_GB2312"/>
          <w:b/>
          <w:sz w:val="32"/>
        </w:rPr>
        <w:t>与上年相比，</w:t>
      </w:r>
      <w:r>
        <w:rPr>
          <w:rFonts w:ascii="仿宋_GB2312" w:hAnsi="仿宋_GB2312" w:eastAsia="仿宋_GB2312"/>
          <w:b w:val="0"/>
          <w:sz w:val="32"/>
        </w:rPr>
        <w:t>增加4.83万元，增长3.98%，主要原因是：本年在职人员工资调增，社保、公积金基数调增，人员经费增加。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年初预算数142.75万元，决算数126.25万元，预决算差异率-11.56%，主要原因是：年中调减</w:t>
      </w:r>
      <w:r>
        <w:rPr>
          <w:rFonts w:hint="eastAsia" w:ascii="仿宋_GB2312" w:hAnsi="仿宋_GB2312" w:eastAsia="仿宋_GB2312"/>
          <w:b w:val="0"/>
          <w:sz w:val="32"/>
          <w:lang w:val="en-US" w:eastAsia="zh-CN"/>
        </w:rPr>
        <w:t>工资等相关人员经费，导致预决算存在差异。</w:t>
      </w:r>
    </w:p>
    <w:p w14:paraId="67E9B093">
      <w:pPr>
        <w:spacing w:line="640" w:lineRule="exact"/>
        <w:ind w:firstLine="640"/>
        <w:jc w:val="both"/>
        <w:outlineLvl w:val="3"/>
      </w:pPr>
      <w:r>
        <w:rPr>
          <w:rFonts w:ascii="楷体_GB2312" w:hAnsi="楷体_GB2312" w:eastAsia="楷体_GB2312"/>
          <w:b/>
          <w:sz w:val="32"/>
        </w:rPr>
        <w:t>（二）一般公共预算财政拨款支出决算结构情况</w:t>
      </w:r>
    </w:p>
    <w:p w14:paraId="7927897D">
      <w:pPr>
        <w:spacing w:line="580" w:lineRule="exact"/>
        <w:ind w:firstLine="640"/>
        <w:jc w:val="both"/>
      </w:pPr>
      <w:r>
        <w:rPr>
          <w:rFonts w:ascii="仿宋_GB2312" w:hAnsi="仿宋_GB2312" w:eastAsia="仿宋_GB2312"/>
          <w:b w:val="0"/>
          <w:sz w:val="32"/>
        </w:rPr>
        <w:t>1.社会保障和就业支出(类)15.28万元,占12.10%。</w:t>
      </w:r>
    </w:p>
    <w:p w14:paraId="6CDC40D3">
      <w:pPr>
        <w:spacing w:line="580" w:lineRule="exact"/>
        <w:ind w:firstLine="640"/>
        <w:jc w:val="both"/>
      </w:pPr>
      <w:r>
        <w:rPr>
          <w:rFonts w:ascii="仿宋_GB2312" w:hAnsi="仿宋_GB2312" w:eastAsia="仿宋_GB2312"/>
          <w:b w:val="0"/>
          <w:sz w:val="32"/>
        </w:rPr>
        <w:t>2.卫生健康支出(类)101.19万元,占80.15%。</w:t>
      </w:r>
    </w:p>
    <w:p w14:paraId="0E21E0A7">
      <w:pPr>
        <w:spacing w:line="580" w:lineRule="exact"/>
        <w:ind w:firstLine="640"/>
        <w:jc w:val="both"/>
      </w:pPr>
      <w:r>
        <w:rPr>
          <w:rFonts w:ascii="仿宋_GB2312" w:hAnsi="仿宋_GB2312" w:eastAsia="仿宋_GB2312"/>
          <w:b w:val="0"/>
          <w:sz w:val="32"/>
        </w:rPr>
        <w:t>3.住房保障支出(类)9.78万元,占7.75%。</w:t>
      </w:r>
    </w:p>
    <w:p w14:paraId="6E20B17A">
      <w:pPr>
        <w:spacing w:line="640" w:lineRule="exact"/>
        <w:ind w:firstLine="640"/>
        <w:jc w:val="both"/>
        <w:outlineLvl w:val="3"/>
      </w:pPr>
      <w:r>
        <w:rPr>
          <w:rFonts w:ascii="楷体_GB2312" w:hAnsi="楷体_GB2312" w:eastAsia="楷体_GB2312"/>
          <w:b/>
          <w:sz w:val="32"/>
        </w:rPr>
        <w:t>（三）一般公共预算财政拨款支出决算具体情况</w:t>
      </w:r>
    </w:p>
    <w:p w14:paraId="25DB3AB1">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0.66万元，比上年决算增加0.66万元，增长100.00%,主要原因是：本年功能科目调整，事业单位离退休上年度在主科目列支，本年单独列支，导致经费较上年增加。</w:t>
      </w:r>
    </w:p>
    <w:p w14:paraId="237E789C">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12.99万元，比上年决算增加1.75万元，增长15.57%,主要原因是：本年在职人员工资基数调增，养老缴费基数上涨，相应支出增加。</w:t>
      </w:r>
    </w:p>
    <w:p w14:paraId="2830C88A">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3.社会保障和就业支出(类)行政事业单位养老支出(款)机关事业单位职业年金缴费支出(项):支出决算数为1.62万元，比上年决算增加1.62万元，增长100.00%,主要原因是：2024年10月份开始在职人员职业年金按月缴纳。</w:t>
      </w:r>
    </w:p>
    <w:p w14:paraId="71E76BE7">
      <w:pPr>
        <w:spacing w:line="580" w:lineRule="exact"/>
        <w:ind w:firstLine="640"/>
        <w:jc w:val="both"/>
      </w:pPr>
      <w:r>
        <w:rPr>
          <w:rFonts w:ascii="仿宋_GB2312" w:hAnsi="仿宋_GB2312" w:eastAsia="仿宋_GB2312"/>
          <w:b w:val="0"/>
          <w:sz w:val="32"/>
        </w:rPr>
        <w:t>4.卫生健康支出(类)基层医疗卫生机构(款)乡镇卫生院(项):支出决算数为95.18万元，比上年决算减少15.00万元，下降13.61%,主要原因是：科目调整，职工住房公积金，医疗保险等经费上年在主科目列支，本年单独列支。</w:t>
      </w:r>
    </w:p>
    <w:p w14:paraId="73387272">
      <w:pPr>
        <w:spacing w:line="580" w:lineRule="exact"/>
        <w:ind w:firstLine="640"/>
        <w:jc w:val="both"/>
      </w:pPr>
      <w:r>
        <w:rPr>
          <w:rFonts w:ascii="仿宋_GB2312" w:hAnsi="仿宋_GB2312" w:eastAsia="仿宋_GB2312"/>
          <w:b w:val="0"/>
          <w:sz w:val="32"/>
        </w:rPr>
        <w:t>5.卫生健康支出(类)行政事业单位医疗(款)事业单位医疗(项):支出决算数为5.28万元，比上年决算增加5.28万元，增长100.00%,主要原因是：本年功能科目调整，事业单位医疗上年度在主科目列支，本年单独列支，导致经费较上年增加。</w:t>
      </w:r>
    </w:p>
    <w:p w14:paraId="7E9071E7">
      <w:pPr>
        <w:spacing w:line="580" w:lineRule="exact"/>
        <w:ind w:firstLine="640"/>
        <w:jc w:val="both"/>
      </w:pPr>
      <w:r>
        <w:rPr>
          <w:rFonts w:ascii="仿宋_GB2312" w:hAnsi="仿宋_GB2312" w:eastAsia="仿宋_GB2312"/>
          <w:b w:val="0"/>
          <w:sz w:val="32"/>
        </w:rPr>
        <w:t>6.卫生健康支出(类)行政事业单位医疗(款)其他行政事业单位医疗支出(项):支出决算数为0.73万元，比上年决算增加0.73万元，增长100.00%,主要原因是：本年功能科目调整，职工大病，工伤，失业保险缴费上年度在主科目列支，本年单独列支，导致经费较上年增加。</w:t>
      </w:r>
    </w:p>
    <w:p w14:paraId="20D604A9">
      <w:pPr>
        <w:spacing w:line="580" w:lineRule="exact"/>
        <w:ind w:firstLine="640"/>
        <w:jc w:val="both"/>
      </w:pPr>
      <w:r>
        <w:rPr>
          <w:rFonts w:ascii="仿宋_GB2312" w:hAnsi="仿宋_GB2312" w:eastAsia="仿宋_GB2312"/>
          <w:b w:val="0"/>
          <w:sz w:val="32"/>
        </w:rPr>
        <w:t>7.住房保障支出(类)住房改革支出(款)住房公积金(项):支出决算数为9.78万元，比上年决算增加9.78万元，增长100.00%,主要原因是：本年功能科目调整，住房公积金上年度在主科目列支，本年单独列支，导致经费较上年增加。</w:t>
      </w:r>
    </w:p>
    <w:p w14:paraId="7D09E875">
      <w:pPr>
        <w:spacing w:line="640" w:lineRule="exact"/>
        <w:ind w:firstLine="640"/>
        <w:jc w:val="both"/>
        <w:outlineLvl w:val="2"/>
      </w:pPr>
      <w:r>
        <w:rPr>
          <w:rFonts w:ascii="黑体" w:hAnsi="黑体" w:eastAsia="黑体"/>
          <w:sz w:val="32"/>
        </w:rPr>
        <w:t>六、一般公共预算财政拨款基本支出决算情况说明</w:t>
      </w:r>
    </w:p>
    <w:p w14:paraId="507DCBB5">
      <w:pPr>
        <w:spacing w:line="580" w:lineRule="exact"/>
        <w:ind w:firstLine="640"/>
        <w:jc w:val="both"/>
      </w:pPr>
      <w:r>
        <w:rPr>
          <w:rFonts w:ascii="仿宋_GB2312" w:hAnsi="仿宋_GB2312" w:eastAsia="仿宋_GB2312"/>
          <w:b w:val="0"/>
          <w:sz w:val="32"/>
        </w:rPr>
        <w:t>2024年度一般公共预算财政拨款基本支出126.25万元，其中：</w:t>
      </w:r>
      <w:r>
        <w:rPr>
          <w:rFonts w:ascii="仿宋_GB2312" w:hAnsi="仿宋_GB2312" w:eastAsia="仿宋_GB2312"/>
          <w:b/>
          <w:sz w:val="32"/>
        </w:rPr>
        <w:t>人员经费126.25万元，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w:t>
      </w:r>
    </w:p>
    <w:p w14:paraId="23A3A047">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418F048B">
      <w:pPr>
        <w:spacing w:line="640" w:lineRule="exact"/>
        <w:ind w:firstLine="640"/>
        <w:jc w:val="both"/>
        <w:outlineLvl w:val="2"/>
      </w:pPr>
      <w:r>
        <w:rPr>
          <w:rFonts w:ascii="黑体" w:hAnsi="黑体" w:eastAsia="黑体"/>
          <w:sz w:val="32"/>
        </w:rPr>
        <w:t>七、政府性基金预算财政拨款收入支出决算情况说明</w:t>
      </w:r>
    </w:p>
    <w:p w14:paraId="1DB91968">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EC4F756">
      <w:pPr>
        <w:spacing w:line="640" w:lineRule="exact"/>
        <w:ind w:firstLine="640"/>
        <w:jc w:val="both"/>
        <w:outlineLvl w:val="2"/>
      </w:pPr>
      <w:r>
        <w:rPr>
          <w:rFonts w:ascii="黑体" w:hAnsi="黑体" w:eastAsia="黑体"/>
          <w:sz w:val="32"/>
        </w:rPr>
        <w:t>八、国有资本经营预算财政拨款收入支出决算情况说明</w:t>
      </w:r>
    </w:p>
    <w:p w14:paraId="6FF3E8B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E0ED86A">
      <w:pPr>
        <w:spacing w:line="640" w:lineRule="exact"/>
        <w:ind w:firstLine="640"/>
        <w:jc w:val="both"/>
        <w:outlineLvl w:val="2"/>
      </w:pPr>
      <w:r>
        <w:rPr>
          <w:rFonts w:ascii="黑体" w:hAnsi="黑体" w:eastAsia="黑体"/>
          <w:sz w:val="32"/>
        </w:rPr>
        <w:t>九、财政拨款“三公”经费支出决算情况说明</w:t>
      </w:r>
    </w:p>
    <w:p w14:paraId="3D39877A">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77AC5D8">
      <w:pPr>
        <w:spacing w:line="580" w:lineRule="exact"/>
        <w:ind w:firstLine="640"/>
        <w:jc w:val="both"/>
      </w:pPr>
      <w:r>
        <w:rPr>
          <w:rFonts w:ascii="仿宋_GB2312" w:hAnsi="仿宋_GB2312" w:eastAsia="仿宋_GB2312"/>
          <w:b/>
          <w:sz w:val="32"/>
        </w:rPr>
        <w:t>具体情况如下：</w:t>
      </w:r>
    </w:p>
    <w:p w14:paraId="157FD3F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C9475B8">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差异车辆为一般业务用车，预算未安排公务用车运行维护费。</w:t>
      </w:r>
    </w:p>
    <w:p w14:paraId="18CCD31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9FF568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2E4546A">
      <w:pPr>
        <w:spacing w:line="640" w:lineRule="exact"/>
        <w:ind w:firstLine="640"/>
        <w:jc w:val="both"/>
        <w:outlineLvl w:val="2"/>
      </w:pPr>
      <w:r>
        <w:rPr>
          <w:rFonts w:ascii="黑体" w:hAnsi="黑体" w:eastAsia="黑体"/>
          <w:sz w:val="32"/>
        </w:rPr>
        <w:t>十、其他重要事项的情况说明</w:t>
      </w:r>
    </w:p>
    <w:p w14:paraId="7CCF0062">
      <w:pPr>
        <w:spacing w:line="640" w:lineRule="exact"/>
        <w:ind w:firstLine="640"/>
        <w:jc w:val="both"/>
        <w:outlineLvl w:val="3"/>
      </w:pPr>
      <w:r>
        <w:rPr>
          <w:rFonts w:ascii="楷体_GB2312" w:hAnsi="楷体_GB2312" w:eastAsia="楷体_GB2312"/>
          <w:b/>
          <w:sz w:val="32"/>
        </w:rPr>
        <w:t>（一）机关运行经费及公用经费支出情况</w:t>
      </w:r>
    </w:p>
    <w:p w14:paraId="5E0614E8">
      <w:pPr>
        <w:spacing w:line="580" w:lineRule="exact"/>
        <w:ind w:firstLine="640"/>
        <w:jc w:val="both"/>
      </w:pPr>
      <w:r>
        <w:rPr>
          <w:rFonts w:ascii="仿宋_GB2312" w:hAnsi="仿宋_GB2312" w:eastAsia="仿宋_GB2312"/>
          <w:b w:val="0"/>
          <w:sz w:val="32"/>
        </w:rPr>
        <w:t>2024年度民丰县亚瓦通古孜乡人民卫生院（事业单位）公用经费支出0.00万元，比上年增加0.00万元，增长0.00%，主要原因是：2023年与2024年均未安排公用经费支出。</w:t>
      </w:r>
    </w:p>
    <w:p w14:paraId="5D5A9C8A">
      <w:pPr>
        <w:spacing w:line="640" w:lineRule="exact"/>
        <w:ind w:firstLine="640"/>
        <w:jc w:val="both"/>
        <w:outlineLvl w:val="3"/>
      </w:pPr>
      <w:r>
        <w:rPr>
          <w:rFonts w:ascii="楷体_GB2312" w:hAnsi="楷体_GB2312" w:eastAsia="楷体_GB2312"/>
          <w:b/>
          <w:sz w:val="32"/>
        </w:rPr>
        <w:t>（二）政府采购情况</w:t>
      </w:r>
    </w:p>
    <w:p w14:paraId="2B6F079B">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4CC953C9">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5EDCE828">
      <w:pPr>
        <w:spacing w:line="640" w:lineRule="exact"/>
        <w:ind w:firstLine="640"/>
        <w:jc w:val="both"/>
        <w:outlineLvl w:val="3"/>
      </w:pPr>
      <w:r>
        <w:rPr>
          <w:rFonts w:ascii="楷体_GB2312" w:hAnsi="楷体_GB2312" w:eastAsia="楷体_GB2312"/>
          <w:b/>
          <w:sz w:val="32"/>
        </w:rPr>
        <w:t>（三）国有资产占用情况说明</w:t>
      </w:r>
    </w:p>
    <w:p w14:paraId="7562280A">
      <w:pPr>
        <w:spacing w:line="580" w:lineRule="exact"/>
        <w:ind w:firstLine="640"/>
        <w:jc w:val="both"/>
      </w:pPr>
      <w:r>
        <w:rPr>
          <w:rFonts w:ascii="仿宋_GB2312" w:hAnsi="仿宋_GB2312" w:eastAsia="仿宋_GB2312"/>
          <w:b w:val="0"/>
          <w:sz w:val="32"/>
        </w:rPr>
        <w:t>截至2024年12月31日，房屋0.00平方米，价值0.00万元。车辆1辆，价值7.00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71DCF254">
      <w:pPr>
        <w:spacing w:line="640" w:lineRule="exact"/>
        <w:ind w:firstLine="640"/>
        <w:jc w:val="both"/>
        <w:outlineLvl w:val="2"/>
      </w:pPr>
      <w:r>
        <w:rPr>
          <w:rFonts w:ascii="黑体" w:hAnsi="黑体" w:eastAsia="黑体"/>
          <w:sz w:val="32"/>
        </w:rPr>
        <w:t>十一、预算绩效的情况说明</w:t>
      </w:r>
    </w:p>
    <w:p w14:paraId="0DD12AE8">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126.26万元，实际执行总额126.26万元；预算绩效评价项目0个，全年预算数0.00万元，全年执行数0.00万元。预算绩效管理取得的成效：2024年</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无预算绩效项目。发现的问题及原因：2024年</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无预算绩效项目。下一步改进措施：2024年</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无预算绩效项目。具体附整体支出绩效自评表。</w:t>
      </w:r>
    </w:p>
    <w:p w14:paraId="0A61F6B9">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3D86D35">
        <w:tblPrEx>
          <w:tblCellMar>
            <w:top w:w="0" w:type="dxa"/>
            <w:left w:w="108" w:type="dxa"/>
            <w:bottom w:w="0" w:type="dxa"/>
            <w:right w:w="108" w:type="dxa"/>
          </w:tblCellMar>
        </w:tblPrEx>
        <w:tc>
          <w:tcPr>
            <w:tcW w:w="8847" w:type="dxa"/>
            <w:gridSpan w:val="9"/>
            <w:vAlign w:val="center"/>
          </w:tcPr>
          <w:p w14:paraId="07E76275">
            <w:pPr>
              <w:jc w:val="center"/>
            </w:pPr>
            <w:r>
              <w:rPr>
                <w:rFonts w:ascii="宋体" w:hAnsi="宋体" w:eastAsia="宋体"/>
                <w:sz w:val="24"/>
              </w:rPr>
              <w:t>单位整体支出绩效自评表</w:t>
            </w:r>
          </w:p>
        </w:tc>
      </w:tr>
      <w:tr w14:paraId="4F29DAA4">
        <w:tblPrEx>
          <w:tblCellMar>
            <w:top w:w="0" w:type="dxa"/>
            <w:left w:w="108" w:type="dxa"/>
            <w:bottom w:w="0" w:type="dxa"/>
            <w:right w:w="108" w:type="dxa"/>
          </w:tblCellMar>
        </w:tblPrEx>
        <w:tc>
          <w:tcPr>
            <w:tcW w:w="8847" w:type="dxa"/>
            <w:gridSpan w:val="9"/>
            <w:vAlign w:val="center"/>
          </w:tcPr>
          <w:p w14:paraId="5742CEB1">
            <w:pPr>
              <w:jc w:val="center"/>
            </w:pPr>
            <w:r>
              <w:rPr>
                <w:rFonts w:ascii="宋体" w:hAnsi="宋体" w:eastAsia="宋体"/>
                <w:sz w:val="24"/>
              </w:rPr>
              <w:t>（2024年度）</w:t>
            </w:r>
          </w:p>
        </w:tc>
      </w:tr>
      <w:tr w14:paraId="0848CB0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01D55A">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36103B9">
            <w:pPr>
              <w:jc w:val="center"/>
            </w:pPr>
            <w:r>
              <w:rPr>
                <w:rFonts w:ascii="宋体" w:hAnsi="宋体" w:eastAsia="宋体"/>
                <w:sz w:val="16"/>
              </w:rPr>
              <w:t>民丰县亚瓦通古孜乡人民卫生院</w:t>
            </w:r>
          </w:p>
        </w:tc>
      </w:tr>
      <w:tr w14:paraId="7E2D8CA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CB1F0A">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06AF0">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6D7C5C">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97BF5B">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0D78B">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45C48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045AFB">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368EF2">
            <w:pPr>
              <w:jc w:val="center"/>
            </w:pPr>
            <w:r>
              <w:rPr>
                <w:rFonts w:ascii="宋体" w:hAnsi="宋体" w:eastAsia="宋体"/>
                <w:sz w:val="16"/>
              </w:rPr>
              <w:t>得分</w:t>
            </w:r>
          </w:p>
        </w:tc>
      </w:tr>
      <w:tr w14:paraId="42580EC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5B43B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D79E62">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7B1B21">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4CE01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B6459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FFCEA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B564C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58636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14811F">
            <w:pPr>
              <w:jc w:val="center"/>
            </w:pPr>
            <w:r>
              <w:rPr>
                <w:rFonts w:ascii="宋体" w:hAnsi="宋体" w:eastAsia="宋体"/>
                <w:sz w:val="16"/>
              </w:rPr>
              <w:t>-</w:t>
            </w:r>
          </w:p>
        </w:tc>
      </w:tr>
      <w:tr w14:paraId="309F70C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28D47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07A02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A2247D">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E0896">
            <w:pPr>
              <w:jc w:val="center"/>
            </w:pPr>
            <w:r>
              <w:rPr>
                <w:rFonts w:ascii="宋体" w:hAnsi="宋体" w:eastAsia="宋体"/>
                <w:sz w:val="16"/>
              </w:rPr>
              <w:t>142.75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9D59C">
            <w:pPr>
              <w:jc w:val="center"/>
            </w:pPr>
            <w:r>
              <w:rPr>
                <w:rFonts w:ascii="宋体" w:hAnsi="宋体" w:eastAsia="宋体"/>
                <w:sz w:val="16"/>
              </w:rPr>
              <w:t>126.26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3E361F">
            <w:pPr>
              <w:jc w:val="center"/>
            </w:pPr>
            <w:r>
              <w:rPr>
                <w:rFonts w:ascii="宋体" w:hAnsi="宋体" w:eastAsia="宋体"/>
                <w:sz w:val="16"/>
              </w:rPr>
              <w:t>126.26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EFB13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9D7F8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EF0771">
            <w:pPr>
              <w:jc w:val="center"/>
            </w:pPr>
            <w:r>
              <w:rPr>
                <w:rFonts w:ascii="宋体" w:hAnsi="宋体" w:eastAsia="宋体"/>
                <w:sz w:val="16"/>
              </w:rPr>
              <w:t>-</w:t>
            </w:r>
          </w:p>
        </w:tc>
      </w:tr>
      <w:tr w14:paraId="7E0E6DB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C0C37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29148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3BB3E0">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98E9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8EC0D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10C5E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FB8EF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1178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1DCEF5">
            <w:pPr>
              <w:jc w:val="center"/>
            </w:pPr>
            <w:r>
              <w:rPr>
                <w:rFonts w:ascii="宋体" w:hAnsi="宋体" w:eastAsia="宋体"/>
                <w:sz w:val="16"/>
              </w:rPr>
              <w:t>-</w:t>
            </w:r>
          </w:p>
        </w:tc>
      </w:tr>
      <w:tr w14:paraId="300ADAE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ED29B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AE803A">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72909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A08AD">
            <w:pPr>
              <w:jc w:val="center"/>
            </w:pPr>
            <w:r>
              <w:rPr>
                <w:rFonts w:ascii="宋体" w:hAnsi="宋体" w:eastAsia="宋体"/>
                <w:sz w:val="16"/>
              </w:rPr>
              <w:t>142.75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10CCFA">
            <w:pPr>
              <w:jc w:val="center"/>
            </w:pPr>
            <w:r>
              <w:rPr>
                <w:rFonts w:ascii="宋体" w:hAnsi="宋体" w:eastAsia="宋体"/>
                <w:sz w:val="16"/>
              </w:rPr>
              <w:t>126.26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2FE654">
            <w:pPr>
              <w:jc w:val="center"/>
            </w:pPr>
            <w:r>
              <w:rPr>
                <w:rFonts w:ascii="宋体" w:hAnsi="宋体" w:eastAsia="宋体"/>
                <w:sz w:val="16"/>
              </w:rPr>
              <w:t>126.26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1D58E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0061A1">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D8A0C3">
            <w:pPr>
              <w:jc w:val="center"/>
            </w:pPr>
            <w:r>
              <w:rPr>
                <w:rFonts w:ascii="宋体" w:hAnsi="宋体" w:eastAsia="宋体"/>
                <w:sz w:val="16"/>
              </w:rPr>
              <w:t>10</w:t>
            </w:r>
          </w:p>
        </w:tc>
      </w:tr>
      <w:tr w14:paraId="5C93BB7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9017AD">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8EF69DF">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6E9C78F">
            <w:pPr>
              <w:jc w:val="center"/>
            </w:pPr>
            <w:r>
              <w:rPr>
                <w:rFonts w:ascii="宋体" w:hAnsi="宋体" w:eastAsia="宋体"/>
                <w:sz w:val="16"/>
              </w:rPr>
              <w:t>实际完成情况</w:t>
            </w:r>
          </w:p>
        </w:tc>
      </w:tr>
      <w:tr w14:paraId="346B9AD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EA1EA1"/>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1C3B3F0">
            <w:pPr>
              <w:jc w:val="both"/>
            </w:pPr>
            <w:r>
              <w:rPr>
                <w:rFonts w:ascii="宋体" w:hAnsi="宋体" w:eastAsia="宋体"/>
                <w:sz w:val="16"/>
              </w:rPr>
              <w:t>目标1：免费向城乡居民提供基本公共卫生服务，本单位在职人员8名，居民健康档案管理率100%，适龄儿童相关疫苗接种率&gt;=95%。</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目标2：贯彻执行传染病预防诊治和管理工作,</w:t>
            </w:r>
            <w:r>
              <w:rPr>
                <w:rFonts w:hint="eastAsia" w:ascii="宋体" w:hAnsi="宋体"/>
                <w:sz w:val="16"/>
                <w:lang w:eastAsia="zh-CN"/>
              </w:rPr>
              <w:t>开展健康教育</w:t>
            </w:r>
            <w:r>
              <w:rPr>
                <w:rFonts w:ascii="宋体" w:hAnsi="宋体" w:eastAsia="宋体"/>
                <w:sz w:val="16"/>
              </w:rPr>
              <w:t>活动进行防病指导，逐步提高基层医疗服务水平，保障社区居民的健康水平；营造良好社会</w:t>
            </w:r>
            <w:r>
              <w:rPr>
                <w:rFonts w:hint="eastAsia" w:ascii="宋体" w:hAnsi="宋体"/>
                <w:sz w:val="16"/>
                <w:lang w:eastAsia="zh-CN"/>
              </w:rPr>
              <w:t>氛围</w:t>
            </w:r>
            <w:r>
              <w:rPr>
                <w:rFonts w:ascii="宋体" w:hAnsi="宋体" w:eastAsia="宋体"/>
                <w:sz w:val="16"/>
              </w:rPr>
              <w:t>,逐步提高居民健康保健意识。</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B0C2676">
            <w:pPr>
              <w:jc w:val="both"/>
            </w:pPr>
            <w:r>
              <w:rPr>
                <w:rFonts w:ascii="宋体" w:hAnsi="宋体" w:eastAsia="宋体"/>
                <w:sz w:val="16"/>
              </w:rPr>
              <w:t>已完成保障在</w:t>
            </w:r>
            <w:r>
              <w:rPr>
                <w:rFonts w:hint="eastAsia" w:ascii="宋体" w:hAnsi="宋体"/>
                <w:sz w:val="16"/>
                <w:lang w:eastAsia="zh-CN"/>
              </w:rPr>
              <w:t>职</w:t>
            </w:r>
            <w:r>
              <w:rPr>
                <w:rFonts w:ascii="宋体" w:hAnsi="宋体" w:eastAsia="宋体"/>
                <w:sz w:val="16"/>
              </w:rPr>
              <w:t>干部人数8人，居民健康档案管理率达到100%，适龄儿童相关疫苗接种率达到100%，高血压，糖尿病患者规范管理率达到100%，贯彻执行传染病预防诊治和管理工作,</w:t>
            </w:r>
            <w:r>
              <w:rPr>
                <w:rFonts w:hint="eastAsia" w:ascii="宋体" w:hAnsi="宋体"/>
                <w:sz w:val="16"/>
                <w:lang w:eastAsia="zh-CN"/>
              </w:rPr>
              <w:t>开展健康教育</w:t>
            </w:r>
            <w:r>
              <w:rPr>
                <w:rFonts w:ascii="宋体" w:hAnsi="宋体" w:eastAsia="宋体"/>
                <w:sz w:val="16"/>
              </w:rPr>
              <w:t>活动进行防病指导，逐步提高基层医疗服务水平，保障社区居民的健康水平；营造良好社会</w:t>
            </w:r>
            <w:r>
              <w:rPr>
                <w:rFonts w:hint="eastAsia" w:ascii="宋体" w:hAnsi="宋体"/>
                <w:sz w:val="16"/>
                <w:lang w:eastAsia="zh-CN"/>
              </w:rPr>
              <w:t>氛围</w:t>
            </w:r>
            <w:r>
              <w:rPr>
                <w:rFonts w:ascii="宋体" w:hAnsi="宋体" w:eastAsia="宋体"/>
                <w:sz w:val="16"/>
              </w:rPr>
              <w:t>,逐步提高居民健康保健意识。</w:t>
            </w:r>
          </w:p>
        </w:tc>
      </w:tr>
      <w:tr w14:paraId="5F5DB2D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14887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AC70F">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7C03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404C3F">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A6765F">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7D748E">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399301">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2587A7">
            <w:pPr>
              <w:jc w:val="center"/>
            </w:pPr>
            <w:r>
              <w:rPr>
                <w:rFonts w:ascii="宋体" w:hAnsi="宋体" w:eastAsia="宋体"/>
                <w:sz w:val="16"/>
              </w:rPr>
              <w:t>得分</w:t>
            </w:r>
          </w:p>
        </w:tc>
      </w:tr>
      <w:tr w14:paraId="6A053C2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B6C37B">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34C369">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B1C79">
            <w:pPr>
              <w:jc w:val="center"/>
            </w:pPr>
            <w:r>
              <w:rPr>
                <w:rFonts w:ascii="宋体" w:hAnsi="宋体" w:eastAsia="宋体"/>
                <w:sz w:val="16"/>
              </w:rPr>
              <w:t>保障在职工干部人数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55E975">
            <w:pPr>
              <w:jc w:val="center"/>
            </w:pPr>
            <w:r>
              <w:rPr>
                <w:rFonts w:ascii="宋体" w:hAnsi="宋体" w:eastAsia="宋体"/>
                <w:sz w:val="16"/>
              </w:rPr>
              <w:t>&gt;=8名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5016FD">
            <w:pPr>
              <w:jc w:val="center"/>
            </w:pPr>
            <w:r>
              <w:rPr>
                <w:rFonts w:ascii="宋体" w:hAnsi="宋体" w:eastAsia="宋体"/>
                <w:sz w:val="16"/>
              </w:rPr>
              <w:t>工作任务清单</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AC1612">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254F1">
            <w:pPr>
              <w:jc w:val="center"/>
            </w:pPr>
            <w:r>
              <w:rPr>
                <w:rFonts w:ascii="宋体" w:hAnsi="宋体" w:eastAsia="宋体"/>
                <w:sz w:val="16"/>
              </w:rPr>
              <w:t>=8名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ECA323">
            <w:pPr>
              <w:jc w:val="center"/>
            </w:pPr>
            <w:r>
              <w:rPr>
                <w:rFonts w:ascii="宋体" w:hAnsi="宋体" w:eastAsia="宋体"/>
                <w:sz w:val="16"/>
              </w:rPr>
              <w:t>30</w:t>
            </w:r>
          </w:p>
        </w:tc>
      </w:tr>
      <w:tr w14:paraId="4C71AE3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8AD28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D7FD3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ED661">
            <w:pPr>
              <w:jc w:val="center"/>
            </w:pPr>
            <w:r>
              <w:rPr>
                <w:rFonts w:ascii="宋体" w:hAnsi="宋体" w:eastAsia="宋体"/>
                <w:sz w:val="16"/>
              </w:rPr>
              <w:t>居民健康档案管理率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C873D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A4CD92">
            <w:pPr>
              <w:jc w:val="center"/>
            </w:pPr>
            <w:r>
              <w:rPr>
                <w:rFonts w:ascii="宋体" w:hAnsi="宋体" w:eastAsia="宋体"/>
                <w:sz w:val="16"/>
              </w:rPr>
              <w:t>工作任务清单</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7C480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EF87E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CFF148">
            <w:pPr>
              <w:jc w:val="center"/>
            </w:pPr>
            <w:r>
              <w:rPr>
                <w:rFonts w:ascii="宋体" w:hAnsi="宋体" w:eastAsia="宋体"/>
                <w:sz w:val="16"/>
              </w:rPr>
              <w:t>20</w:t>
            </w:r>
          </w:p>
        </w:tc>
      </w:tr>
      <w:tr w14:paraId="643A901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56D66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A72CF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C6F8D">
            <w:pPr>
              <w:jc w:val="center"/>
            </w:pPr>
            <w:r>
              <w:rPr>
                <w:rFonts w:ascii="宋体" w:hAnsi="宋体" w:eastAsia="宋体"/>
                <w:sz w:val="16"/>
              </w:rPr>
              <w:t>适龄儿童相关疫苗接种率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9A51FC">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53A881">
            <w:pPr>
              <w:jc w:val="center"/>
            </w:pPr>
            <w:r>
              <w:rPr>
                <w:rFonts w:ascii="宋体" w:hAnsi="宋体" w:eastAsia="宋体"/>
                <w:sz w:val="16"/>
              </w:rPr>
              <w:t>工作任务清单</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A3EB8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72825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71963D">
            <w:pPr>
              <w:jc w:val="center"/>
            </w:pPr>
            <w:r>
              <w:rPr>
                <w:rFonts w:ascii="宋体" w:hAnsi="宋体" w:eastAsia="宋体"/>
                <w:sz w:val="16"/>
              </w:rPr>
              <w:t>20</w:t>
            </w:r>
          </w:p>
        </w:tc>
      </w:tr>
      <w:tr w14:paraId="5FF2FE7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3C4CC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734D6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64410">
            <w:pPr>
              <w:jc w:val="center"/>
            </w:pPr>
            <w:r>
              <w:rPr>
                <w:rFonts w:ascii="宋体" w:hAnsi="宋体" w:eastAsia="宋体"/>
                <w:sz w:val="16"/>
              </w:rPr>
              <w:t>高血压，糖尿病患者规范管理率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BE194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FBF23D">
            <w:pPr>
              <w:jc w:val="center"/>
            </w:pPr>
            <w:r>
              <w:rPr>
                <w:rFonts w:ascii="宋体" w:hAnsi="宋体" w:eastAsia="宋体"/>
                <w:sz w:val="16"/>
              </w:rPr>
              <w:t>工作任务清单</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48637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F4E8B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29ECDB">
            <w:pPr>
              <w:jc w:val="center"/>
            </w:pPr>
            <w:r>
              <w:rPr>
                <w:rFonts w:ascii="宋体" w:hAnsi="宋体" w:eastAsia="宋体"/>
                <w:sz w:val="16"/>
              </w:rPr>
              <w:t>20</w:t>
            </w:r>
          </w:p>
        </w:tc>
      </w:tr>
    </w:tbl>
    <w:p w14:paraId="1329F19C">
      <w:r>
        <w:br w:type="page"/>
      </w:r>
    </w:p>
    <w:p w14:paraId="4821AB40">
      <w:pPr>
        <w:spacing w:line="640" w:lineRule="exact"/>
        <w:ind w:firstLine="640"/>
        <w:jc w:val="both"/>
        <w:outlineLvl w:val="2"/>
      </w:pPr>
      <w:r>
        <w:rPr>
          <w:rFonts w:ascii="黑体" w:hAnsi="黑体" w:eastAsia="黑体"/>
          <w:sz w:val="32"/>
        </w:rPr>
        <w:t>十二、其他需说明的事项</w:t>
      </w:r>
    </w:p>
    <w:p w14:paraId="643CC96E">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4E017412">
      <w:r>
        <w:br w:type="page"/>
      </w:r>
    </w:p>
    <w:p w14:paraId="49D744A2">
      <w:pPr>
        <w:spacing w:line="240" w:lineRule="auto"/>
        <w:jc w:val="center"/>
        <w:outlineLvl w:val="1"/>
      </w:pPr>
      <w:r>
        <w:rPr>
          <w:rFonts w:ascii="黑体" w:hAnsi="黑体" w:eastAsia="黑体"/>
          <w:sz w:val="32"/>
        </w:rPr>
        <w:t>第三部分 专业名词解释</w:t>
      </w:r>
    </w:p>
    <w:p w14:paraId="129516B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D451DF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9A65C3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182693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892664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29A720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E48CF2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F95A9E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B8C2F4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A81A53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69B1AB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2A249A9">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E2E04F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5736DD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787D754">
      <w:r>
        <w:br w:type="page"/>
      </w:r>
    </w:p>
    <w:p w14:paraId="75032DB9">
      <w:pPr>
        <w:spacing w:line="240" w:lineRule="auto"/>
        <w:jc w:val="center"/>
        <w:outlineLvl w:val="1"/>
      </w:pPr>
      <w:r>
        <w:rPr>
          <w:rFonts w:ascii="黑体" w:hAnsi="黑体" w:eastAsia="黑体"/>
          <w:sz w:val="32"/>
        </w:rPr>
        <w:t>第四部分 部门决算报表（见附表）</w:t>
      </w:r>
    </w:p>
    <w:p w14:paraId="59FF9FE4">
      <w:pPr>
        <w:spacing w:line="240" w:lineRule="auto"/>
        <w:ind w:firstLine="640"/>
        <w:jc w:val="both"/>
      </w:pPr>
      <w:r>
        <w:rPr>
          <w:rFonts w:ascii="仿宋_GB2312" w:hAnsi="仿宋_GB2312" w:eastAsia="仿宋_GB2312"/>
          <w:b w:val="0"/>
          <w:sz w:val="32"/>
        </w:rPr>
        <w:t>一、《收入支出决算总表》</w:t>
      </w:r>
    </w:p>
    <w:p w14:paraId="54CF647C">
      <w:pPr>
        <w:spacing w:line="240" w:lineRule="auto"/>
        <w:ind w:firstLine="640"/>
        <w:jc w:val="both"/>
      </w:pPr>
      <w:r>
        <w:rPr>
          <w:rFonts w:ascii="仿宋_GB2312" w:hAnsi="仿宋_GB2312" w:eastAsia="仿宋_GB2312"/>
          <w:b w:val="0"/>
          <w:sz w:val="32"/>
        </w:rPr>
        <w:t>二、《收入决算表》</w:t>
      </w:r>
    </w:p>
    <w:p w14:paraId="24B05DB2">
      <w:pPr>
        <w:spacing w:line="240" w:lineRule="auto"/>
        <w:ind w:firstLine="640"/>
        <w:jc w:val="both"/>
      </w:pPr>
      <w:r>
        <w:rPr>
          <w:rFonts w:ascii="仿宋_GB2312" w:hAnsi="仿宋_GB2312" w:eastAsia="仿宋_GB2312"/>
          <w:b w:val="0"/>
          <w:sz w:val="32"/>
        </w:rPr>
        <w:t>三、《支出决算表》</w:t>
      </w:r>
    </w:p>
    <w:p w14:paraId="46C86DE6">
      <w:pPr>
        <w:spacing w:line="240" w:lineRule="auto"/>
        <w:ind w:firstLine="640"/>
        <w:jc w:val="both"/>
      </w:pPr>
      <w:r>
        <w:rPr>
          <w:rFonts w:ascii="仿宋_GB2312" w:hAnsi="仿宋_GB2312" w:eastAsia="仿宋_GB2312"/>
          <w:b w:val="0"/>
          <w:sz w:val="32"/>
        </w:rPr>
        <w:t>四、《财政拨款收入支出决算总表》</w:t>
      </w:r>
    </w:p>
    <w:p w14:paraId="759E659D">
      <w:pPr>
        <w:spacing w:line="240" w:lineRule="auto"/>
        <w:ind w:firstLine="640"/>
        <w:jc w:val="both"/>
      </w:pPr>
      <w:r>
        <w:rPr>
          <w:rFonts w:ascii="仿宋_GB2312" w:hAnsi="仿宋_GB2312" w:eastAsia="仿宋_GB2312"/>
          <w:b w:val="0"/>
          <w:sz w:val="32"/>
        </w:rPr>
        <w:t>五、《一般公共预算财政拨款支出决算表》</w:t>
      </w:r>
    </w:p>
    <w:p w14:paraId="25264193">
      <w:pPr>
        <w:spacing w:line="240" w:lineRule="auto"/>
        <w:ind w:firstLine="640"/>
        <w:jc w:val="both"/>
      </w:pPr>
      <w:r>
        <w:rPr>
          <w:rFonts w:ascii="仿宋_GB2312" w:hAnsi="仿宋_GB2312" w:eastAsia="仿宋_GB2312"/>
          <w:b w:val="0"/>
          <w:sz w:val="32"/>
        </w:rPr>
        <w:t>六、《一般公共预算财政拨款基本支出决算表》</w:t>
      </w:r>
    </w:p>
    <w:p w14:paraId="5679C1DD">
      <w:pPr>
        <w:spacing w:line="240" w:lineRule="auto"/>
        <w:ind w:firstLine="640"/>
        <w:jc w:val="both"/>
      </w:pPr>
      <w:r>
        <w:rPr>
          <w:rFonts w:ascii="仿宋_GB2312" w:hAnsi="仿宋_GB2312" w:eastAsia="仿宋_GB2312"/>
          <w:b w:val="0"/>
          <w:sz w:val="32"/>
        </w:rPr>
        <w:t>七、《政府性基金预算财政拨款收入支出决算表》</w:t>
      </w:r>
    </w:p>
    <w:p w14:paraId="02808017">
      <w:pPr>
        <w:spacing w:line="240" w:lineRule="auto"/>
        <w:ind w:firstLine="640"/>
        <w:jc w:val="both"/>
      </w:pPr>
      <w:r>
        <w:rPr>
          <w:rFonts w:ascii="仿宋_GB2312" w:hAnsi="仿宋_GB2312" w:eastAsia="仿宋_GB2312"/>
          <w:b w:val="0"/>
          <w:sz w:val="32"/>
        </w:rPr>
        <w:t>八、《国有资本经营预算财政拨款收入支出决算表》</w:t>
      </w:r>
    </w:p>
    <w:p w14:paraId="6EAD499A">
      <w:pPr>
        <w:spacing w:line="240" w:lineRule="auto"/>
        <w:ind w:firstLine="640"/>
        <w:jc w:val="both"/>
      </w:pPr>
      <w:r>
        <w:rPr>
          <w:rFonts w:ascii="仿宋_GB2312" w:hAnsi="仿宋_GB2312" w:eastAsia="仿宋_GB2312"/>
          <w:b w:val="0"/>
          <w:sz w:val="32"/>
        </w:rPr>
        <w:t>九、《财政拨款“三公”经费支出决算表》</w:t>
      </w:r>
    </w:p>
    <w:p w14:paraId="251BC5D6">
      <w:pPr>
        <w:spacing w:line="240" w:lineRule="auto"/>
        <w:ind w:firstLine="640"/>
        <w:jc w:val="both"/>
      </w:pPr>
    </w:p>
    <w:p w14:paraId="0FFE6A43">
      <w:pPr>
        <w:spacing w:line="240" w:lineRule="auto"/>
        <w:ind w:firstLine="640"/>
        <w:jc w:val="both"/>
      </w:pPr>
    </w:p>
    <w:p w14:paraId="05906D81">
      <w:pPr>
        <w:spacing w:line="240" w:lineRule="auto"/>
        <w:ind w:firstLine="640"/>
        <w:jc w:val="both"/>
      </w:pPr>
    </w:p>
    <w:p w14:paraId="1F2100AC">
      <w:pPr>
        <w:spacing w:line="240" w:lineRule="auto"/>
        <w:ind w:firstLine="640"/>
        <w:jc w:val="both"/>
      </w:pPr>
    </w:p>
    <w:p w14:paraId="2D2E066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07C2A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E6D49F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6050</Words>
  <Characters>6810</Characters>
  <Lines>0</Lines>
  <Paragraphs>0</Paragraphs>
  <TotalTime>5</TotalTime>
  <ScaleCrop>false</ScaleCrop>
  <LinksUpToDate>false</LinksUpToDate>
  <CharactersWithSpaces>6820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2025-09-25T04:47:32Z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