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民丰县乡村振兴局2024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B7F170E">
      <w:r>
        <w:br w:type="page"/>
      </w:r>
    </w:p>
    <w:p w14:paraId="60AE1636">
      <w:pPr>
        <w:spacing w:line="640" w:lineRule="exact"/>
        <w:jc w:val="center"/>
        <w:outlineLvl w:val="1"/>
      </w:pPr>
      <w:r>
        <w:rPr>
          <w:rFonts w:ascii="黑体" w:hAnsi="黑体" w:eastAsia="黑体"/>
          <w:sz w:val="32"/>
        </w:rPr>
        <w:t>第一部分 单位概况</w:t>
      </w:r>
    </w:p>
    <w:p w14:paraId="657DDDDF">
      <w:pPr>
        <w:spacing w:line="640" w:lineRule="exact"/>
        <w:ind w:firstLine="640"/>
        <w:jc w:val="both"/>
        <w:outlineLvl w:val="2"/>
      </w:pPr>
      <w:r>
        <w:rPr>
          <w:rFonts w:ascii="黑体" w:hAnsi="黑体" w:eastAsia="黑体"/>
          <w:sz w:val="32"/>
        </w:rPr>
        <w:t>一、主要职能</w:t>
      </w:r>
    </w:p>
    <w:p w14:paraId="6417F6A6">
      <w:pPr>
        <w:spacing w:line="580" w:lineRule="exact"/>
        <w:ind w:firstLine="640"/>
        <w:jc w:val="both"/>
      </w:pPr>
      <w:r>
        <w:rPr>
          <w:rFonts w:ascii="仿宋_GB2312" w:hAnsi="仿宋_GB2312" w:eastAsia="仿宋_GB2312"/>
          <w:sz w:val="32"/>
        </w:rPr>
        <w:t>（1）贯彻党中央、国务院和自治区党委、人民政府、地委和行署以及县委、县政府有关扶贫工作的方针、政策，拟定全县扶贫开发政策、规定、措施和扶贫标准并组织实施。</w:t>
      </w:r>
    </w:p>
    <w:p w14:paraId="78EDE25B">
      <w:pPr>
        <w:spacing w:line="580" w:lineRule="exact"/>
        <w:ind w:firstLine="640"/>
        <w:jc w:val="both"/>
      </w:pPr>
      <w:r>
        <w:rPr>
          <w:rFonts w:ascii="仿宋_GB2312" w:hAnsi="仿宋_GB2312" w:eastAsia="仿宋_GB2312"/>
          <w:sz w:val="32"/>
        </w:rPr>
        <w:t>（2）调查研究全县贫困状况、贫困原因，研究制定县扶贫开发中长期规划和年度计划，指导各乡镇制定扶贫开发的长期规划和年度计划。</w:t>
      </w:r>
    </w:p>
    <w:p w14:paraId="034F73B5">
      <w:pPr>
        <w:spacing w:line="580" w:lineRule="exact"/>
        <w:ind w:firstLine="640"/>
        <w:jc w:val="both"/>
      </w:pPr>
      <w:r>
        <w:rPr>
          <w:rFonts w:ascii="仿宋_GB2312" w:hAnsi="仿宋_GB2312" w:eastAsia="仿宋_GB2312"/>
          <w:sz w:val="32"/>
        </w:rPr>
        <w:t>（3）指导各乡镇做好农村扶贫对象建档立卡信息动态管理使用工作，并对年度解决贫困人口越线进度进行督促、检查、验收。</w:t>
      </w:r>
    </w:p>
    <w:p w14:paraId="151A9838">
      <w:pPr>
        <w:spacing w:line="580" w:lineRule="exact"/>
        <w:ind w:firstLine="640"/>
        <w:jc w:val="both"/>
      </w:pPr>
      <w:r>
        <w:rPr>
          <w:rFonts w:ascii="仿宋_GB2312" w:hAnsi="仿宋_GB2312" w:eastAsia="仿宋_GB2312"/>
          <w:sz w:val="32"/>
        </w:rPr>
        <w:t>（4）负责统筹安排国家、自治区、地区和我县用于扶贫开发各类项目制定，完善扶贫项目的管理办法，监督检查扶贫项目的管理和使用情况。</w:t>
      </w:r>
    </w:p>
    <w:p w14:paraId="1F1112C4">
      <w:pPr>
        <w:spacing w:line="580" w:lineRule="exact"/>
        <w:ind w:firstLine="640"/>
        <w:jc w:val="both"/>
      </w:pPr>
      <w:r>
        <w:rPr>
          <w:rFonts w:ascii="仿宋_GB2312" w:hAnsi="仿宋_GB2312" w:eastAsia="仿宋_GB2312"/>
          <w:sz w:val="32"/>
        </w:rPr>
        <w:t>（5）会同有关部门共同规划、设计、论证、筛选申报扶贫项目，并做好项目实施中的组织、协调工作。</w:t>
      </w:r>
    </w:p>
    <w:p w14:paraId="5A45D4C5">
      <w:pPr>
        <w:spacing w:line="580" w:lineRule="exact"/>
        <w:ind w:firstLine="640"/>
        <w:jc w:val="both"/>
      </w:pPr>
      <w:r>
        <w:rPr>
          <w:rFonts w:ascii="仿宋_GB2312" w:hAnsi="仿宋_GB2312" w:eastAsia="仿宋_GB2312"/>
          <w:sz w:val="32"/>
        </w:rPr>
        <w:t>（6）指导、编制产业扶贫规划，协调金融机构，推进和落实金融扶贫政策，督促做好扶贫小额信贷、贫困村致富带头人</w:t>
      </w:r>
      <w:r>
        <w:rPr>
          <w:rFonts w:hint="eastAsia" w:ascii="仿宋_GB2312" w:hAnsi="仿宋_GB2312" w:eastAsia="仿宋_GB2312"/>
          <w:sz w:val="32"/>
          <w:lang w:eastAsia="zh-CN"/>
        </w:rPr>
        <w:t>等</w:t>
      </w:r>
      <w:r>
        <w:rPr>
          <w:rFonts w:ascii="仿宋_GB2312" w:hAnsi="仿宋_GB2312" w:eastAsia="仿宋_GB2312"/>
          <w:sz w:val="32"/>
        </w:rPr>
        <w:t>基础数据录入和更新。</w:t>
      </w:r>
    </w:p>
    <w:p w14:paraId="6FA9DD41">
      <w:pPr>
        <w:spacing w:line="580" w:lineRule="exact"/>
        <w:ind w:firstLine="640"/>
        <w:jc w:val="both"/>
      </w:pPr>
      <w:r>
        <w:rPr>
          <w:rFonts w:ascii="仿宋_GB2312" w:hAnsi="仿宋_GB2312" w:eastAsia="仿宋_GB2312"/>
          <w:sz w:val="32"/>
        </w:rPr>
        <w:t>（7）协调组织党政机关、国有企事业单位、军队（含武警部队）定点扶贫，协调服务县级领导联系贫困村、中央、自治区单位定点扶贫、援疆扶贫、东西部协作、“五个一”包联工作。开展扶贫宣传，动员社会各界扶贫救困。负责扶贫日活动，协助指导各级工作队和第一书记开展扶贫工作。</w:t>
      </w:r>
    </w:p>
    <w:p w14:paraId="02ED79C3">
      <w:pPr>
        <w:spacing w:line="580" w:lineRule="exact"/>
        <w:ind w:firstLine="640"/>
        <w:jc w:val="both"/>
      </w:pPr>
      <w:r>
        <w:rPr>
          <w:rFonts w:ascii="仿宋_GB2312" w:hAnsi="仿宋_GB2312" w:eastAsia="仿宋_GB2312"/>
          <w:sz w:val="32"/>
        </w:rPr>
        <w:t>（8）组织做好扶贫工作年度统计、建立健全扶贫工作档案；做好全县扶贫工作进展情况的收集、整理、汇总上报等工作。</w:t>
      </w:r>
    </w:p>
    <w:p w14:paraId="4670709C">
      <w:pPr>
        <w:spacing w:line="580" w:lineRule="exact"/>
        <w:ind w:firstLine="640"/>
        <w:jc w:val="both"/>
      </w:pPr>
      <w:r>
        <w:rPr>
          <w:rFonts w:ascii="仿宋_GB2312" w:hAnsi="仿宋_GB2312" w:eastAsia="仿宋_GB2312"/>
          <w:sz w:val="32"/>
        </w:rPr>
        <w:t>（9）负责水库移民政策的贯彻落实；负责后扶持项目年度计划的上报和下达，组织后扶持项目的实施、做好水库移民项目实施、项目财务决算、竣工验收、项目建档等工作。</w:t>
      </w:r>
    </w:p>
    <w:p w14:paraId="02C1B287">
      <w:pPr>
        <w:spacing w:line="580" w:lineRule="exact"/>
        <w:ind w:firstLine="640"/>
        <w:jc w:val="both"/>
      </w:pPr>
      <w:r>
        <w:rPr>
          <w:rFonts w:ascii="仿宋_GB2312" w:hAnsi="仿宋_GB2312" w:eastAsia="仿宋_GB2312"/>
          <w:sz w:val="32"/>
        </w:rPr>
        <w:t>（10）负责本县财政扶贫资金、水库移民资金的使用的监督检查；负责全县扶贫开发督促工作。</w:t>
      </w:r>
    </w:p>
    <w:p w14:paraId="52D0FD7E">
      <w:pPr>
        <w:spacing w:line="640" w:lineRule="exact"/>
        <w:ind w:firstLine="640"/>
        <w:jc w:val="both"/>
        <w:outlineLvl w:val="2"/>
      </w:pPr>
      <w:r>
        <w:rPr>
          <w:rFonts w:ascii="黑体" w:hAnsi="黑体" w:eastAsia="黑体"/>
          <w:sz w:val="32"/>
        </w:rPr>
        <w:t>二、机构设置及人员情况</w:t>
      </w:r>
    </w:p>
    <w:p w14:paraId="2AEAA0EF">
      <w:pPr>
        <w:spacing w:line="580" w:lineRule="exact"/>
        <w:ind w:firstLine="640"/>
        <w:jc w:val="both"/>
      </w:pPr>
      <w:r>
        <w:rPr>
          <w:rFonts w:ascii="仿宋_GB2312" w:hAnsi="仿宋_GB2312" w:eastAsia="仿宋_GB2312"/>
          <w:sz w:val="32"/>
        </w:rPr>
        <w:t>民丰县乡村振兴局2024年度，实有人数17人，其中：在职人员16人，减少1人；离休人员0人，增加0人；退休人员1人,增加0人。</w:t>
      </w:r>
    </w:p>
    <w:p w14:paraId="6285C84E">
      <w:pPr>
        <w:spacing w:line="580" w:lineRule="exact"/>
        <w:ind w:firstLine="640"/>
        <w:jc w:val="both"/>
      </w:pPr>
      <w:r>
        <w:rPr>
          <w:rFonts w:ascii="仿宋_GB2312" w:hAnsi="仿宋_GB2312" w:eastAsia="仿宋_GB2312"/>
          <w:sz w:val="32"/>
        </w:rPr>
        <w:t>民丰县乡村振兴局无下属预算单位，下设4个科室，分别是：综合办、项目办、大数据办、财务室。</w:t>
      </w:r>
    </w:p>
    <w:p w14:paraId="1B1EF2E0">
      <w:r>
        <w:br w:type="page"/>
      </w:r>
    </w:p>
    <w:p w14:paraId="190F58B2">
      <w:pPr>
        <w:spacing w:line="240" w:lineRule="auto"/>
        <w:jc w:val="center"/>
        <w:outlineLvl w:val="1"/>
      </w:pPr>
      <w:r>
        <w:rPr>
          <w:rFonts w:ascii="黑体" w:hAnsi="黑体" w:eastAsia="黑体"/>
          <w:sz w:val="32"/>
        </w:rPr>
        <w:t>第二部分 部门决算情况说明</w:t>
      </w:r>
    </w:p>
    <w:p w14:paraId="098D86B7">
      <w:pPr>
        <w:spacing w:line="640" w:lineRule="exact"/>
        <w:ind w:firstLine="640"/>
        <w:jc w:val="both"/>
        <w:outlineLvl w:val="2"/>
      </w:pPr>
      <w:r>
        <w:rPr>
          <w:rFonts w:ascii="黑体" w:hAnsi="黑体" w:eastAsia="黑体"/>
          <w:sz w:val="32"/>
        </w:rPr>
        <w:t>一、收入支出决算总体情况说明</w:t>
      </w:r>
    </w:p>
    <w:p w14:paraId="477A4632">
      <w:pPr>
        <w:spacing w:line="580" w:lineRule="exact"/>
        <w:ind w:firstLine="640"/>
        <w:jc w:val="both"/>
      </w:pPr>
      <w:r>
        <w:rPr>
          <w:rFonts w:ascii="仿宋_GB2312" w:hAnsi="仿宋_GB2312" w:eastAsia="仿宋_GB2312"/>
          <w:b/>
          <w:sz w:val="32"/>
        </w:rPr>
        <w:t>2024年度收入总计246.72万元，</w:t>
      </w:r>
      <w:r>
        <w:rPr>
          <w:rFonts w:ascii="仿宋_GB2312" w:hAnsi="仿宋_GB2312" w:eastAsia="仿宋_GB2312"/>
          <w:b w:val="0"/>
          <w:sz w:val="32"/>
        </w:rPr>
        <w:t>其中：本年收入合计245.82万元，使用非财政拨款结余（含专用结余）0.00万元，年初结转和结余0.90万元。</w:t>
      </w:r>
    </w:p>
    <w:p w14:paraId="74AED034">
      <w:pPr>
        <w:spacing w:line="580" w:lineRule="exact"/>
        <w:ind w:firstLine="640"/>
        <w:jc w:val="both"/>
      </w:pPr>
      <w:r>
        <w:rPr>
          <w:rFonts w:ascii="仿宋_GB2312" w:hAnsi="仿宋_GB2312" w:eastAsia="仿宋_GB2312"/>
          <w:b/>
          <w:sz w:val="32"/>
        </w:rPr>
        <w:t>2024年度支出总计246.72万元，</w:t>
      </w:r>
      <w:r>
        <w:rPr>
          <w:rFonts w:ascii="仿宋_GB2312" w:hAnsi="仿宋_GB2312" w:eastAsia="仿宋_GB2312"/>
          <w:b w:val="0"/>
          <w:sz w:val="32"/>
        </w:rPr>
        <w:t>其中：本年支出合计246.60万元，结余分配0.00万元，年末结转和结余0.11万元。</w:t>
      </w:r>
    </w:p>
    <w:p w14:paraId="3EF10F1F">
      <w:pPr>
        <w:spacing w:line="580" w:lineRule="exact"/>
        <w:ind w:firstLine="640"/>
        <w:jc w:val="both"/>
      </w:pPr>
      <w:r>
        <w:rPr>
          <w:rFonts w:ascii="仿宋_GB2312" w:hAnsi="仿宋_GB2312" w:eastAsia="仿宋_GB2312"/>
          <w:b w:val="0"/>
          <w:sz w:val="32"/>
        </w:rPr>
        <w:t>收入支出总体与上年相比，减少119.68万元，下降32.66%，主要原因是：本年因机构改革，乡村振兴局合并至农业农村局，2024年8月之后人员经费、公用经费、项目管理费在农业农村局列支，导致经费支出减少。</w:t>
      </w:r>
    </w:p>
    <w:p w14:paraId="17741A14">
      <w:pPr>
        <w:spacing w:line="640" w:lineRule="exact"/>
        <w:ind w:firstLine="640"/>
        <w:jc w:val="both"/>
        <w:outlineLvl w:val="2"/>
      </w:pPr>
      <w:r>
        <w:rPr>
          <w:rFonts w:ascii="黑体" w:hAnsi="黑体" w:eastAsia="黑体"/>
          <w:sz w:val="32"/>
        </w:rPr>
        <w:t>二、收入决算情况说明</w:t>
      </w:r>
    </w:p>
    <w:p w14:paraId="143157CB">
      <w:pPr>
        <w:spacing w:line="580" w:lineRule="exact"/>
        <w:ind w:firstLine="640"/>
        <w:jc w:val="both"/>
      </w:pPr>
      <w:r>
        <w:rPr>
          <w:rFonts w:ascii="仿宋_GB2312" w:hAnsi="仿宋_GB2312" w:eastAsia="仿宋_GB2312"/>
          <w:b/>
          <w:sz w:val="32"/>
        </w:rPr>
        <w:t>本年收入245.82万元，</w:t>
      </w:r>
      <w:r>
        <w:rPr>
          <w:rFonts w:ascii="仿宋_GB2312" w:hAnsi="仿宋_GB2312" w:eastAsia="仿宋_GB2312"/>
          <w:b w:val="0"/>
          <w:sz w:val="32"/>
        </w:rPr>
        <w:t>其中：财政拨款收入245.82万元，占100.00%；上级补助收入0.00万元，占0.00%；事业收入0.00万元，占0.00%；经营收入0.00万元，占0.00%；附属单位上缴收入0.00万元，占0.00%；其他收入0.00万元，占0.00%。</w:t>
      </w:r>
    </w:p>
    <w:p w14:paraId="525A5B69">
      <w:pPr>
        <w:spacing w:line="640" w:lineRule="exact"/>
        <w:ind w:firstLine="640"/>
        <w:jc w:val="both"/>
        <w:outlineLvl w:val="2"/>
      </w:pPr>
      <w:r>
        <w:rPr>
          <w:rFonts w:ascii="黑体" w:hAnsi="黑体" w:eastAsia="黑体"/>
          <w:sz w:val="32"/>
        </w:rPr>
        <w:t>三、支出决算情况说明</w:t>
      </w:r>
    </w:p>
    <w:p w14:paraId="594E9309">
      <w:pPr>
        <w:spacing w:line="580" w:lineRule="exact"/>
        <w:ind w:firstLine="640"/>
        <w:jc w:val="both"/>
      </w:pPr>
      <w:r>
        <w:rPr>
          <w:rFonts w:ascii="仿宋_GB2312" w:hAnsi="仿宋_GB2312" w:eastAsia="仿宋_GB2312"/>
          <w:b/>
          <w:sz w:val="32"/>
        </w:rPr>
        <w:t>本年支出246.60万元，</w:t>
      </w:r>
      <w:r>
        <w:rPr>
          <w:rFonts w:ascii="仿宋_GB2312" w:hAnsi="仿宋_GB2312" w:eastAsia="仿宋_GB2312"/>
          <w:b w:val="0"/>
          <w:sz w:val="32"/>
        </w:rPr>
        <w:t>其中：基本支出211.16万元，占85.63%；项目支出35.44万元，占14.37%；上缴上级支出0.00万元，占0.00%；经营支出0.00万元，占0.00%；对附属单位补助支出0.00万元，占0.00%。</w:t>
      </w:r>
    </w:p>
    <w:p w14:paraId="6DB51506">
      <w:pPr>
        <w:spacing w:line="640" w:lineRule="exact"/>
        <w:ind w:firstLine="640"/>
        <w:jc w:val="both"/>
        <w:outlineLvl w:val="2"/>
      </w:pPr>
      <w:r>
        <w:rPr>
          <w:rFonts w:ascii="黑体" w:hAnsi="黑体" w:eastAsia="黑体"/>
          <w:sz w:val="32"/>
        </w:rPr>
        <w:t>四、财政拨款收入支出决算总体情况说明</w:t>
      </w:r>
    </w:p>
    <w:p w14:paraId="71F0F92C">
      <w:pPr>
        <w:spacing w:line="580" w:lineRule="exact"/>
        <w:ind w:firstLine="640"/>
        <w:jc w:val="both"/>
      </w:pPr>
      <w:r>
        <w:rPr>
          <w:rFonts w:ascii="仿宋_GB2312" w:hAnsi="仿宋_GB2312" w:eastAsia="仿宋_GB2312"/>
          <w:b/>
          <w:sz w:val="32"/>
        </w:rPr>
        <w:t>2024年度财政拨款收入总计245.82万元，</w:t>
      </w:r>
      <w:r>
        <w:rPr>
          <w:rFonts w:ascii="仿宋_GB2312" w:hAnsi="仿宋_GB2312" w:eastAsia="仿宋_GB2312"/>
          <w:b w:val="0"/>
          <w:sz w:val="32"/>
        </w:rPr>
        <w:t>其中：年初财政拨款结转和结余0.00万元，本年财政拨款收入245.82万元。</w:t>
      </w:r>
      <w:r>
        <w:rPr>
          <w:rFonts w:ascii="仿宋_GB2312" w:hAnsi="仿宋_GB2312" w:eastAsia="仿宋_GB2312"/>
          <w:b/>
          <w:sz w:val="32"/>
        </w:rPr>
        <w:t>财政拨款支出总计245.82万元，</w:t>
      </w:r>
      <w:r>
        <w:rPr>
          <w:rFonts w:ascii="仿宋_GB2312" w:hAnsi="仿宋_GB2312" w:eastAsia="仿宋_GB2312"/>
          <w:b w:val="0"/>
          <w:sz w:val="32"/>
        </w:rPr>
        <w:t>其中：年末财政拨款结转和结余0.00万元，本年财政拨款支出245.82万元。</w:t>
      </w:r>
    </w:p>
    <w:p w14:paraId="04AC671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减少115.23万元，下降31.92%，主要原因是：本年因机构改革，乡村振兴局合并至农业农村局，2024年8月之后人员经费、公用经费、项目管理费在农业农村局列支，导致经费支出减少。</w:t>
      </w:r>
      <w:r>
        <w:rPr>
          <w:rFonts w:ascii="仿宋_GB2312" w:hAnsi="仿宋_GB2312" w:eastAsia="仿宋_GB2312"/>
          <w:b/>
          <w:sz w:val="32"/>
        </w:rPr>
        <w:t>与年初预算相比，</w:t>
      </w:r>
      <w:r>
        <w:rPr>
          <w:rFonts w:ascii="仿宋_GB2312" w:hAnsi="仿宋_GB2312" w:eastAsia="仿宋_GB2312"/>
          <w:b w:val="0"/>
          <w:sz w:val="32"/>
        </w:rPr>
        <w:t>年初预算数341.03万元，决算数245.82万元，预决算差异率-27.92%，主要原因是：本年因机构改革，乡村振兴局合并至农业农村局，2024年8月之后人员经费、公用经费、项目管理费在农业农村局列支，导致预决算存在差异。</w:t>
      </w:r>
    </w:p>
    <w:p w14:paraId="5AA83AEA">
      <w:pPr>
        <w:spacing w:line="640" w:lineRule="exact"/>
        <w:ind w:firstLine="640"/>
        <w:jc w:val="both"/>
        <w:outlineLvl w:val="2"/>
      </w:pPr>
      <w:r>
        <w:rPr>
          <w:rFonts w:ascii="黑体" w:hAnsi="黑体" w:eastAsia="黑体"/>
          <w:sz w:val="32"/>
        </w:rPr>
        <w:t>五、一般公共预算财政拨款支出决算情况说明</w:t>
      </w:r>
    </w:p>
    <w:p w14:paraId="3C4BF44C">
      <w:pPr>
        <w:spacing w:line="640" w:lineRule="exact"/>
        <w:ind w:firstLine="640"/>
        <w:jc w:val="both"/>
        <w:outlineLvl w:val="3"/>
      </w:pPr>
      <w:r>
        <w:rPr>
          <w:rFonts w:ascii="楷体_GB2312" w:hAnsi="楷体_GB2312" w:eastAsia="楷体_GB2312"/>
          <w:b/>
          <w:sz w:val="32"/>
        </w:rPr>
        <w:t>（一）一般公共预算财政拨款支出决算总体情况</w:t>
      </w:r>
    </w:p>
    <w:p w14:paraId="5E83ED76">
      <w:pPr>
        <w:spacing w:line="580" w:lineRule="exact"/>
        <w:ind w:firstLine="640"/>
        <w:jc w:val="both"/>
      </w:pPr>
      <w:r>
        <w:rPr>
          <w:rFonts w:ascii="仿宋_GB2312" w:hAnsi="仿宋_GB2312" w:eastAsia="仿宋_GB2312"/>
          <w:b/>
          <w:sz w:val="32"/>
        </w:rPr>
        <w:t>2024年度一般公共预算财政拨款支出245.82万元，</w:t>
      </w:r>
      <w:r>
        <w:rPr>
          <w:rFonts w:ascii="仿宋_GB2312" w:hAnsi="仿宋_GB2312" w:eastAsia="仿宋_GB2312"/>
          <w:b w:val="0"/>
          <w:sz w:val="32"/>
        </w:rPr>
        <w:t>占本年支出合计的99.68%。</w:t>
      </w:r>
      <w:r>
        <w:rPr>
          <w:rFonts w:ascii="仿宋_GB2312" w:hAnsi="仿宋_GB2312" w:eastAsia="仿宋_GB2312"/>
          <w:b/>
          <w:sz w:val="32"/>
        </w:rPr>
        <w:t>与上年相比，</w:t>
      </w:r>
      <w:r>
        <w:rPr>
          <w:rFonts w:ascii="仿宋_GB2312" w:hAnsi="仿宋_GB2312" w:eastAsia="仿宋_GB2312"/>
          <w:b w:val="0"/>
          <w:sz w:val="32"/>
        </w:rPr>
        <w:t>减少115.23万元，下降31.92%，主要原因是：本年因机构改革，乡村振兴局合并至农业农村局，2024年8月之后人员经费、公用经费、项目管理费在农业农村局列支，导致经费支出减少。</w:t>
      </w:r>
      <w:r>
        <w:rPr>
          <w:rFonts w:ascii="仿宋_GB2312" w:hAnsi="仿宋_GB2312" w:eastAsia="仿宋_GB2312"/>
          <w:b/>
          <w:sz w:val="32"/>
        </w:rPr>
        <w:t>与年初预算相比,</w:t>
      </w:r>
      <w:r>
        <w:rPr>
          <w:rFonts w:ascii="仿宋_GB2312" w:hAnsi="仿宋_GB2312" w:eastAsia="仿宋_GB2312"/>
          <w:b w:val="0"/>
          <w:sz w:val="32"/>
        </w:rPr>
        <w:t>年初预算数341.03万元，决算数245.82万元，预决算差异率-27.92%，主要原因是：本年因机构改革，乡村振兴局合并至农业农村局，2024年8月之后人员经费、公用经费、项目管理费在农业农村局列支，导致预决算存在差异。</w:t>
      </w:r>
    </w:p>
    <w:p w14:paraId="681C82FE">
      <w:pPr>
        <w:spacing w:line="640" w:lineRule="exact"/>
        <w:ind w:firstLine="640"/>
        <w:jc w:val="both"/>
        <w:outlineLvl w:val="3"/>
      </w:pPr>
      <w:r>
        <w:rPr>
          <w:rFonts w:ascii="楷体_GB2312" w:hAnsi="楷体_GB2312" w:eastAsia="楷体_GB2312"/>
          <w:b/>
          <w:sz w:val="32"/>
        </w:rPr>
        <w:t>（二）一般公共预算财政拨款支出决算结构情况</w:t>
      </w:r>
    </w:p>
    <w:p w14:paraId="35B381AE">
      <w:pPr>
        <w:spacing w:line="580" w:lineRule="exact"/>
        <w:ind w:firstLine="640"/>
        <w:jc w:val="both"/>
      </w:pPr>
      <w:r>
        <w:rPr>
          <w:rFonts w:ascii="仿宋_GB2312" w:hAnsi="仿宋_GB2312" w:eastAsia="仿宋_GB2312"/>
          <w:b w:val="0"/>
          <w:sz w:val="32"/>
        </w:rPr>
        <w:t>1.社会保障和就业支出(类)21.13万元,占8.60%。</w:t>
      </w:r>
    </w:p>
    <w:p w14:paraId="6833C56C">
      <w:pPr>
        <w:spacing w:line="580" w:lineRule="exact"/>
        <w:ind w:firstLine="640"/>
        <w:jc w:val="both"/>
      </w:pPr>
      <w:r>
        <w:rPr>
          <w:rFonts w:ascii="仿宋_GB2312" w:hAnsi="仿宋_GB2312" w:eastAsia="仿宋_GB2312"/>
          <w:b w:val="0"/>
          <w:sz w:val="32"/>
        </w:rPr>
        <w:t>2.卫生健康支出(类)11.20万元,占4.56%。</w:t>
      </w:r>
    </w:p>
    <w:p w14:paraId="04F30669">
      <w:pPr>
        <w:spacing w:line="580" w:lineRule="exact"/>
        <w:ind w:firstLine="640"/>
        <w:jc w:val="both"/>
      </w:pPr>
      <w:r>
        <w:rPr>
          <w:rFonts w:ascii="仿宋_GB2312" w:hAnsi="仿宋_GB2312" w:eastAsia="仿宋_GB2312"/>
          <w:b w:val="0"/>
          <w:sz w:val="32"/>
        </w:rPr>
        <w:t>3.农林水支出(类)197.53万元,占80.36%。</w:t>
      </w:r>
    </w:p>
    <w:p w14:paraId="451E60D5">
      <w:pPr>
        <w:spacing w:line="580" w:lineRule="exact"/>
        <w:ind w:firstLine="640"/>
        <w:jc w:val="both"/>
      </w:pPr>
      <w:r>
        <w:rPr>
          <w:rFonts w:ascii="仿宋_GB2312" w:hAnsi="仿宋_GB2312" w:eastAsia="仿宋_GB2312"/>
          <w:b w:val="0"/>
          <w:sz w:val="32"/>
        </w:rPr>
        <w:t>4.住房保障支出(类)15.96万元,占6.49%。</w:t>
      </w:r>
    </w:p>
    <w:p w14:paraId="6388B49B">
      <w:pPr>
        <w:spacing w:line="640" w:lineRule="exact"/>
        <w:ind w:firstLine="640"/>
        <w:jc w:val="both"/>
        <w:outlineLvl w:val="3"/>
      </w:pPr>
      <w:r>
        <w:rPr>
          <w:rFonts w:ascii="楷体_GB2312" w:hAnsi="楷体_GB2312" w:eastAsia="楷体_GB2312"/>
          <w:b/>
          <w:sz w:val="32"/>
        </w:rPr>
        <w:t>（三）一般公共预算财政拨款支出决算具体情况</w:t>
      </w:r>
    </w:p>
    <w:p w14:paraId="11941981">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0.56万元，比上年决算增加0.56万元，增长100.00%,主要原因是：本年功能科目调整，行政单位离退休上年度在主科目列支，本年单独列支，导致经费较上年增加。</w:t>
      </w:r>
    </w:p>
    <w:p w14:paraId="244E9BF4">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20.57万元，比上年决算减少6.80万元，下降24.84%,主要原因是：本年因机构改革，乡村振兴局合并至农业农村局，2024年8月之后人员经费在农业农村局列支，机关事业单位基本养老保险缴费支出减少。</w:t>
      </w:r>
    </w:p>
    <w:p w14:paraId="6DE91FF5">
      <w:pPr>
        <w:spacing w:line="580" w:lineRule="exact"/>
        <w:ind w:firstLine="640"/>
        <w:jc w:val="both"/>
      </w:pPr>
      <w:r>
        <w:rPr>
          <w:rFonts w:ascii="仿宋_GB2312" w:hAnsi="仿宋_GB2312" w:eastAsia="仿宋_GB2312"/>
          <w:b w:val="0"/>
          <w:sz w:val="32"/>
        </w:rPr>
        <w:t>3.卫生健康支出(类)行政事业单位医疗(款)行政单位医疗(项):支出决算数为8.35万元，比上年决算增加8.35万元，增长100.00%,主要原因是：本年功能科目调整，行政单位医疗上年度在主科目列支，本年单独列支，导致经费较上年增加。</w:t>
      </w:r>
    </w:p>
    <w:p w14:paraId="601039B0">
      <w:pPr>
        <w:spacing w:line="580" w:lineRule="exact"/>
        <w:ind w:firstLine="640"/>
        <w:jc w:val="both"/>
      </w:pPr>
      <w:r>
        <w:rPr>
          <w:rFonts w:ascii="仿宋_GB2312" w:hAnsi="仿宋_GB2312" w:eastAsia="仿宋_GB2312"/>
          <w:b w:val="0"/>
          <w:sz w:val="32"/>
        </w:rPr>
        <w:t>4.卫生健康支出(类)行政事业单位医疗(款)公务员医疗补助(项):支出决算数为1.81万元，比上年决算增加1.81万元，增长100.00%,主要原因是：本年功能科目调整，公务员医疗补助上年度在主科目列支，本年单独列支，导致经费较上年增加。</w:t>
      </w:r>
    </w:p>
    <w:p w14:paraId="4B52D620">
      <w:pPr>
        <w:spacing w:line="580" w:lineRule="exact"/>
        <w:ind w:firstLine="640"/>
        <w:jc w:val="both"/>
      </w:pPr>
      <w:r>
        <w:rPr>
          <w:rFonts w:ascii="仿宋_GB2312" w:hAnsi="仿宋_GB2312" w:eastAsia="仿宋_GB2312"/>
          <w:b w:val="0"/>
          <w:sz w:val="32"/>
        </w:rPr>
        <w:t>5.卫生健康支出(类)行政事业单位医疗(款)其他行政事业单位医疗支出(项):支出决算数为1.03万元，比上年决算增加1.03万元，增长100.00%,主要原因是：本年功能科目调整，职工大病，工伤，失业保险缴费上年度在主科目列支，本年单独列支，导致经费较上年增加。</w:t>
      </w:r>
    </w:p>
    <w:p w14:paraId="0C3950D6">
      <w:pPr>
        <w:spacing w:line="580" w:lineRule="exact"/>
        <w:ind w:firstLine="640"/>
        <w:jc w:val="both"/>
      </w:pPr>
      <w:r>
        <w:rPr>
          <w:rFonts w:ascii="仿宋_GB2312" w:hAnsi="仿宋_GB2312" w:eastAsia="仿宋_GB2312"/>
          <w:b w:val="0"/>
          <w:sz w:val="32"/>
        </w:rPr>
        <w:t>6.农林水支出(类)巩固脱贫攻坚成果衔接乡村振兴(款)行政运行(项):支出决算数为162.09万元，比上年决算减少117.37万元，下降42.00%,主要原因是：一是本年科目调整，退休人员经费、职工住房公积金，医疗保险，公务员医疗补助等经费上年在主科目列支，本年单独列支；二是本年因机构改革，乡村振兴局合并至农业农村局，2024年8月之后人员经费、公用经费在农业农村局列支，导致经费支出减少。</w:t>
      </w:r>
    </w:p>
    <w:p w14:paraId="7C48FE47">
      <w:pPr>
        <w:spacing w:line="580" w:lineRule="exact"/>
        <w:ind w:firstLine="640"/>
        <w:jc w:val="both"/>
      </w:pPr>
      <w:r>
        <w:rPr>
          <w:rFonts w:ascii="仿宋_GB2312" w:hAnsi="仿宋_GB2312" w:eastAsia="仿宋_GB2312"/>
          <w:b w:val="0"/>
          <w:sz w:val="32"/>
        </w:rPr>
        <w:t>7.农林水支出(类)巩固脱贫攻坚成果衔接乡村振兴(款)其他巩固脱贫攻坚成果衔接乡村振兴支出(项):支出决算数为35.44万元，比上年决算减少18.78万元，下降34.64%,主要原因是：一是本年项目管理费较上年减少；二是本年因机构改革，乡村振兴局合并至农业农村局，2024年8月之后项目经费在农业农村局列支，导致经费支出减少。</w:t>
      </w:r>
    </w:p>
    <w:p w14:paraId="09468D2B">
      <w:pPr>
        <w:spacing w:line="580" w:lineRule="exact"/>
        <w:ind w:firstLine="640"/>
        <w:jc w:val="both"/>
      </w:pPr>
      <w:r>
        <w:rPr>
          <w:rFonts w:ascii="仿宋_GB2312" w:hAnsi="仿宋_GB2312" w:eastAsia="仿宋_GB2312"/>
          <w:b w:val="0"/>
          <w:sz w:val="32"/>
        </w:rPr>
        <w:t>8.住房保障支出(类)住房改革支出(款)住房公积金(项):支出决算数为15.96万元，比上年决算增加15.96万元，增长100.00%,主要原因是：本年功能科目调整，住房公积金上年度在主科目列支，本年单独列支，导致经费较上年增加。</w:t>
      </w:r>
    </w:p>
    <w:p w14:paraId="2366EE07">
      <w:pPr>
        <w:spacing w:line="640" w:lineRule="exact"/>
        <w:ind w:firstLine="640"/>
        <w:jc w:val="both"/>
        <w:outlineLvl w:val="2"/>
      </w:pPr>
      <w:r>
        <w:rPr>
          <w:rFonts w:ascii="黑体" w:hAnsi="黑体" w:eastAsia="黑体"/>
          <w:sz w:val="32"/>
        </w:rPr>
        <w:t>六、一般公共预算财政拨款基本支出决算情况说明</w:t>
      </w:r>
    </w:p>
    <w:p w14:paraId="6638DC78">
      <w:pPr>
        <w:spacing w:line="580" w:lineRule="exact"/>
        <w:ind w:firstLine="640"/>
        <w:jc w:val="both"/>
      </w:pPr>
      <w:r>
        <w:rPr>
          <w:rFonts w:ascii="仿宋_GB2312" w:hAnsi="仿宋_GB2312" w:eastAsia="仿宋_GB2312"/>
          <w:b w:val="0"/>
          <w:sz w:val="32"/>
        </w:rPr>
        <w:t>2024年度一般公共预算财政拨款基本支出210.38万元，其中：</w:t>
      </w:r>
      <w:r>
        <w:rPr>
          <w:rFonts w:ascii="仿宋_GB2312" w:hAnsi="仿宋_GB2312" w:eastAsia="仿宋_GB2312"/>
          <w:b/>
          <w:sz w:val="32"/>
        </w:rPr>
        <w:t>人员经费197.66万元，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包括：基本工资、津贴补贴、奖金、绩效工资、机关事业单位基本养老保险缴费、职工基本医疗保险缴费、公务员医疗补助缴费、其他社会保障缴费、住房公积金、退休费。</w:t>
      </w:r>
    </w:p>
    <w:p w14:paraId="24A39AAB">
      <w:pPr>
        <w:spacing w:line="580" w:lineRule="exact"/>
        <w:ind w:firstLine="640"/>
        <w:jc w:val="both"/>
      </w:pPr>
      <w:r>
        <w:rPr>
          <w:rFonts w:ascii="仿宋_GB2312" w:hAnsi="仿宋_GB2312" w:eastAsia="仿宋_GB2312"/>
          <w:b/>
          <w:sz w:val="32"/>
        </w:rPr>
        <w:t>公用经费12.72万元，</w:t>
      </w:r>
      <w:r>
        <w:rPr>
          <w:rFonts w:ascii="仿宋_GB2312" w:hAnsi="仿宋_GB2312" w:eastAsia="仿宋_GB2312"/>
          <w:b w:val="0"/>
          <w:sz w:val="32"/>
        </w:rPr>
        <w:t>包括：办公费、电费、邮电费、取暖费、差旅费、公务用车运行维护费。</w:t>
      </w:r>
    </w:p>
    <w:p w14:paraId="63484D90">
      <w:pPr>
        <w:spacing w:line="640" w:lineRule="exact"/>
        <w:ind w:firstLine="640"/>
        <w:jc w:val="both"/>
        <w:outlineLvl w:val="2"/>
      </w:pPr>
      <w:r>
        <w:rPr>
          <w:rFonts w:ascii="黑体" w:hAnsi="黑体" w:eastAsia="黑体"/>
          <w:sz w:val="32"/>
        </w:rPr>
        <w:t>七、政府性基金预算财政拨款收入支出决算情况说明</w:t>
      </w:r>
    </w:p>
    <w:p w14:paraId="7F74E5BF">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5FEAF31">
      <w:pPr>
        <w:spacing w:line="640" w:lineRule="exact"/>
        <w:ind w:firstLine="640"/>
        <w:jc w:val="both"/>
        <w:outlineLvl w:val="2"/>
      </w:pPr>
      <w:r>
        <w:rPr>
          <w:rFonts w:ascii="黑体" w:hAnsi="黑体" w:eastAsia="黑体"/>
          <w:sz w:val="32"/>
        </w:rPr>
        <w:t>八、国有资本经营预算财政拨款收入支出决算情况说明</w:t>
      </w:r>
    </w:p>
    <w:p w14:paraId="6A766BE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C0FAF42">
      <w:pPr>
        <w:spacing w:line="640" w:lineRule="exact"/>
        <w:ind w:firstLine="640"/>
        <w:jc w:val="both"/>
        <w:outlineLvl w:val="2"/>
      </w:pPr>
      <w:r>
        <w:rPr>
          <w:rFonts w:ascii="黑体" w:hAnsi="黑体" w:eastAsia="黑体"/>
          <w:sz w:val="32"/>
        </w:rPr>
        <w:t>九、财政拨款“三公”经费支出决算情况说明</w:t>
      </w:r>
    </w:p>
    <w:p w14:paraId="6CEF5C11">
      <w:pPr>
        <w:spacing w:line="580" w:lineRule="exact"/>
        <w:ind w:firstLine="640"/>
        <w:jc w:val="both"/>
      </w:pPr>
      <w:r>
        <w:rPr>
          <w:rFonts w:ascii="仿宋_GB2312" w:hAnsi="仿宋_GB2312" w:eastAsia="仿宋_GB2312"/>
          <w:b/>
          <w:sz w:val="32"/>
        </w:rPr>
        <w:t>2024年度财政拨款“三公”经费支出0.93万元，</w:t>
      </w:r>
      <w:r>
        <w:rPr>
          <w:rFonts w:ascii="仿宋_GB2312" w:hAnsi="仿宋_GB2312" w:eastAsia="仿宋_GB2312"/>
          <w:b w:val="0"/>
          <w:sz w:val="32"/>
        </w:rPr>
        <w:t>比上年减少0.57万元，下降38.00%，主要原因是：本年因机构改革，乡村振兴局合并至农业农村局，下半年车辆运行经费由农业农村局列支，导致财政拨款“三公”经费支出减少。其中：因公出国（境）费支出0.00万元，占0.00%，比上年增加0.00万元，增长0.00%，主要原因是：2023年与2024年均未安排因公出国（境）费支出。公务用车购置及运行维护费支出0.93万元，占100.00%，比上年减少0.57万元，下降38.00%，主要原因是：本年因机构改革，乡村振兴局合并至农业农村局，下半年车辆运行经费由农业农村局列支，导致公务用车运行维护费支出减少。公务接待费支出0.00万元，占0.00%，比上年增加0.00万元，增长0.00%，主要原因是：2023年与2024年均未安排公务接待费支出。</w:t>
      </w:r>
    </w:p>
    <w:p w14:paraId="0DD95E9F">
      <w:pPr>
        <w:spacing w:line="580" w:lineRule="exact"/>
        <w:ind w:firstLine="640"/>
        <w:jc w:val="both"/>
      </w:pPr>
      <w:r>
        <w:rPr>
          <w:rFonts w:ascii="仿宋_GB2312" w:hAnsi="仿宋_GB2312" w:eastAsia="仿宋_GB2312"/>
          <w:b/>
          <w:sz w:val="32"/>
        </w:rPr>
        <w:t>具体情况如下：</w:t>
      </w:r>
    </w:p>
    <w:p w14:paraId="39B53D9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2B4AA34">
      <w:pPr>
        <w:spacing w:line="580" w:lineRule="exact"/>
        <w:ind w:firstLine="640"/>
        <w:jc w:val="both"/>
      </w:pPr>
      <w:r>
        <w:rPr>
          <w:rFonts w:ascii="仿宋_GB2312" w:hAnsi="仿宋_GB2312" w:eastAsia="仿宋_GB2312"/>
          <w:b w:val="0"/>
          <w:sz w:val="32"/>
        </w:rPr>
        <w:t>公务用车购置及运行维护费0.93万元，其中：公务用车购置费0.00万元，公务用车运行维护费0.93万元。公务用车运行维护费开支内容包括车辆加油费、保险费、过路费、维修费。公务用车购置数0辆，公务用车保有量1辆。国有资产占用情况中固定资产车辆1辆，与公务用车保有量差异原因是：本单位固定资产车辆与公务用车保有量一致无差异。</w:t>
      </w:r>
    </w:p>
    <w:p w14:paraId="4E05CD9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04AF45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1.50万元，决算数0.93万元，预决算差异率-38.00%，主要原因是：本年因机构改革，乡村振兴局合并至农业农村局，下半年车辆运行经费由农业农村局列支，导致财政拨款“三公”经费支出减少。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1.50万元，决算数0.93万元，预决算差异率-38.00%，主要原因是：本年因机构改革，乡村振兴局合并至农业农村局，下半年车辆运行经费由农业农村局列支，导致公务用车运行维护费支出减少。公务接待费全年预算数0.00万元，决算数0.00万元，预决算差异率0.00%，主要原因是：本单位无公务接待费。</w:t>
      </w:r>
    </w:p>
    <w:p w14:paraId="457360A8">
      <w:pPr>
        <w:spacing w:line="640" w:lineRule="exact"/>
        <w:ind w:firstLine="640"/>
        <w:jc w:val="both"/>
        <w:outlineLvl w:val="2"/>
      </w:pPr>
      <w:r>
        <w:rPr>
          <w:rFonts w:ascii="黑体" w:hAnsi="黑体" w:eastAsia="黑体"/>
          <w:sz w:val="32"/>
        </w:rPr>
        <w:t>十、其他重要事项的情况说明</w:t>
      </w:r>
    </w:p>
    <w:p w14:paraId="0CD9BA6E">
      <w:pPr>
        <w:spacing w:line="640" w:lineRule="exact"/>
        <w:ind w:firstLine="640"/>
        <w:jc w:val="both"/>
        <w:outlineLvl w:val="3"/>
      </w:pPr>
      <w:r>
        <w:rPr>
          <w:rFonts w:ascii="楷体_GB2312" w:hAnsi="楷体_GB2312" w:eastAsia="楷体_GB2312"/>
          <w:b/>
          <w:sz w:val="32"/>
        </w:rPr>
        <w:t>（一）机关运行经费及公用经费支出情况</w:t>
      </w:r>
    </w:p>
    <w:p w14:paraId="1F820A37">
      <w:pPr>
        <w:spacing w:line="580" w:lineRule="exact"/>
        <w:ind w:firstLine="640"/>
        <w:jc w:val="both"/>
      </w:pPr>
      <w:r>
        <w:rPr>
          <w:rFonts w:ascii="仿宋_GB2312" w:hAnsi="仿宋_GB2312" w:eastAsia="仿宋_GB2312"/>
          <w:b w:val="0"/>
          <w:sz w:val="32"/>
        </w:rPr>
        <w:t>2024年度民丰县乡村振兴局（行政单位和参照公务员法管理事业单位）机关运行经费支出12.72万元，比上年减少1.43万元，下降10.11%，主要原因是：本年因机构改革，乡村振兴局合并至农业农村局，下半年机关运行经费由农业农村局列支。</w:t>
      </w:r>
    </w:p>
    <w:p w14:paraId="18423C78">
      <w:pPr>
        <w:spacing w:line="640" w:lineRule="exact"/>
        <w:ind w:firstLine="640"/>
        <w:jc w:val="both"/>
        <w:outlineLvl w:val="3"/>
      </w:pPr>
      <w:r>
        <w:rPr>
          <w:rFonts w:ascii="楷体_GB2312" w:hAnsi="楷体_GB2312" w:eastAsia="楷体_GB2312"/>
          <w:b/>
          <w:sz w:val="32"/>
        </w:rPr>
        <w:t>（二）政府采购情况</w:t>
      </w:r>
    </w:p>
    <w:p w14:paraId="57127113">
      <w:pPr>
        <w:spacing w:line="580" w:lineRule="exact"/>
        <w:ind w:firstLine="640"/>
        <w:jc w:val="both"/>
      </w:pPr>
      <w:r>
        <w:rPr>
          <w:rFonts w:ascii="仿宋_GB2312" w:hAnsi="仿宋_GB2312" w:eastAsia="仿宋_GB2312"/>
          <w:b w:val="0"/>
          <w:sz w:val="32"/>
        </w:rPr>
        <w:t>2024年度政府采购支出总额39.24万元，其中：政府采购货物支出0.00万元、政府采购工程支出0.00万元、政府采购服务支出39.24万元。</w:t>
      </w:r>
    </w:p>
    <w:p w14:paraId="017CEFD3">
      <w:pPr>
        <w:spacing w:line="580" w:lineRule="exact"/>
        <w:ind w:firstLine="640"/>
        <w:jc w:val="both"/>
      </w:pPr>
      <w:r>
        <w:rPr>
          <w:rFonts w:ascii="仿宋_GB2312" w:hAnsi="仿宋_GB2312" w:eastAsia="仿宋_GB2312"/>
          <w:b w:val="0"/>
          <w:sz w:val="32"/>
        </w:rPr>
        <w:t>授予中小企业合同金额39.24万元，占政府采购支出总额的100.00%，其中：授予小微企业合同金额39.24万元，占政府采购支出总额的100.00%。</w:t>
      </w:r>
    </w:p>
    <w:p w14:paraId="58685E3A">
      <w:pPr>
        <w:spacing w:line="640" w:lineRule="exact"/>
        <w:ind w:firstLine="640"/>
        <w:jc w:val="both"/>
        <w:outlineLvl w:val="3"/>
      </w:pPr>
      <w:r>
        <w:rPr>
          <w:rFonts w:ascii="楷体_GB2312" w:hAnsi="楷体_GB2312" w:eastAsia="楷体_GB2312"/>
          <w:b/>
          <w:sz w:val="32"/>
        </w:rPr>
        <w:t>（三）国有资产占用情况说明</w:t>
      </w:r>
    </w:p>
    <w:p w14:paraId="33FE18F5">
      <w:pPr>
        <w:spacing w:line="580" w:lineRule="exact"/>
        <w:ind w:firstLine="640"/>
        <w:jc w:val="both"/>
      </w:pPr>
      <w:r>
        <w:rPr>
          <w:rFonts w:ascii="仿宋_GB2312" w:hAnsi="仿宋_GB2312" w:eastAsia="仿宋_GB2312"/>
          <w:b w:val="0"/>
          <w:sz w:val="32"/>
        </w:rPr>
        <w:t>截至2024年12月31日，房屋0.00平方米，价值0.00万元。车辆1辆，价值22.60万元，其中：副部（省）级及以上领导用车0辆、主要负责人用车0辆、机要通信用车0辆、应急保障用车0辆、执法执勤用车0辆、特种专业技术用车0辆、离退休干部服务用车0辆、其他用车1辆，其他用车主要是：单位公务用车。单价100万元（含）以上设备（不含车辆）0台（套）。</w:t>
      </w:r>
    </w:p>
    <w:p w14:paraId="1A5DE893">
      <w:pPr>
        <w:spacing w:line="640" w:lineRule="exact"/>
        <w:ind w:firstLine="640"/>
        <w:jc w:val="both"/>
        <w:outlineLvl w:val="2"/>
      </w:pPr>
      <w:r>
        <w:rPr>
          <w:rFonts w:ascii="黑体" w:hAnsi="黑体" w:eastAsia="黑体"/>
          <w:sz w:val="32"/>
        </w:rPr>
        <w:t>十一、预算绩效的情况说明</w:t>
      </w:r>
    </w:p>
    <w:p w14:paraId="55D4FE3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246.72万元，实际执行总额246.60万元；预算绩效评价项目1个，全年预算数0.86万元，全年执行数0.75万元。预算绩效管理取得的成效：一是预算编制更精准，通过绩效目标设定，结合工作实际细化支出，资金投向更贴合需求，浪费现象减少。二是资金使用效率提升，绩效监控及时发现并纠正偏差，确保经费花在刀刃上，行政运行成本降低。三是管理责任强化，明确各环节职责，考核结果与后续预算挂钩，倒逼规范用钱。四是透明度提高，绩效信息公开接受监督，提升了公众对办公经费使用的信任度，为高效行政提供有力支撑。发现的问题及原因：一是绩效目标设定不够科学，部分目标与实际工作关联度低，量化指标少，难以有效衡量成效。二是绩效监控力度不足，多为事后评价，过程中动态调整机制不健全，难以及时纠偏。三是评价结果应用不充分，与预算分配、责任人考核的挂钩不够紧密，激励约束作用弱化。四是部分人员绩效意识薄弱，重支出执行、轻效益评估，影响管理成效提升。下一步改进措施：一是优化绩效目标设定，结合工作实际细化量化指标，增强目标与业务的关联性和可衡量性。二是强化全流程绩效监控，建立动态跟踪机制，定期分析预算执行与绩效目标偏差，及时采取调整措施。三是深化评价结果应用，将评价结果与预算分配、部门考核、责任人奖惩直接挂钩，形成激励约束闭环。四是加强绩效管理培训，提升全员绩效意识和专业能力，推动从“重支出”向“重效益”转变，提升办公经费管理水平。具体附整体支出绩效自评表，项目支出绩效自评表和评价报告。</w:t>
      </w:r>
    </w:p>
    <w:p w14:paraId="3DADC62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1673B3D">
        <w:tblPrEx>
          <w:tblCellMar>
            <w:top w:w="0" w:type="dxa"/>
            <w:left w:w="108" w:type="dxa"/>
            <w:bottom w:w="0" w:type="dxa"/>
            <w:right w:w="108" w:type="dxa"/>
          </w:tblCellMar>
        </w:tblPrEx>
        <w:tc>
          <w:tcPr>
            <w:tcW w:w="8847" w:type="dxa"/>
            <w:gridSpan w:val="9"/>
            <w:vAlign w:val="center"/>
          </w:tcPr>
          <w:p w14:paraId="034F041F">
            <w:pPr>
              <w:jc w:val="center"/>
            </w:pPr>
            <w:r>
              <w:rPr>
                <w:rFonts w:ascii="宋体" w:hAnsi="宋体" w:eastAsia="宋体"/>
                <w:sz w:val="24"/>
              </w:rPr>
              <w:t>单位整体支出绩效自评表</w:t>
            </w:r>
          </w:p>
        </w:tc>
      </w:tr>
      <w:tr w14:paraId="3402AD3C">
        <w:tblPrEx>
          <w:tblCellMar>
            <w:top w:w="0" w:type="dxa"/>
            <w:left w:w="108" w:type="dxa"/>
            <w:bottom w:w="0" w:type="dxa"/>
            <w:right w:w="108" w:type="dxa"/>
          </w:tblCellMar>
        </w:tblPrEx>
        <w:tc>
          <w:tcPr>
            <w:tcW w:w="8847" w:type="dxa"/>
            <w:gridSpan w:val="9"/>
            <w:vAlign w:val="center"/>
          </w:tcPr>
          <w:p w14:paraId="2BC8621D">
            <w:pPr>
              <w:jc w:val="center"/>
            </w:pPr>
            <w:r>
              <w:rPr>
                <w:rFonts w:ascii="宋体" w:hAnsi="宋体" w:eastAsia="宋体"/>
                <w:sz w:val="24"/>
              </w:rPr>
              <w:t>（2024年度）</w:t>
            </w:r>
          </w:p>
        </w:tc>
      </w:tr>
      <w:tr w14:paraId="119760C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540F4">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E5DFEBA">
            <w:pPr>
              <w:jc w:val="center"/>
            </w:pPr>
            <w:r>
              <w:rPr>
                <w:rFonts w:ascii="宋体" w:hAnsi="宋体" w:eastAsia="宋体"/>
                <w:sz w:val="16"/>
              </w:rPr>
              <w:t>民丰县乡村振兴局</w:t>
            </w:r>
          </w:p>
        </w:tc>
      </w:tr>
      <w:tr w14:paraId="334A426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96A9B9">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5BF0F">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4E62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4B815">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A9540">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8AA1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355DD">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36436F">
            <w:pPr>
              <w:jc w:val="center"/>
            </w:pPr>
            <w:r>
              <w:rPr>
                <w:rFonts w:ascii="宋体" w:hAnsi="宋体" w:eastAsia="宋体"/>
                <w:sz w:val="16"/>
              </w:rPr>
              <w:t>得分</w:t>
            </w:r>
          </w:p>
        </w:tc>
      </w:tr>
      <w:tr w14:paraId="24D9AA8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78281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B423C3">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84F16B">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69B1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9E42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98879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72743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7357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61174">
            <w:pPr>
              <w:jc w:val="center"/>
            </w:pPr>
            <w:r>
              <w:rPr>
                <w:rFonts w:ascii="宋体" w:hAnsi="宋体" w:eastAsia="宋体"/>
                <w:sz w:val="16"/>
              </w:rPr>
              <w:t>-</w:t>
            </w:r>
          </w:p>
        </w:tc>
      </w:tr>
      <w:tr w14:paraId="61CE77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4FB23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B9F65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FAD28">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86F8A0">
            <w:pPr>
              <w:jc w:val="center"/>
            </w:pPr>
            <w:r>
              <w:rPr>
                <w:rFonts w:ascii="宋体" w:hAnsi="宋体" w:eastAsia="宋体"/>
                <w:sz w:val="16"/>
              </w:rPr>
              <w:t>357.69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73850">
            <w:pPr>
              <w:jc w:val="center"/>
            </w:pPr>
            <w:r>
              <w:rPr>
                <w:rFonts w:ascii="宋体" w:hAnsi="宋体" w:eastAsia="宋体"/>
                <w:sz w:val="16"/>
              </w:rPr>
              <w:t>245.82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B1BF0A">
            <w:pPr>
              <w:jc w:val="center"/>
            </w:pPr>
            <w:r>
              <w:rPr>
                <w:rFonts w:ascii="宋体" w:hAnsi="宋体" w:eastAsia="宋体"/>
                <w:sz w:val="16"/>
              </w:rPr>
              <w:t>246.60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46FF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D41E6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E2BF0">
            <w:pPr>
              <w:jc w:val="center"/>
            </w:pPr>
            <w:r>
              <w:rPr>
                <w:rFonts w:ascii="宋体" w:hAnsi="宋体" w:eastAsia="宋体"/>
                <w:sz w:val="16"/>
              </w:rPr>
              <w:t>-</w:t>
            </w:r>
          </w:p>
        </w:tc>
      </w:tr>
      <w:tr w14:paraId="69CAB5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DCF2C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43264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E7256">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145CB">
            <w:pPr>
              <w:jc w:val="center"/>
            </w:pPr>
            <w:r>
              <w:rPr>
                <w:rFonts w:ascii="宋体" w:hAnsi="宋体" w:eastAsia="宋体"/>
                <w:sz w:val="16"/>
              </w:rPr>
              <w:t>0.86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BB9183">
            <w:pPr>
              <w:jc w:val="center"/>
            </w:pPr>
            <w:r>
              <w:rPr>
                <w:rFonts w:ascii="宋体" w:hAnsi="宋体" w:eastAsia="宋体"/>
                <w:sz w:val="16"/>
              </w:rPr>
              <w:t>0.90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3EAA2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5C8E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B3851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A2F66">
            <w:pPr>
              <w:jc w:val="center"/>
            </w:pPr>
            <w:r>
              <w:rPr>
                <w:rFonts w:ascii="宋体" w:hAnsi="宋体" w:eastAsia="宋体"/>
                <w:sz w:val="16"/>
              </w:rPr>
              <w:t>-</w:t>
            </w:r>
          </w:p>
        </w:tc>
      </w:tr>
      <w:tr w14:paraId="2D2FB1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233D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3E8A28">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1690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3057B">
            <w:pPr>
              <w:jc w:val="center"/>
            </w:pPr>
            <w:r>
              <w:rPr>
                <w:rFonts w:ascii="宋体" w:hAnsi="宋体" w:eastAsia="宋体"/>
                <w:sz w:val="16"/>
              </w:rPr>
              <w:t>358.55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2FB0B">
            <w:pPr>
              <w:jc w:val="center"/>
            </w:pPr>
            <w:r>
              <w:rPr>
                <w:rFonts w:ascii="宋体" w:hAnsi="宋体" w:eastAsia="宋体"/>
                <w:sz w:val="16"/>
              </w:rPr>
              <w:t>246.72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5B9E18">
            <w:pPr>
              <w:jc w:val="center"/>
            </w:pPr>
            <w:r>
              <w:rPr>
                <w:rFonts w:ascii="宋体" w:hAnsi="宋体" w:eastAsia="宋体"/>
                <w:sz w:val="16"/>
              </w:rPr>
              <w:t>246.60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97E2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4CD7C2">
            <w:pPr>
              <w:jc w:val="center"/>
            </w:pPr>
            <w:r>
              <w:rPr>
                <w:rFonts w:ascii="宋体" w:hAnsi="宋体" w:eastAsia="宋体"/>
                <w:sz w:val="16"/>
              </w:rPr>
              <w:t>99.95%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A7A00">
            <w:pPr>
              <w:jc w:val="center"/>
            </w:pPr>
            <w:r>
              <w:rPr>
                <w:rFonts w:ascii="宋体" w:hAnsi="宋体" w:eastAsia="宋体"/>
                <w:sz w:val="16"/>
              </w:rPr>
              <w:t>10</w:t>
            </w:r>
          </w:p>
        </w:tc>
      </w:tr>
      <w:tr w14:paraId="5D21883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8C9BB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3194E7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B75AB5">
            <w:pPr>
              <w:jc w:val="center"/>
            </w:pPr>
            <w:r>
              <w:rPr>
                <w:rFonts w:ascii="宋体" w:hAnsi="宋体" w:eastAsia="宋体"/>
                <w:sz w:val="16"/>
              </w:rPr>
              <w:t>实际完成情况</w:t>
            </w:r>
          </w:p>
        </w:tc>
      </w:tr>
      <w:tr w14:paraId="3A70C8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1A886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A347EE1">
            <w:pPr>
              <w:jc w:val="both"/>
            </w:pPr>
            <w:r>
              <w:rPr>
                <w:rFonts w:ascii="宋体" w:hAnsi="宋体" w:eastAsia="宋体"/>
                <w:sz w:val="16"/>
              </w:rPr>
              <w:t>目标1：明确监测范围。根据自治区、自治州调整的年度监测范围，及时监测“三类户”，对未纳入“三类户”的脱贫户和人均纯收入低于1万元的农户及其他重点群体进行重点关注。</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目标2：以“一稳、两拓、两创、两提升”为抓手，深入实施防止返贫就业攻坚行动落实落细。确保脱贫人口就业规模稳定在6543人以上。</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94F80A">
            <w:pPr>
              <w:jc w:val="both"/>
            </w:pPr>
            <w:r>
              <w:rPr>
                <w:rFonts w:ascii="宋体" w:hAnsi="宋体" w:eastAsia="宋体"/>
                <w:sz w:val="16"/>
              </w:rPr>
              <w:t>截至2024年12月31日，我单位共计支出246.6万元，预算执行率100%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一是紧盯防返贫动态监测和帮扶，做到应纳尽纳。现有脱贫人口和监测对象共计5115户17217人，其中脱贫户4407户15121人；监测对象708户2096人，今年以来，累计识别监测对象73户187人，通过采取产业就业、兜底保障、医疗救助等针对性有效帮扶措施，全县累计风险消除475户1572人，有效防止返贫致贫的发生。对有劳动力且有技术的监测对象，引导加强产业带动，扶持养殖、种植加工等特色产业；对有剩余劳力且可输转的监测对象，加强就业技能培训，</w:t>
            </w:r>
            <w:r>
              <w:rPr>
                <w:rFonts w:hint="eastAsia" w:ascii="宋体" w:hAnsi="宋体"/>
                <w:sz w:val="16"/>
                <w:lang w:eastAsia="zh-CN"/>
              </w:rPr>
              <w:t>纳入</w:t>
            </w:r>
            <w:r>
              <w:rPr>
                <w:rFonts w:ascii="宋体" w:hAnsi="宋体" w:eastAsia="宋体"/>
                <w:sz w:val="16"/>
              </w:rPr>
              <w:t>产业合作帮扶体系，实现就业增收+产业帮扶，2024年度累计就业达到6635人。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二是2024年，到位财政衔接资金13103万元（其中：中央、自治区衔接任务资金11302万元；以工代赈资金1229万元；少数民族发展资金572万元）安排项目37个。</w:t>
            </w:r>
          </w:p>
        </w:tc>
      </w:tr>
      <w:tr w14:paraId="7F459D2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1B08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76F82">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D0C4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D5043">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1AE34">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F429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8981B3">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9FEDD">
            <w:pPr>
              <w:jc w:val="center"/>
            </w:pPr>
            <w:r>
              <w:rPr>
                <w:rFonts w:ascii="宋体" w:hAnsi="宋体" w:eastAsia="宋体"/>
                <w:sz w:val="16"/>
              </w:rPr>
              <w:t>得分</w:t>
            </w:r>
          </w:p>
        </w:tc>
      </w:tr>
      <w:tr w14:paraId="35475C5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B0418E">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C6F362">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3474D">
            <w:pPr>
              <w:jc w:val="center"/>
            </w:pPr>
            <w:r>
              <w:rPr>
                <w:rFonts w:ascii="宋体" w:hAnsi="宋体" w:eastAsia="宋体"/>
                <w:sz w:val="16"/>
              </w:rPr>
              <w:t>乡村振兴补助资金安排项目数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8F20C">
            <w:pPr>
              <w:jc w:val="center"/>
            </w:pPr>
            <w:r>
              <w:rPr>
                <w:rFonts w:ascii="宋体" w:hAnsi="宋体" w:eastAsia="宋体"/>
                <w:sz w:val="16"/>
              </w:rPr>
              <w:t>&gt;=29个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52482D">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CE8A67">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2D5E9B">
            <w:pPr>
              <w:jc w:val="center"/>
            </w:pPr>
            <w:r>
              <w:rPr>
                <w:rFonts w:ascii="宋体" w:hAnsi="宋体" w:eastAsia="宋体"/>
                <w:sz w:val="16"/>
              </w:rPr>
              <w:t>37个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B98BA9">
            <w:pPr>
              <w:jc w:val="center"/>
            </w:pPr>
            <w:r>
              <w:rPr>
                <w:rFonts w:ascii="宋体" w:hAnsi="宋体" w:eastAsia="宋体"/>
                <w:sz w:val="16"/>
              </w:rPr>
              <w:t>30</w:t>
            </w:r>
          </w:p>
        </w:tc>
      </w:tr>
      <w:tr w14:paraId="03719A7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405F4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D707B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81AB7">
            <w:pPr>
              <w:jc w:val="center"/>
            </w:pPr>
            <w:r>
              <w:rPr>
                <w:rFonts w:ascii="宋体" w:hAnsi="宋体" w:eastAsia="宋体"/>
                <w:sz w:val="16"/>
              </w:rPr>
              <w:t>脱贫群众稳岗就业人数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9610ED">
            <w:pPr>
              <w:jc w:val="center"/>
            </w:pPr>
            <w:r>
              <w:rPr>
                <w:rFonts w:ascii="宋体" w:hAnsi="宋体" w:eastAsia="宋体"/>
                <w:sz w:val="16"/>
              </w:rPr>
              <w:t>&gt;=6632人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E7F91">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8DDBE">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5D185">
            <w:pPr>
              <w:jc w:val="center"/>
            </w:pPr>
            <w:r>
              <w:rPr>
                <w:rFonts w:ascii="宋体" w:hAnsi="宋体" w:eastAsia="宋体"/>
                <w:sz w:val="16"/>
              </w:rPr>
              <w:t>6635人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07E184">
            <w:pPr>
              <w:jc w:val="center"/>
            </w:pPr>
            <w:r>
              <w:rPr>
                <w:rFonts w:ascii="宋体" w:hAnsi="宋体" w:eastAsia="宋体"/>
                <w:sz w:val="16"/>
              </w:rPr>
              <w:t>30</w:t>
            </w:r>
          </w:p>
        </w:tc>
      </w:tr>
      <w:tr w14:paraId="66DE8A5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3437B5">
            <w:pPr>
              <w:jc w:val="center"/>
            </w:pPr>
            <w:r>
              <w:rPr>
                <w:rFonts w:ascii="宋体" w:hAnsi="宋体" w:eastAsia="宋体"/>
                <w:sz w:val="16"/>
              </w:rPr>
              <w:t>服务对象满意度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88CF4D">
            <w:pPr>
              <w:jc w:val="center"/>
            </w:pPr>
            <w:r>
              <w:rPr>
                <w:rFonts w:ascii="宋体" w:hAnsi="宋体" w:eastAsia="宋体"/>
                <w:sz w:val="16"/>
              </w:rPr>
              <w:t>满意度指标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63565">
            <w:pPr>
              <w:jc w:val="center"/>
            </w:pPr>
            <w:r>
              <w:rPr>
                <w:rFonts w:ascii="宋体" w:hAnsi="宋体" w:eastAsia="宋体"/>
                <w:sz w:val="16"/>
              </w:rPr>
              <w:t>受益脱贫群众满意度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8417B">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112365">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3B348">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3B3B8">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9094E6">
            <w:pPr>
              <w:jc w:val="center"/>
            </w:pPr>
            <w:r>
              <w:rPr>
                <w:rFonts w:ascii="宋体" w:hAnsi="宋体" w:eastAsia="宋体"/>
                <w:sz w:val="16"/>
              </w:rPr>
              <w:t>30</w:t>
            </w:r>
          </w:p>
        </w:tc>
      </w:tr>
    </w:tbl>
    <w:p w14:paraId="5C1B049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CCA20CC">
        <w:tblPrEx>
          <w:tblCellMar>
            <w:top w:w="0" w:type="dxa"/>
            <w:left w:w="108" w:type="dxa"/>
            <w:bottom w:w="0" w:type="dxa"/>
            <w:right w:w="108" w:type="dxa"/>
          </w:tblCellMar>
        </w:tblPrEx>
        <w:tc>
          <w:tcPr>
            <w:tcW w:w="8847" w:type="dxa"/>
            <w:gridSpan w:val="9"/>
            <w:vAlign w:val="center"/>
          </w:tcPr>
          <w:p w14:paraId="3A121A46">
            <w:pPr>
              <w:jc w:val="center"/>
            </w:pPr>
            <w:r>
              <w:rPr>
                <w:rFonts w:ascii="宋体" w:hAnsi="宋体" w:eastAsia="宋体"/>
                <w:sz w:val="24"/>
              </w:rPr>
              <w:t>项目支出绩效自评表</w:t>
            </w:r>
          </w:p>
        </w:tc>
      </w:tr>
      <w:tr w14:paraId="5612E5FA">
        <w:tblPrEx>
          <w:tblCellMar>
            <w:top w:w="0" w:type="dxa"/>
            <w:left w:w="108" w:type="dxa"/>
            <w:bottom w:w="0" w:type="dxa"/>
            <w:right w:w="108" w:type="dxa"/>
          </w:tblCellMar>
        </w:tblPrEx>
        <w:tc>
          <w:tcPr>
            <w:tcW w:w="8847" w:type="dxa"/>
            <w:gridSpan w:val="9"/>
            <w:vAlign w:val="center"/>
          </w:tcPr>
          <w:p w14:paraId="6366A598">
            <w:pPr>
              <w:jc w:val="center"/>
            </w:pPr>
            <w:r>
              <w:rPr>
                <w:rFonts w:ascii="宋体" w:hAnsi="宋体" w:eastAsia="宋体"/>
                <w:sz w:val="24"/>
              </w:rPr>
              <w:t>(2024年度)</w:t>
            </w:r>
          </w:p>
        </w:tc>
      </w:tr>
      <w:tr w14:paraId="7635B11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9C140">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C4DC0A3">
            <w:pPr>
              <w:jc w:val="center"/>
            </w:pPr>
            <w:r>
              <w:rPr>
                <w:rFonts w:ascii="宋体" w:hAnsi="宋体" w:eastAsia="宋体"/>
                <w:sz w:val="16"/>
              </w:rPr>
              <w:t>2024年特定类项目</w:t>
            </w:r>
            <w:bookmarkStart w:id="0" w:name="_GoBack"/>
            <w:r>
              <w:rPr>
                <w:rFonts w:hint="eastAsia" w:ascii="宋体" w:hAnsi="宋体"/>
                <w:sz w:val="16"/>
                <w:lang w:eastAsia="zh-CN"/>
              </w:rPr>
              <w:t>－</w:t>
            </w:r>
            <w:bookmarkEnd w:id="0"/>
            <w:r>
              <w:rPr>
                <w:rFonts w:ascii="宋体" w:hAnsi="宋体" w:eastAsia="宋体"/>
                <w:sz w:val="16"/>
              </w:rPr>
              <w:t>民丰县乡村振兴局</w:t>
            </w:r>
          </w:p>
        </w:tc>
      </w:tr>
      <w:tr w14:paraId="2398FB8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44C69">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217C1A0">
            <w:pPr>
              <w:jc w:val="center"/>
            </w:pPr>
            <w:r>
              <w:rPr>
                <w:rFonts w:ascii="宋体" w:hAnsi="宋体" w:eastAsia="宋体"/>
                <w:sz w:val="16"/>
              </w:rPr>
              <w:t>民丰县乡村振兴局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656B3">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9E05BD4">
            <w:pPr>
              <w:jc w:val="center"/>
            </w:pPr>
            <w:r>
              <w:rPr>
                <w:rFonts w:ascii="宋体" w:hAnsi="宋体" w:eastAsia="宋体"/>
                <w:sz w:val="16"/>
              </w:rPr>
              <w:t>民丰县乡村振兴局</w:t>
            </w:r>
          </w:p>
        </w:tc>
      </w:tr>
      <w:tr w14:paraId="4994F92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8D8C34">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4F722">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D48D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0B345">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66A5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5D675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8ED20B">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BF368">
            <w:pPr>
              <w:jc w:val="center"/>
            </w:pPr>
            <w:r>
              <w:rPr>
                <w:rFonts w:ascii="宋体" w:hAnsi="宋体" w:eastAsia="宋体"/>
                <w:sz w:val="16"/>
              </w:rPr>
              <w:t>得分</w:t>
            </w:r>
          </w:p>
        </w:tc>
      </w:tr>
      <w:tr w14:paraId="092561A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AE26B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EBF1F">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0C72F7">
            <w:pPr>
              <w:jc w:val="center"/>
            </w:pPr>
            <w:r>
              <w:rPr>
                <w:rFonts w:ascii="宋体" w:hAnsi="宋体" w:eastAsia="宋体"/>
                <w:sz w:val="16"/>
              </w:rPr>
              <w:t>0.86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980EA">
            <w:pPr>
              <w:jc w:val="center"/>
            </w:pPr>
            <w:r>
              <w:rPr>
                <w:rFonts w:ascii="宋体" w:hAnsi="宋体" w:eastAsia="宋体"/>
                <w:sz w:val="16"/>
              </w:rPr>
              <w:t>0.86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9EFD34">
            <w:pPr>
              <w:jc w:val="center"/>
            </w:pPr>
            <w:r>
              <w:rPr>
                <w:rFonts w:ascii="宋体" w:hAnsi="宋体" w:eastAsia="宋体"/>
                <w:sz w:val="16"/>
              </w:rPr>
              <w:t>0.75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443C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6CBCD5">
            <w:pPr>
              <w:jc w:val="center"/>
            </w:pPr>
            <w:r>
              <w:rPr>
                <w:rFonts w:ascii="宋体" w:hAnsi="宋体" w:eastAsia="宋体"/>
                <w:sz w:val="16"/>
              </w:rPr>
              <w:t xml:space="preserve">87.21%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BC85F">
            <w:pPr>
              <w:jc w:val="center"/>
            </w:pPr>
            <w:r>
              <w:rPr>
                <w:rFonts w:ascii="宋体" w:hAnsi="宋体" w:eastAsia="宋体"/>
                <w:sz w:val="16"/>
              </w:rPr>
              <w:t>6.80分</w:t>
            </w:r>
          </w:p>
        </w:tc>
      </w:tr>
      <w:tr w14:paraId="6518075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D8EF7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CA955">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355D9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4E6B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6962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3195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9563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3C5582">
            <w:pPr>
              <w:jc w:val="center"/>
            </w:pPr>
            <w:r>
              <w:rPr>
                <w:rFonts w:ascii="宋体" w:hAnsi="宋体" w:eastAsia="宋体"/>
                <w:sz w:val="16"/>
              </w:rPr>
              <w:t>—</w:t>
            </w:r>
          </w:p>
        </w:tc>
      </w:tr>
      <w:tr w14:paraId="44490B0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BAA2D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F05CA">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F4AF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72C74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7321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9E89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91C7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4C7C3D">
            <w:pPr>
              <w:jc w:val="center"/>
            </w:pPr>
            <w:r>
              <w:rPr>
                <w:rFonts w:ascii="宋体" w:hAnsi="宋体" w:eastAsia="宋体"/>
                <w:sz w:val="16"/>
              </w:rPr>
              <w:t>—</w:t>
            </w:r>
          </w:p>
        </w:tc>
      </w:tr>
      <w:tr w14:paraId="51BDC6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0F1B5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9977D">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B5C4B">
            <w:pPr>
              <w:jc w:val="center"/>
            </w:pPr>
            <w:r>
              <w:rPr>
                <w:rFonts w:ascii="宋体" w:hAnsi="宋体" w:eastAsia="宋体"/>
                <w:sz w:val="16"/>
              </w:rPr>
              <w:t>0.86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AFE106">
            <w:pPr>
              <w:jc w:val="center"/>
            </w:pPr>
            <w:r>
              <w:rPr>
                <w:rFonts w:ascii="宋体" w:hAnsi="宋体" w:eastAsia="宋体"/>
                <w:sz w:val="16"/>
              </w:rPr>
              <w:t>0.86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8B99F2">
            <w:pPr>
              <w:jc w:val="center"/>
            </w:pPr>
            <w:r>
              <w:rPr>
                <w:rFonts w:ascii="宋体" w:hAnsi="宋体" w:eastAsia="宋体"/>
                <w:sz w:val="16"/>
              </w:rPr>
              <w:t>0.75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4BD1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5BA94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96EC7">
            <w:pPr>
              <w:jc w:val="center"/>
            </w:pPr>
            <w:r>
              <w:rPr>
                <w:rFonts w:ascii="宋体" w:hAnsi="宋体" w:eastAsia="宋体"/>
                <w:sz w:val="16"/>
              </w:rPr>
              <w:t>—</w:t>
            </w:r>
          </w:p>
        </w:tc>
      </w:tr>
      <w:tr w14:paraId="4A48149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7C046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79039F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747F77">
            <w:pPr>
              <w:jc w:val="center"/>
            </w:pPr>
            <w:r>
              <w:rPr>
                <w:rFonts w:ascii="宋体" w:hAnsi="宋体" w:eastAsia="宋体"/>
                <w:sz w:val="16"/>
              </w:rPr>
              <w:t>实际完成情况</w:t>
            </w:r>
          </w:p>
        </w:tc>
      </w:tr>
      <w:tr w14:paraId="65299AC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70913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C50B68B">
            <w:pPr>
              <w:jc w:val="both"/>
            </w:pPr>
            <w:r>
              <w:rPr>
                <w:rFonts w:ascii="宋体" w:hAnsi="宋体" w:eastAsia="宋体"/>
                <w:sz w:val="16"/>
              </w:rPr>
              <w:t>根据项目实施方案，开展本项目。主要内容：保障单位全年正常运转，采购办公耗材5次。通过项目实施，有效保障单位日常工作正常开展。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ABF6CB">
            <w:pPr>
              <w:jc w:val="both"/>
            </w:pPr>
            <w:r>
              <w:rPr>
                <w:rFonts w:ascii="宋体" w:hAnsi="宋体" w:eastAsia="宋体"/>
                <w:sz w:val="16"/>
              </w:rPr>
              <w:t>用于支付加油费0.4万元，用于支付通讯费用0.35万元，合计支出0.75万元，采购办公耗材批次 5次。有效保障单位日常工作正常开展。</w:t>
            </w:r>
            <w:r>
              <w:rPr>
                <w:rFonts w:ascii="宋体" w:hAnsi="宋体" w:eastAsia="宋体"/>
                <w:sz w:val="16"/>
              </w:rPr>
              <w:br w:type="textWrapping"/>
            </w:r>
          </w:p>
        </w:tc>
      </w:tr>
      <w:tr w14:paraId="782AAAF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8941A5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A978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B54C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76C16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F50A6">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99BF1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8FAA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94474">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C19EC">
            <w:pPr>
              <w:jc w:val="center"/>
            </w:pPr>
            <w:r>
              <w:rPr>
                <w:rFonts w:ascii="宋体" w:hAnsi="宋体" w:eastAsia="宋体"/>
                <w:sz w:val="16"/>
              </w:rPr>
              <w:t>偏差原因分析及改进措施</w:t>
            </w:r>
          </w:p>
        </w:tc>
      </w:tr>
      <w:tr w14:paraId="09DDD55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0FD8EC">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A21746">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C5E6A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FFA09B">
            <w:pPr>
              <w:jc w:val="center"/>
            </w:pPr>
            <w:r>
              <w:rPr>
                <w:rFonts w:ascii="宋体" w:hAnsi="宋体" w:eastAsia="宋体"/>
                <w:sz w:val="16"/>
              </w:rPr>
              <w:t>采购办公耗材批次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8C2A5">
            <w:pPr>
              <w:jc w:val="center"/>
            </w:pPr>
            <w:r>
              <w:rPr>
                <w:rFonts w:ascii="宋体" w:hAnsi="宋体" w:eastAsia="宋体"/>
                <w:sz w:val="16"/>
              </w:rPr>
              <w:t>&gt;=5次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C02800">
            <w:pPr>
              <w:jc w:val="center"/>
            </w:pPr>
            <w:r>
              <w:rPr>
                <w:rFonts w:ascii="宋体" w:hAnsi="宋体" w:eastAsia="宋体"/>
                <w:sz w:val="16"/>
              </w:rPr>
              <w:t>=5次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DE342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CC973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FE4EB">
            <w:pPr>
              <w:jc w:val="center"/>
            </w:pPr>
          </w:p>
        </w:tc>
      </w:tr>
      <w:tr w14:paraId="1D1BDA8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AEBA8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4F504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40793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947F7">
            <w:pPr>
              <w:jc w:val="center"/>
            </w:pPr>
            <w:r>
              <w:rPr>
                <w:rFonts w:ascii="宋体" w:hAnsi="宋体" w:eastAsia="宋体"/>
                <w:sz w:val="16"/>
              </w:rPr>
              <w:t>保障单位正常运转期限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753C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D5397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5225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3B4B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3D55A5">
            <w:pPr>
              <w:jc w:val="center"/>
            </w:pPr>
          </w:p>
        </w:tc>
      </w:tr>
      <w:tr w14:paraId="38768CB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3D70A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D58C9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6291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548938">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5C77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4841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18DA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B3A19">
            <w:pPr>
              <w:jc w:val="center"/>
            </w:pPr>
            <w:r>
              <w:rPr>
                <w:rFonts w:ascii="宋体" w:hAnsi="宋体" w:eastAsia="宋体"/>
                <w:sz w:val="16"/>
              </w:rPr>
              <w:t>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3B719F">
            <w:pPr>
              <w:jc w:val="center"/>
            </w:pPr>
            <w:r>
              <w:rPr>
                <w:rFonts w:ascii="宋体" w:hAnsi="宋体" w:eastAsia="宋体"/>
                <w:sz w:val="16"/>
              </w:rPr>
              <w:t>偏差原因：项目已完成，剩余资金结余；改进措施：加强预算管理。</w:t>
            </w:r>
          </w:p>
        </w:tc>
      </w:tr>
      <w:tr w14:paraId="339871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66F49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3E3C6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3A3B9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0F3DD1">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C5C3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97B9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906A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0E469">
            <w:pPr>
              <w:jc w:val="center"/>
            </w:pPr>
            <w:r>
              <w:rPr>
                <w:rFonts w:ascii="宋体" w:hAnsi="宋体" w:eastAsia="宋体"/>
                <w:sz w:val="16"/>
              </w:rPr>
              <w:t>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CBDBCB">
            <w:pPr>
              <w:jc w:val="center"/>
            </w:pPr>
            <w:r>
              <w:rPr>
                <w:rFonts w:ascii="宋体" w:hAnsi="宋体" w:eastAsia="宋体"/>
                <w:sz w:val="16"/>
              </w:rPr>
              <w:t>偏差原因：项目已完成，剩余资金结余；改进措施：加强预算管理。</w:t>
            </w:r>
          </w:p>
        </w:tc>
      </w:tr>
      <w:tr w14:paraId="1EC181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8928E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78BC8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B7F2A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0E965">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A24D4">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151B2">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C575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6B78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65190">
            <w:pPr>
              <w:jc w:val="center"/>
            </w:pPr>
          </w:p>
        </w:tc>
      </w:tr>
      <w:tr w14:paraId="795F6FA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8C29F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7E36D">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C9C930">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45B02">
            <w:pPr>
              <w:jc w:val="center"/>
            </w:pPr>
            <w:r>
              <w:rPr>
                <w:rFonts w:ascii="宋体" w:hAnsi="宋体" w:eastAsia="宋体"/>
                <w:sz w:val="16"/>
              </w:rPr>
              <w:t>保障单位日常工作正常开展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F92CC">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9FD57A">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0D667">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ED148">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6B6E4">
            <w:pPr>
              <w:jc w:val="center"/>
            </w:pPr>
          </w:p>
        </w:tc>
      </w:tr>
      <w:tr w14:paraId="6C2818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A0CBD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F3D5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D3C93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70A348">
            <w:pPr>
              <w:jc w:val="center"/>
            </w:pPr>
            <w:r>
              <w:rPr>
                <w:rFonts w:ascii="宋体" w:hAnsi="宋体" w:eastAsia="宋体"/>
                <w:sz w:val="16"/>
              </w:rPr>
              <w:t>工作人员满意度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92F98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E6F37">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D07F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54BC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DF23E">
            <w:pPr>
              <w:jc w:val="center"/>
            </w:pPr>
          </w:p>
        </w:tc>
      </w:tr>
      <w:tr w14:paraId="0119C2F4">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C4C67D">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919B75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DEC2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EC2B0">
            <w:pPr>
              <w:jc w:val="center"/>
            </w:pPr>
            <w:r>
              <w:rPr>
                <w:rFonts w:ascii="宋体" w:hAnsi="宋体" w:eastAsia="宋体"/>
                <w:sz w:val="16"/>
              </w:rPr>
              <w:t>90.4分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E90BD6F"/>
        </w:tc>
      </w:tr>
    </w:tbl>
    <w:p w14:paraId="05EBBB35">
      <w:r>
        <w:br w:type="page"/>
      </w:r>
    </w:p>
    <w:p w14:paraId="7D7D375A">
      <w:pPr>
        <w:spacing w:line="640" w:lineRule="exact"/>
        <w:ind w:firstLine="640"/>
        <w:jc w:val="both"/>
        <w:outlineLvl w:val="2"/>
      </w:pPr>
      <w:r>
        <w:rPr>
          <w:rFonts w:ascii="黑体" w:hAnsi="黑体" w:eastAsia="黑体"/>
          <w:sz w:val="32"/>
        </w:rPr>
        <w:t>十二、其他需说明的事项</w:t>
      </w:r>
    </w:p>
    <w:p w14:paraId="64795DEB">
      <w:pPr>
        <w:spacing w:line="580" w:lineRule="exact"/>
        <w:ind w:firstLine="640"/>
        <w:jc w:val="both"/>
      </w:pPr>
      <w:r>
        <w:rPr>
          <w:rFonts w:ascii="仿宋_GB2312" w:hAnsi="仿宋_GB2312" w:eastAsia="仿宋_GB2312"/>
          <w:b w:val="0"/>
          <w:sz w:val="32"/>
        </w:rPr>
        <w:t>本单位无其他需说明的事项。</w:t>
      </w:r>
    </w:p>
    <w:p w14:paraId="577E3619">
      <w:r>
        <w:br w:type="page"/>
      </w:r>
    </w:p>
    <w:p w14:paraId="23890338">
      <w:pPr>
        <w:spacing w:line="240" w:lineRule="auto"/>
        <w:jc w:val="center"/>
        <w:outlineLvl w:val="1"/>
      </w:pPr>
      <w:r>
        <w:rPr>
          <w:rFonts w:ascii="黑体" w:hAnsi="黑体" w:eastAsia="黑体"/>
          <w:sz w:val="32"/>
        </w:rPr>
        <w:t>第三部分 专业名词解释</w:t>
      </w:r>
    </w:p>
    <w:p w14:paraId="462D728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F565FB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5F1028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7C9A6F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4539A1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A586B7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E2DF12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7B07EA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477021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60D8AB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7572FB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3A79A9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5723B9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6DB3B1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E9B67C6">
      <w:r>
        <w:br w:type="page"/>
      </w:r>
    </w:p>
    <w:p w14:paraId="311365B5">
      <w:pPr>
        <w:spacing w:line="240" w:lineRule="auto"/>
        <w:jc w:val="center"/>
        <w:outlineLvl w:val="1"/>
      </w:pPr>
      <w:r>
        <w:rPr>
          <w:rFonts w:ascii="黑体" w:hAnsi="黑体" w:eastAsia="黑体"/>
          <w:sz w:val="32"/>
        </w:rPr>
        <w:t>第四部分 部门决算报表（见附表）</w:t>
      </w:r>
    </w:p>
    <w:p w14:paraId="5F33E747">
      <w:pPr>
        <w:spacing w:line="240" w:lineRule="auto"/>
        <w:ind w:firstLine="640"/>
        <w:jc w:val="both"/>
      </w:pPr>
      <w:r>
        <w:rPr>
          <w:rFonts w:ascii="仿宋_GB2312" w:hAnsi="仿宋_GB2312" w:eastAsia="仿宋_GB2312"/>
          <w:b w:val="0"/>
          <w:sz w:val="32"/>
        </w:rPr>
        <w:t>一、《收入支出决算总表》</w:t>
      </w:r>
    </w:p>
    <w:p w14:paraId="136D5737">
      <w:pPr>
        <w:spacing w:line="240" w:lineRule="auto"/>
        <w:ind w:firstLine="640"/>
        <w:jc w:val="both"/>
      </w:pPr>
      <w:r>
        <w:rPr>
          <w:rFonts w:ascii="仿宋_GB2312" w:hAnsi="仿宋_GB2312" w:eastAsia="仿宋_GB2312"/>
          <w:b w:val="0"/>
          <w:sz w:val="32"/>
        </w:rPr>
        <w:t>二、《收入决算表》</w:t>
      </w:r>
    </w:p>
    <w:p w14:paraId="6349508A">
      <w:pPr>
        <w:spacing w:line="240" w:lineRule="auto"/>
        <w:ind w:firstLine="640"/>
        <w:jc w:val="both"/>
      </w:pPr>
      <w:r>
        <w:rPr>
          <w:rFonts w:ascii="仿宋_GB2312" w:hAnsi="仿宋_GB2312" w:eastAsia="仿宋_GB2312"/>
          <w:b w:val="0"/>
          <w:sz w:val="32"/>
        </w:rPr>
        <w:t>三、《支出决算表》</w:t>
      </w:r>
    </w:p>
    <w:p w14:paraId="1FDDE06A">
      <w:pPr>
        <w:spacing w:line="240" w:lineRule="auto"/>
        <w:ind w:firstLine="640"/>
        <w:jc w:val="both"/>
      </w:pPr>
      <w:r>
        <w:rPr>
          <w:rFonts w:ascii="仿宋_GB2312" w:hAnsi="仿宋_GB2312" w:eastAsia="仿宋_GB2312"/>
          <w:b w:val="0"/>
          <w:sz w:val="32"/>
        </w:rPr>
        <w:t>四、《财政拨款收入支出决算总表》</w:t>
      </w:r>
    </w:p>
    <w:p w14:paraId="1AFF4C1A">
      <w:pPr>
        <w:spacing w:line="240" w:lineRule="auto"/>
        <w:ind w:firstLine="640"/>
        <w:jc w:val="both"/>
      </w:pPr>
      <w:r>
        <w:rPr>
          <w:rFonts w:ascii="仿宋_GB2312" w:hAnsi="仿宋_GB2312" w:eastAsia="仿宋_GB2312"/>
          <w:b w:val="0"/>
          <w:sz w:val="32"/>
        </w:rPr>
        <w:t>五、《一般公共预算财政拨款支出决算表》</w:t>
      </w:r>
    </w:p>
    <w:p w14:paraId="799C022C">
      <w:pPr>
        <w:spacing w:line="240" w:lineRule="auto"/>
        <w:ind w:firstLine="640"/>
        <w:jc w:val="both"/>
      </w:pPr>
      <w:r>
        <w:rPr>
          <w:rFonts w:ascii="仿宋_GB2312" w:hAnsi="仿宋_GB2312" w:eastAsia="仿宋_GB2312"/>
          <w:b w:val="0"/>
          <w:sz w:val="32"/>
        </w:rPr>
        <w:t>六、《一般公共预算财政拨款基本支出决算表》</w:t>
      </w:r>
    </w:p>
    <w:p w14:paraId="2F321DB8">
      <w:pPr>
        <w:spacing w:line="240" w:lineRule="auto"/>
        <w:ind w:firstLine="640"/>
        <w:jc w:val="both"/>
      </w:pPr>
      <w:r>
        <w:rPr>
          <w:rFonts w:ascii="仿宋_GB2312" w:hAnsi="仿宋_GB2312" w:eastAsia="仿宋_GB2312"/>
          <w:b w:val="0"/>
          <w:sz w:val="32"/>
        </w:rPr>
        <w:t>七、《政府性基金预算财政拨款收入支出决算表》</w:t>
      </w:r>
    </w:p>
    <w:p w14:paraId="6AF5E19B">
      <w:pPr>
        <w:spacing w:line="240" w:lineRule="auto"/>
        <w:ind w:firstLine="640"/>
        <w:jc w:val="both"/>
      </w:pPr>
      <w:r>
        <w:rPr>
          <w:rFonts w:ascii="仿宋_GB2312" w:hAnsi="仿宋_GB2312" w:eastAsia="仿宋_GB2312"/>
          <w:b w:val="0"/>
          <w:sz w:val="32"/>
        </w:rPr>
        <w:t>八、《国有资本经营预算财政拨款收入支出决算表》</w:t>
      </w:r>
    </w:p>
    <w:p w14:paraId="1A5E0837">
      <w:pPr>
        <w:spacing w:line="240" w:lineRule="auto"/>
        <w:ind w:firstLine="640"/>
        <w:jc w:val="both"/>
      </w:pPr>
      <w:r>
        <w:rPr>
          <w:rFonts w:ascii="仿宋_GB2312" w:hAnsi="仿宋_GB2312" w:eastAsia="仿宋_GB2312"/>
          <w:b w:val="0"/>
          <w:sz w:val="32"/>
        </w:rPr>
        <w:t>九、《财政拨款“三公”经费支出决算表》</w:t>
      </w:r>
    </w:p>
    <w:p w14:paraId="3EAAB9E9">
      <w:pPr>
        <w:spacing w:line="240" w:lineRule="auto"/>
        <w:ind w:firstLine="640"/>
        <w:jc w:val="both"/>
      </w:pPr>
    </w:p>
    <w:p w14:paraId="19CEC9D9">
      <w:pPr>
        <w:spacing w:line="240" w:lineRule="auto"/>
        <w:ind w:firstLine="640"/>
        <w:jc w:val="both"/>
      </w:pPr>
    </w:p>
    <w:p w14:paraId="19517D34">
      <w:pPr>
        <w:spacing w:line="240" w:lineRule="auto"/>
        <w:ind w:firstLine="640"/>
        <w:jc w:val="both"/>
      </w:pPr>
    </w:p>
    <w:p w14:paraId="4FCB069B">
      <w:pPr>
        <w:spacing w:line="240" w:lineRule="auto"/>
        <w:ind w:firstLine="640"/>
        <w:jc w:val="both"/>
      </w:pPr>
    </w:p>
    <w:p w14:paraId="629E75C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8B20D77"/>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EA01B0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7965</Words>
  <Characters>8920</Characters>
  <Lines>0</Lines>
  <Paragraphs>0</Paragraphs>
  <TotalTime>5</TotalTime>
  <ScaleCrop>false</ScaleCrop>
  <LinksUpToDate>false</LinksUpToDate>
  <CharactersWithSpaces>8941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2025-09-25T03:32:57Z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