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8E80C7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中国共产党民丰县纪律检查委员会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64DCCA">
      <w:r>
        <w:br w:type="page"/>
      </w:r>
    </w:p>
    <w:p w14:paraId="37DFF0CE">
      <w:pPr>
        <w:spacing w:line="640" w:lineRule="exact"/>
        <w:jc w:val="center"/>
        <w:outlineLvl w:val="1"/>
      </w:pPr>
      <w:r>
        <w:rPr>
          <w:rFonts w:ascii="黑体" w:hAnsi="黑体" w:eastAsia="黑体"/>
          <w:sz w:val="32"/>
        </w:rPr>
        <w:t>第一部分 单位概况</w:t>
      </w:r>
    </w:p>
    <w:p w14:paraId="6374D6A5">
      <w:pPr>
        <w:spacing w:line="640" w:lineRule="exact"/>
        <w:ind w:firstLine="640"/>
        <w:jc w:val="both"/>
        <w:outlineLvl w:val="2"/>
      </w:pPr>
      <w:r>
        <w:rPr>
          <w:rFonts w:ascii="黑体" w:hAnsi="黑体" w:eastAsia="黑体"/>
          <w:sz w:val="32"/>
        </w:rPr>
        <w:t>一、主要职能</w:t>
      </w:r>
    </w:p>
    <w:p w14:paraId="76E9EF5C">
      <w:pPr>
        <w:spacing w:line="580" w:lineRule="exact"/>
        <w:ind w:firstLine="640"/>
        <w:jc w:val="both"/>
      </w:pPr>
      <w:r>
        <w:rPr>
          <w:rFonts w:ascii="仿宋_GB2312" w:hAnsi="仿宋_GB2312" w:eastAsia="仿宋_GB2312"/>
          <w:sz w:val="32"/>
        </w:rPr>
        <w:t>中共民丰县纪律检查委员会是党的纪律检查机关。民丰县监察委员会是国家监察机关。县纪委和监委合署办公，实行一套工作机构，两个机关名称，履行纪检，监察两项职责，对地区纪委监委和县委负责，同时县监委对人民代表大会及其常务委员会负责，并接受其监督。</w:t>
      </w:r>
    </w:p>
    <w:p w14:paraId="33158E4E">
      <w:pPr>
        <w:spacing w:line="640" w:lineRule="exact"/>
        <w:ind w:firstLine="640"/>
        <w:jc w:val="both"/>
        <w:outlineLvl w:val="2"/>
      </w:pPr>
      <w:r>
        <w:rPr>
          <w:rFonts w:ascii="黑体" w:hAnsi="黑体" w:eastAsia="黑体"/>
          <w:sz w:val="32"/>
        </w:rPr>
        <w:t>二、机构设置及人员情况</w:t>
      </w:r>
    </w:p>
    <w:p w14:paraId="4CB8A2DE">
      <w:pPr>
        <w:spacing w:line="580" w:lineRule="exact"/>
        <w:ind w:firstLine="640"/>
        <w:jc w:val="both"/>
      </w:pPr>
      <w:r>
        <w:rPr>
          <w:rFonts w:ascii="仿宋_GB2312" w:hAnsi="仿宋_GB2312" w:eastAsia="仿宋_GB2312"/>
          <w:sz w:val="32"/>
        </w:rPr>
        <w:t>中国共产党民丰县纪律检查委员会2024年度，实有人数113人，其中：在职人员105人，增加5人；离休人员0人，增加0人；退休人员8人</w:t>
      </w:r>
      <w:bookmarkStart w:id="0" w:name="_GoBack"/>
      <w:r>
        <w:rPr>
          <w:rFonts w:ascii="仿宋_GB2312" w:hAnsi="仿宋_GB2312" w:eastAsia="仿宋_GB2312"/>
          <w:sz w:val="32"/>
        </w:rPr>
        <w:t>,</w:t>
      </w:r>
      <w:bookmarkEnd w:id="0"/>
      <w:r>
        <w:rPr>
          <w:rFonts w:ascii="仿宋_GB2312" w:hAnsi="仿宋_GB2312" w:eastAsia="仿宋_GB2312"/>
          <w:sz w:val="32"/>
        </w:rPr>
        <w:t>增加1人。</w:t>
      </w:r>
    </w:p>
    <w:p w14:paraId="1FE286E9">
      <w:pPr>
        <w:spacing w:line="580" w:lineRule="exact"/>
        <w:ind w:firstLine="640"/>
        <w:jc w:val="both"/>
      </w:pPr>
      <w:r>
        <w:rPr>
          <w:rFonts w:ascii="仿宋_GB2312" w:hAnsi="仿宋_GB2312" w:eastAsia="仿宋_GB2312"/>
          <w:sz w:val="32"/>
        </w:rPr>
        <w:t>中国共产党民丰县纪律检查委员会无下属预算单位，下设6个科室，分别是：办公室、组宣部、党风政风监督室、信访室（案件监督管理室）、第一纪检监察室、案件审理室。</w:t>
      </w:r>
    </w:p>
    <w:p w14:paraId="37177AC3">
      <w:r>
        <w:br w:type="page"/>
      </w:r>
    </w:p>
    <w:p w14:paraId="5A4B14D4">
      <w:pPr>
        <w:spacing w:line="240" w:lineRule="auto"/>
        <w:jc w:val="center"/>
        <w:outlineLvl w:val="1"/>
      </w:pPr>
      <w:r>
        <w:rPr>
          <w:rFonts w:ascii="黑体" w:hAnsi="黑体" w:eastAsia="黑体"/>
          <w:sz w:val="32"/>
        </w:rPr>
        <w:t>第二部分 部门决算情况说明</w:t>
      </w:r>
    </w:p>
    <w:p w14:paraId="55AC0493">
      <w:pPr>
        <w:spacing w:line="640" w:lineRule="exact"/>
        <w:ind w:firstLine="640"/>
        <w:jc w:val="both"/>
        <w:outlineLvl w:val="2"/>
      </w:pPr>
      <w:r>
        <w:rPr>
          <w:rFonts w:ascii="黑体" w:hAnsi="黑体" w:eastAsia="黑体"/>
          <w:sz w:val="32"/>
        </w:rPr>
        <w:t>一、收入支出决算总体情况说明</w:t>
      </w:r>
    </w:p>
    <w:p w14:paraId="3172CA64">
      <w:pPr>
        <w:spacing w:line="580" w:lineRule="exact"/>
        <w:ind w:firstLine="640"/>
        <w:jc w:val="both"/>
      </w:pPr>
      <w:r>
        <w:rPr>
          <w:rFonts w:ascii="仿宋_GB2312" w:hAnsi="仿宋_GB2312" w:eastAsia="仿宋_GB2312"/>
          <w:b/>
          <w:sz w:val="32"/>
        </w:rPr>
        <w:t>2024年度收入总计3,263.40万元，</w:t>
      </w:r>
      <w:r>
        <w:rPr>
          <w:rFonts w:ascii="仿宋_GB2312" w:hAnsi="仿宋_GB2312" w:eastAsia="仿宋_GB2312"/>
          <w:b w:val="0"/>
          <w:sz w:val="32"/>
        </w:rPr>
        <w:t>其中：本年收入合计3,248.70万元，使用非财政拨款结余（含专用结余）0.00万元，年初结转和结余14.69万元。</w:t>
      </w:r>
    </w:p>
    <w:p w14:paraId="08472934">
      <w:pPr>
        <w:spacing w:line="580" w:lineRule="exact"/>
        <w:ind w:firstLine="640"/>
        <w:jc w:val="both"/>
      </w:pPr>
      <w:r>
        <w:rPr>
          <w:rFonts w:ascii="仿宋_GB2312" w:hAnsi="仿宋_GB2312" w:eastAsia="仿宋_GB2312"/>
          <w:b/>
          <w:sz w:val="32"/>
        </w:rPr>
        <w:t>2024年度支出总计3,263.40万元，</w:t>
      </w:r>
      <w:r>
        <w:rPr>
          <w:rFonts w:ascii="仿宋_GB2312" w:hAnsi="仿宋_GB2312" w:eastAsia="仿宋_GB2312"/>
          <w:b w:val="0"/>
          <w:sz w:val="32"/>
        </w:rPr>
        <w:t>其中：本年支出合计3,257.14万元，结余分配0.00万元，年末结转和结余6.25万元。</w:t>
      </w:r>
    </w:p>
    <w:p w14:paraId="385EBD1B">
      <w:pPr>
        <w:spacing w:line="580" w:lineRule="exact"/>
        <w:ind w:firstLine="640"/>
        <w:jc w:val="both"/>
      </w:pPr>
      <w:r>
        <w:rPr>
          <w:rFonts w:ascii="仿宋_GB2312" w:hAnsi="仿宋_GB2312" w:eastAsia="仿宋_GB2312"/>
          <w:b w:val="0"/>
          <w:sz w:val="32"/>
        </w:rPr>
        <w:t>收入支出总体与上年相比，增加879.75万元，增长36.91%，主要原因是：一是本年在职人员增加，在职人员工资调增、社保、公积金基数调增，人员经费增加；二是本年民丰县青少年法治教育实践基地消防水池建设项目，民丰县青少年法治教育实践基地建设项目较上年增加。</w:t>
      </w:r>
    </w:p>
    <w:p w14:paraId="0E6BD19E">
      <w:pPr>
        <w:spacing w:line="640" w:lineRule="exact"/>
        <w:ind w:firstLine="640"/>
        <w:jc w:val="both"/>
        <w:outlineLvl w:val="2"/>
      </w:pPr>
      <w:r>
        <w:rPr>
          <w:rFonts w:ascii="黑体" w:hAnsi="黑体" w:eastAsia="黑体"/>
          <w:sz w:val="32"/>
        </w:rPr>
        <w:t>二、收入决算情况说明</w:t>
      </w:r>
    </w:p>
    <w:p w14:paraId="37541378">
      <w:pPr>
        <w:spacing w:line="580" w:lineRule="exact"/>
        <w:ind w:firstLine="640"/>
        <w:jc w:val="both"/>
      </w:pPr>
      <w:r>
        <w:rPr>
          <w:rFonts w:ascii="仿宋_GB2312" w:hAnsi="仿宋_GB2312" w:eastAsia="仿宋_GB2312"/>
          <w:b/>
          <w:sz w:val="32"/>
        </w:rPr>
        <w:t>本年收入3,248.70万元，</w:t>
      </w:r>
      <w:r>
        <w:rPr>
          <w:rFonts w:ascii="仿宋_GB2312" w:hAnsi="仿宋_GB2312" w:eastAsia="仿宋_GB2312"/>
          <w:b w:val="0"/>
          <w:sz w:val="32"/>
        </w:rPr>
        <w:t>其中：财政拨款收入2,516.37万元，占77.46%；上级补助收入0.00万元，占0.00%；事业收入0.00万元，占0.00%；经营收入0.00万元，占0.00%；附属单位上缴收入0.00万元，占0.00%；其他收入732.33万元，占22.54%。</w:t>
      </w:r>
    </w:p>
    <w:p w14:paraId="23F2E92D">
      <w:pPr>
        <w:spacing w:line="640" w:lineRule="exact"/>
        <w:ind w:firstLine="640"/>
        <w:jc w:val="both"/>
        <w:outlineLvl w:val="2"/>
      </w:pPr>
      <w:r>
        <w:rPr>
          <w:rFonts w:ascii="黑体" w:hAnsi="黑体" w:eastAsia="黑体"/>
          <w:sz w:val="32"/>
        </w:rPr>
        <w:t>三、支出决算情况说明</w:t>
      </w:r>
    </w:p>
    <w:p w14:paraId="4EF9E5CA">
      <w:pPr>
        <w:spacing w:line="580" w:lineRule="exact"/>
        <w:ind w:firstLine="640"/>
        <w:jc w:val="both"/>
      </w:pPr>
      <w:r>
        <w:rPr>
          <w:rFonts w:ascii="仿宋_GB2312" w:hAnsi="仿宋_GB2312" w:eastAsia="仿宋_GB2312"/>
          <w:b/>
          <w:sz w:val="32"/>
        </w:rPr>
        <w:t>本年支出3,257.14万元，</w:t>
      </w:r>
      <w:r>
        <w:rPr>
          <w:rFonts w:ascii="仿宋_GB2312" w:hAnsi="仿宋_GB2312" w:eastAsia="仿宋_GB2312"/>
          <w:b w:val="0"/>
          <w:sz w:val="32"/>
        </w:rPr>
        <w:t>其中：基本支出2,263.35万元，占69.49%；项目支出993.79万元，占30.51%；上缴上级支出0.00万元，占0.00%；经营支出0.00万元，占0.00%；对附属单位补助支出0.00万元，占0.00%。</w:t>
      </w:r>
    </w:p>
    <w:p w14:paraId="012F302C">
      <w:pPr>
        <w:spacing w:line="640" w:lineRule="exact"/>
        <w:ind w:firstLine="640"/>
        <w:jc w:val="both"/>
        <w:outlineLvl w:val="2"/>
      </w:pPr>
      <w:r>
        <w:rPr>
          <w:rFonts w:ascii="黑体" w:hAnsi="黑体" w:eastAsia="黑体"/>
          <w:sz w:val="32"/>
        </w:rPr>
        <w:t>四、财政拨款收入支出决算总体情况说明</w:t>
      </w:r>
    </w:p>
    <w:p w14:paraId="60EA83DF">
      <w:pPr>
        <w:spacing w:line="580" w:lineRule="exact"/>
        <w:ind w:firstLine="640"/>
        <w:jc w:val="both"/>
      </w:pPr>
      <w:r>
        <w:rPr>
          <w:rFonts w:ascii="仿宋_GB2312" w:hAnsi="仿宋_GB2312" w:eastAsia="仿宋_GB2312"/>
          <w:b/>
          <w:sz w:val="32"/>
        </w:rPr>
        <w:t>2024年度财政拨款收入总计2,516.37万元，</w:t>
      </w:r>
      <w:r>
        <w:rPr>
          <w:rFonts w:ascii="仿宋_GB2312" w:hAnsi="仿宋_GB2312" w:eastAsia="仿宋_GB2312"/>
          <w:b w:val="0"/>
          <w:sz w:val="32"/>
        </w:rPr>
        <w:t>其中：年初财政拨款结转和结余0.00万元，本年财政拨款收入2,516.37万元。</w:t>
      </w:r>
      <w:r>
        <w:rPr>
          <w:rFonts w:ascii="仿宋_GB2312" w:hAnsi="仿宋_GB2312" w:eastAsia="仿宋_GB2312"/>
          <w:b/>
          <w:sz w:val="32"/>
        </w:rPr>
        <w:t>财政拨款支出总计2,516.37万元，</w:t>
      </w:r>
      <w:r>
        <w:rPr>
          <w:rFonts w:ascii="仿宋_GB2312" w:hAnsi="仿宋_GB2312" w:eastAsia="仿宋_GB2312"/>
          <w:b w:val="0"/>
          <w:sz w:val="32"/>
        </w:rPr>
        <w:t>其中：年末财政拨款结转和结余0.00万元，本年财政拨款支出2,516.37万元。</w:t>
      </w:r>
    </w:p>
    <w:p w14:paraId="0D31BB6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增加191.28万元，增长8.23%，主要原因是：一是本年在职人员增加，在职人员工资调增、社保、公积金基数调增，人员经费增加；二是本年民丰县青少年法治教育实践基地消防水池建设项目。</w:t>
      </w:r>
      <w:r>
        <w:rPr>
          <w:rFonts w:ascii="仿宋_GB2312" w:hAnsi="仿宋_GB2312" w:eastAsia="仿宋_GB2312"/>
          <w:b/>
          <w:sz w:val="32"/>
        </w:rPr>
        <w:t>与年初预算相比，</w:t>
      </w:r>
      <w:r>
        <w:rPr>
          <w:rFonts w:ascii="仿宋_GB2312" w:hAnsi="仿宋_GB2312" w:eastAsia="仿宋_GB2312"/>
          <w:b w:val="0"/>
          <w:sz w:val="32"/>
        </w:rPr>
        <w:t>年初预算数2,367.13万元，决算数2,516.37万元，预决算差异率6.30%，主要原因是：本年在职人员增加，年中追加人员经费及人员工资、社保、公积金基数调增部分资金，导致预决算存在差异。</w:t>
      </w:r>
    </w:p>
    <w:p w14:paraId="620A2BE0">
      <w:pPr>
        <w:spacing w:line="640" w:lineRule="exact"/>
        <w:ind w:firstLine="640"/>
        <w:jc w:val="both"/>
        <w:outlineLvl w:val="2"/>
      </w:pPr>
      <w:r>
        <w:rPr>
          <w:rFonts w:ascii="黑体" w:hAnsi="黑体" w:eastAsia="黑体"/>
          <w:sz w:val="32"/>
        </w:rPr>
        <w:t>五、一般公共预算财政拨款支出决算情况说明</w:t>
      </w:r>
    </w:p>
    <w:p w14:paraId="710E35F1">
      <w:pPr>
        <w:spacing w:line="640" w:lineRule="exact"/>
        <w:ind w:firstLine="640"/>
        <w:jc w:val="both"/>
        <w:outlineLvl w:val="3"/>
      </w:pPr>
      <w:r>
        <w:rPr>
          <w:rFonts w:ascii="楷体_GB2312" w:hAnsi="楷体_GB2312" w:eastAsia="楷体_GB2312"/>
          <w:b/>
          <w:sz w:val="32"/>
        </w:rPr>
        <w:t>（一）一般公共预算财政拨款支出决算总体情况</w:t>
      </w:r>
    </w:p>
    <w:p w14:paraId="02C13AF8">
      <w:pPr>
        <w:spacing w:line="580" w:lineRule="exact"/>
        <w:ind w:firstLine="640"/>
        <w:jc w:val="both"/>
      </w:pPr>
      <w:r>
        <w:rPr>
          <w:rFonts w:ascii="仿宋_GB2312" w:hAnsi="仿宋_GB2312" w:eastAsia="仿宋_GB2312"/>
          <w:b/>
          <w:sz w:val="32"/>
        </w:rPr>
        <w:t>2024年度一般公共预算财政拨款支出2,516.37万元，</w:t>
      </w:r>
      <w:r>
        <w:rPr>
          <w:rFonts w:ascii="仿宋_GB2312" w:hAnsi="仿宋_GB2312" w:eastAsia="仿宋_GB2312"/>
          <w:b w:val="0"/>
          <w:sz w:val="32"/>
        </w:rPr>
        <w:t>占本年支出合计的77.26%。</w:t>
      </w:r>
      <w:r>
        <w:rPr>
          <w:rFonts w:ascii="仿宋_GB2312" w:hAnsi="仿宋_GB2312" w:eastAsia="仿宋_GB2312"/>
          <w:b/>
          <w:sz w:val="32"/>
        </w:rPr>
        <w:t>与上年相比，</w:t>
      </w:r>
      <w:r>
        <w:rPr>
          <w:rFonts w:ascii="仿宋_GB2312" w:hAnsi="仿宋_GB2312" w:eastAsia="仿宋_GB2312"/>
          <w:b w:val="0"/>
          <w:sz w:val="32"/>
        </w:rPr>
        <w:t>增加191.28万元，增长8.23%，主要原因是：一是本年在职人员增加，在职人员工资调增、社保、公积金基数调增，人员经费增加；二是本年民丰县青少年法治教育实践基地消防水池建设项目。</w:t>
      </w:r>
      <w:r>
        <w:rPr>
          <w:rFonts w:ascii="仿宋_GB2312" w:hAnsi="仿宋_GB2312" w:eastAsia="仿宋_GB2312"/>
          <w:b/>
          <w:sz w:val="32"/>
        </w:rPr>
        <w:t>与年初预算相比,</w:t>
      </w:r>
      <w:r>
        <w:rPr>
          <w:rFonts w:ascii="仿宋_GB2312" w:hAnsi="仿宋_GB2312" w:eastAsia="仿宋_GB2312"/>
          <w:b w:val="0"/>
          <w:sz w:val="32"/>
        </w:rPr>
        <w:t>年初预算数2,367.13万元，决算数2,516.37万元，预决算差异率6.30%，主要原因是：本年在职人员增加，年中追加人员经费及人员工资、社保、公积金基数调增部分资金，导致预决算存在差异。</w:t>
      </w:r>
    </w:p>
    <w:p w14:paraId="6B95C19E">
      <w:pPr>
        <w:spacing w:line="640" w:lineRule="exact"/>
        <w:ind w:firstLine="640"/>
        <w:jc w:val="both"/>
        <w:outlineLvl w:val="3"/>
      </w:pPr>
      <w:r>
        <w:rPr>
          <w:rFonts w:ascii="楷体_GB2312" w:hAnsi="楷体_GB2312" w:eastAsia="楷体_GB2312"/>
          <w:b/>
          <w:sz w:val="32"/>
        </w:rPr>
        <w:t>（二）一般公共预算财政拨款支出决算结构情况</w:t>
      </w:r>
    </w:p>
    <w:p w14:paraId="1BEBB510">
      <w:pPr>
        <w:spacing w:line="580" w:lineRule="exact"/>
        <w:ind w:firstLine="640"/>
        <w:jc w:val="both"/>
      </w:pPr>
      <w:r>
        <w:rPr>
          <w:rFonts w:ascii="仿宋_GB2312" w:hAnsi="仿宋_GB2312" w:eastAsia="仿宋_GB2312"/>
          <w:b w:val="0"/>
          <w:sz w:val="32"/>
        </w:rPr>
        <w:t>1.一般公共服务支出(类)1,953.32万元,占77.62%。</w:t>
      </w:r>
    </w:p>
    <w:p w14:paraId="514672C6">
      <w:pPr>
        <w:spacing w:line="580" w:lineRule="exact"/>
        <w:ind w:firstLine="640"/>
        <w:jc w:val="both"/>
      </w:pPr>
      <w:r>
        <w:rPr>
          <w:rFonts w:ascii="仿宋_GB2312" w:hAnsi="仿宋_GB2312" w:eastAsia="仿宋_GB2312"/>
          <w:b w:val="0"/>
          <w:sz w:val="32"/>
        </w:rPr>
        <w:t>2.社会保障和就业支出(类)255.38万元,占10.15%。</w:t>
      </w:r>
    </w:p>
    <w:p w14:paraId="5D248BBB">
      <w:pPr>
        <w:spacing w:line="580" w:lineRule="exact"/>
        <w:ind w:firstLine="640"/>
        <w:jc w:val="both"/>
      </w:pPr>
      <w:r>
        <w:rPr>
          <w:rFonts w:ascii="仿宋_GB2312" w:hAnsi="仿宋_GB2312" w:eastAsia="仿宋_GB2312"/>
          <w:b w:val="0"/>
          <w:sz w:val="32"/>
        </w:rPr>
        <w:t>3.卫生健康支出(类)134.26万元,占5.34%。</w:t>
      </w:r>
    </w:p>
    <w:p w14:paraId="7F7384E0">
      <w:pPr>
        <w:spacing w:line="580" w:lineRule="exact"/>
        <w:ind w:firstLine="640"/>
        <w:jc w:val="both"/>
      </w:pPr>
      <w:r>
        <w:rPr>
          <w:rFonts w:ascii="仿宋_GB2312" w:hAnsi="仿宋_GB2312" w:eastAsia="仿宋_GB2312"/>
          <w:b w:val="0"/>
          <w:sz w:val="32"/>
        </w:rPr>
        <w:t>4.农林水支出(类)18.86万元,占0.75%。</w:t>
      </w:r>
    </w:p>
    <w:p w14:paraId="18EA5014">
      <w:pPr>
        <w:spacing w:line="580" w:lineRule="exact"/>
        <w:ind w:firstLine="640"/>
        <w:jc w:val="both"/>
      </w:pPr>
      <w:r>
        <w:rPr>
          <w:rFonts w:ascii="仿宋_GB2312" w:hAnsi="仿宋_GB2312" w:eastAsia="仿宋_GB2312"/>
          <w:b w:val="0"/>
          <w:sz w:val="32"/>
        </w:rPr>
        <w:t>5.住房保障支出(类)154.55万元,占6.14%。</w:t>
      </w:r>
    </w:p>
    <w:p w14:paraId="38EB1C4D">
      <w:pPr>
        <w:spacing w:line="640" w:lineRule="exact"/>
        <w:ind w:firstLine="640"/>
        <w:jc w:val="both"/>
        <w:outlineLvl w:val="3"/>
      </w:pPr>
      <w:r>
        <w:rPr>
          <w:rFonts w:ascii="楷体_GB2312" w:hAnsi="楷体_GB2312" w:eastAsia="楷体_GB2312"/>
          <w:b/>
          <w:sz w:val="32"/>
        </w:rPr>
        <w:t>（三）一般公共预算财政拨款支出决算具体情况</w:t>
      </w:r>
    </w:p>
    <w:p w14:paraId="60FA439A">
      <w:pPr>
        <w:spacing w:line="580" w:lineRule="exact"/>
        <w:ind w:firstLine="640"/>
        <w:jc w:val="both"/>
      </w:pPr>
      <w:r>
        <w:rPr>
          <w:rFonts w:ascii="仿宋_GB2312" w:hAnsi="仿宋_GB2312" w:eastAsia="仿宋_GB2312"/>
          <w:b w:val="0"/>
          <w:sz w:val="32"/>
        </w:rPr>
        <w:t>1.一般公共服务支出(类)纪检监察事务(款)行政运行(项):支出决算数为1,710.67万元，比上年决算减少349.69万元，下降16.97%,主要原因是：一是本年度办公费和维护维修费较上年减少；二是科目调整，职工住房公积金，医疗保险，公务员医疗补助等经费上年在主科目列支，本年单独列支。</w:t>
      </w:r>
    </w:p>
    <w:p w14:paraId="688A07B8">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2.一般公共服务支出(类)纪检监察事务(款)其他纪检监察事务支出(项):支出决算数为242.64万元，比上年决算增加225.64万元，增长1,327.29%,主要原因是：本年度增加民丰县青少年法治教育实践基地消防水池建设项目。</w:t>
      </w:r>
    </w:p>
    <w:p w14:paraId="42FC280A">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7.80万元，比上年决算增加7.80万元，增长100.00%,主要原因是：本年功能科目调整，行政单位离退休上年度在主科目列支，本年单独列支，导致经费较上年增加。</w:t>
      </w:r>
    </w:p>
    <w:p w14:paraId="17EE9BEE">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203.89万元，比上年决算增加26.30万元，增长14.81%,主要原因是：本年在职人员增加，养老保险缴费较上年增加。</w:t>
      </w:r>
    </w:p>
    <w:p w14:paraId="1FD9AB6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43.69万元，比上年决算减少7.48万元，下降14.62%,主要原因是：本年新增退休人员较上年减少，职业年金缴费较上年减少。</w:t>
      </w:r>
    </w:p>
    <w:p w14:paraId="270846B2">
      <w:pPr>
        <w:spacing w:line="580" w:lineRule="exact"/>
        <w:ind w:firstLine="640"/>
        <w:jc w:val="both"/>
      </w:pPr>
      <w:r>
        <w:rPr>
          <w:rFonts w:ascii="仿宋_GB2312" w:hAnsi="仿宋_GB2312" w:eastAsia="仿宋_GB2312"/>
          <w:b w:val="0"/>
          <w:sz w:val="32"/>
        </w:rPr>
        <w:t>6.卫生健康支出(类)行政事业单位医疗(款)行政单位医疗(项):支出决算数为82.81万元，比上年决算增加82.81万元，增长100.00%,主要原因是：本年功能科目调整，行政单位医疗上年度在主科目列支，本年单独列支，导致经费较上年增加。</w:t>
      </w:r>
    </w:p>
    <w:p w14:paraId="02508607">
      <w:pPr>
        <w:spacing w:line="580" w:lineRule="exact"/>
        <w:ind w:firstLine="640"/>
        <w:jc w:val="both"/>
      </w:pPr>
      <w:r>
        <w:rPr>
          <w:rFonts w:ascii="仿宋_GB2312" w:hAnsi="仿宋_GB2312" w:eastAsia="仿宋_GB2312"/>
          <w:b w:val="0"/>
          <w:sz w:val="32"/>
        </w:rPr>
        <w:t>7.卫生健康支出(类)行政事业单位医疗(款)公务员医疗补助(项):支出决算数为47.21万元，比上年决算增加47.21万元，增长100.00%,主要原因是：本年功能科目调整，公务员医疗补助上年度在主科目列支，本年单独列支，导致经费较上年增加。</w:t>
      </w:r>
    </w:p>
    <w:p w14:paraId="3C2B856C">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4.25万元，比上年决算增加4.25万元，增长100.00%,主要原因是：本年功能科目调整，职工大病，工伤，失业保险上年度在主科目列支，本年单独列支，导致经费较上年增加。</w:t>
      </w:r>
    </w:p>
    <w:p w14:paraId="75E78DB7">
      <w:pPr>
        <w:spacing w:line="580" w:lineRule="exact"/>
        <w:ind w:firstLine="640"/>
        <w:jc w:val="both"/>
        <w:rPr>
          <w:rFonts w:hint="default" w:eastAsia="仿宋_GB2312"/>
          <w:lang w:val="en-US" w:eastAsia="zh-CN"/>
        </w:rPr>
      </w:pPr>
      <w:r>
        <w:rPr>
          <w:rFonts w:ascii="仿宋_GB2312" w:hAnsi="仿宋_GB2312" w:eastAsia="仿宋_GB2312"/>
          <w:b w:val="0"/>
          <w:sz w:val="32"/>
        </w:rPr>
        <w:t>9.农林水支出(类)农村综合改革(款)对村级公益事业建设的补助(项):支出决算数为18.86万元，比上年决算减少0.12万元，下降0.63%,主要原因是：</w:t>
      </w:r>
      <w:r>
        <w:rPr>
          <w:rFonts w:hint="eastAsia" w:ascii="仿宋_GB2312" w:hAnsi="仿宋_GB2312" w:eastAsia="仿宋_GB2312"/>
          <w:b w:val="0"/>
          <w:sz w:val="32"/>
          <w:lang w:val="en-US" w:eastAsia="zh-CN"/>
        </w:rPr>
        <w:t>本年减少为民办实事项目经费，导致相关经费减少。</w:t>
      </w:r>
    </w:p>
    <w:p w14:paraId="25588252">
      <w:pPr>
        <w:spacing w:line="580" w:lineRule="exact"/>
        <w:ind w:firstLine="640"/>
        <w:jc w:val="both"/>
      </w:pPr>
      <w:r>
        <w:rPr>
          <w:rFonts w:ascii="仿宋_GB2312" w:hAnsi="仿宋_GB2312" w:eastAsia="仿宋_GB2312"/>
          <w:b w:val="0"/>
          <w:sz w:val="32"/>
        </w:rPr>
        <w:t>10.住房保障支出(类)住房改革支出(款)住房公积金(项):支出决算数为154.55万元，比上年决算增加154.55万元，增长100.00%,主要原因是：本年功能科目调整，住房公积金上年度在主科目列支，本年单独列支，导致经费较上年增加。</w:t>
      </w:r>
    </w:p>
    <w:p w14:paraId="712D2B18">
      <w:pPr>
        <w:spacing w:line="640" w:lineRule="exact"/>
        <w:ind w:firstLine="640"/>
        <w:jc w:val="both"/>
        <w:outlineLvl w:val="2"/>
      </w:pPr>
      <w:r>
        <w:rPr>
          <w:rFonts w:ascii="黑体" w:hAnsi="黑体" w:eastAsia="黑体"/>
          <w:sz w:val="32"/>
        </w:rPr>
        <w:t>六、一般公共预算财政拨款基本支出决算情况说明</w:t>
      </w:r>
    </w:p>
    <w:p w14:paraId="33F27650">
      <w:pPr>
        <w:spacing w:line="580" w:lineRule="exact"/>
        <w:ind w:firstLine="640"/>
        <w:jc w:val="both"/>
      </w:pPr>
      <w:r>
        <w:rPr>
          <w:rFonts w:ascii="仿宋_GB2312" w:hAnsi="仿宋_GB2312" w:eastAsia="仿宋_GB2312"/>
          <w:b w:val="0"/>
          <w:sz w:val="32"/>
        </w:rPr>
        <w:t>2024年度一般公共预算财政拨款基本支出2,254.86万元，其中：</w:t>
      </w:r>
      <w:r>
        <w:rPr>
          <w:rFonts w:ascii="仿宋_GB2312" w:hAnsi="仿宋_GB2312" w:eastAsia="仿宋_GB2312"/>
          <w:b/>
          <w:sz w:val="32"/>
        </w:rPr>
        <w:t>人员经费2,077.60万元，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3F6311FF">
      <w:pPr>
        <w:spacing w:line="580" w:lineRule="exact"/>
        <w:ind w:firstLine="640"/>
        <w:jc w:val="both"/>
      </w:pPr>
      <w:r>
        <w:rPr>
          <w:rFonts w:ascii="仿宋_GB2312" w:hAnsi="仿宋_GB2312" w:eastAsia="仿宋_GB2312"/>
          <w:b/>
          <w:sz w:val="32"/>
        </w:rPr>
        <w:t>公用经费177.27万元，</w:t>
      </w:r>
      <w:r>
        <w:rPr>
          <w:rFonts w:ascii="仿宋_GB2312" w:hAnsi="仿宋_GB2312" w:eastAsia="仿宋_GB2312"/>
          <w:b w:val="0"/>
          <w:sz w:val="32"/>
        </w:rPr>
        <w:t>包括：办公费、印刷费、电费、邮电费、取暖费、差旅费、维修（护）费、劳务费、公务用车运行维护费、其他交通费用、办公设备购置。</w:t>
      </w:r>
    </w:p>
    <w:p w14:paraId="5A3BC9E2">
      <w:pPr>
        <w:spacing w:line="640" w:lineRule="exact"/>
        <w:ind w:firstLine="640"/>
        <w:jc w:val="both"/>
        <w:outlineLvl w:val="2"/>
      </w:pPr>
      <w:r>
        <w:rPr>
          <w:rFonts w:ascii="黑体" w:hAnsi="黑体" w:eastAsia="黑体"/>
          <w:sz w:val="32"/>
        </w:rPr>
        <w:t>七、政府性基金预算财政拨款收入支出决算情况说明</w:t>
      </w:r>
    </w:p>
    <w:p w14:paraId="35AF8C8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A1E034E">
      <w:pPr>
        <w:spacing w:line="640" w:lineRule="exact"/>
        <w:ind w:firstLine="640"/>
        <w:jc w:val="both"/>
        <w:outlineLvl w:val="2"/>
      </w:pPr>
      <w:r>
        <w:rPr>
          <w:rFonts w:ascii="黑体" w:hAnsi="黑体" w:eastAsia="黑体"/>
          <w:sz w:val="32"/>
        </w:rPr>
        <w:t>八、国有资本经营预算财政拨款收入支出决算情况说明</w:t>
      </w:r>
    </w:p>
    <w:p w14:paraId="161FB80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E7E8A93">
      <w:pPr>
        <w:spacing w:line="640" w:lineRule="exact"/>
        <w:ind w:firstLine="640"/>
        <w:jc w:val="both"/>
        <w:outlineLvl w:val="2"/>
      </w:pPr>
      <w:r>
        <w:rPr>
          <w:rFonts w:ascii="黑体" w:hAnsi="黑体" w:eastAsia="黑体"/>
          <w:sz w:val="32"/>
        </w:rPr>
        <w:t>九、财政拨款“三公”经费支出决算情况说明</w:t>
      </w:r>
    </w:p>
    <w:p w14:paraId="1F2A8AD6">
      <w:pPr>
        <w:spacing w:line="580" w:lineRule="exact"/>
        <w:ind w:firstLine="640"/>
        <w:jc w:val="both"/>
      </w:pPr>
      <w:r>
        <w:rPr>
          <w:rFonts w:ascii="仿宋_GB2312" w:hAnsi="仿宋_GB2312" w:eastAsia="仿宋_GB2312"/>
          <w:b/>
          <w:sz w:val="32"/>
        </w:rPr>
        <w:t>2024年度财政拨款“三公”经费支出3.86万元，</w:t>
      </w:r>
      <w:r>
        <w:rPr>
          <w:rFonts w:ascii="仿宋_GB2312" w:hAnsi="仿宋_GB2312" w:eastAsia="仿宋_GB2312"/>
          <w:b w:val="0"/>
          <w:sz w:val="32"/>
        </w:rPr>
        <w:t>比上年增加0.29万元，增长8.12%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3.86万元，占100.00%，比上年增加0.29万元，增长8.12%，主要原因是：本年因业务需求，用车次数增加，燃油费增加，导致公务用车运行维护费较上年增加。公务接待费支出0.00万元，占0.00%，比上年增加0.00万元，增长0.00%，主要原因是：2023年与2024年均未安排公务接待费支出。</w:t>
      </w:r>
    </w:p>
    <w:p w14:paraId="732A5D0C">
      <w:pPr>
        <w:spacing w:line="580" w:lineRule="exact"/>
        <w:ind w:firstLine="640"/>
        <w:jc w:val="both"/>
      </w:pPr>
      <w:r>
        <w:rPr>
          <w:rFonts w:ascii="仿宋_GB2312" w:hAnsi="仿宋_GB2312" w:eastAsia="仿宋_GB2312"/>
          <w:b/>
          <w:sz w:val="32"/>
        </w:rPr>
        <w:t>具体情况如下：</w:t>
      </w:r>
    </w:p>
    <w:p w14:paraId="2B537FF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5E46897">
      <w:pPr>
        <w:spacing w:line="580" w:lineRule="exact"/>
        <w:ind w:firstLine="640"/>
        <w:jc w:val="both"/>
      </w:pPr>
      <w:r>
        <w:rPr>
          <w:rFonts w:ascii="仿宋_GB2312" w:hAnsi="仿宋_GB2312" w:eastAsia="仿宋_GB2312"/>
          <w:b w:val="0"/>
          <w:sz w:val="32"/>
        </w:rPr>
        <w:t>公务用车购置及运行维护费3.86万元，其中：公务用车购置费0.00万元，公务用车运行维护费3.86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1225352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01B85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3.86万元，决算数3.86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3.86万元，决算数3.86万元，预决算差异率0.00%，主要原因是：严格按照预算执行，预决算无差异。公务接待费全年预算数0.00万元，决算数0.00万元，预决算差异率0.00%，主要原因是：本单位无公务接待费。</w:t>
      </w:r>
    </w:p>
    <w:p w14:paraId="4620E79B">
      <w:pPr>
        <w:spacing w:line="640" w:lineRule="exact"/>
        <w:ind w:firstLine="640"/>
        <w:jc w:val="both"/>
        <w:outlineLvl w:val="2"/>
      </w:pPr>
      <w:r>
        <w:rPr>
          <w:rFonts w:ascii="黑体" w:hAnsi="黑体" w:eastAsia="黑体"/>
          <w:sz w:val="32"/>
        </w:rPr>
        <w:t>十、其他重要事项的情况说明</w:t>
      </w:r>
    </w:p>
    <w:p w14:paraId="289B1E69">
      <w:pPr>
        <w:spacing w:line="640" w:lineRule="exact"/>
        <w:ind w:firstLine="640"/>
        <w:jc w:val="both"/>
        <w:outlineLvl w:val="3"/>
      </w:pPr>
      <w:r>
        <w:rPr>
          <w:rFonts w:ascii="楷体_GB2312" w:hAnsi="楷体_GB2312" w:eastAsia="楷体_GB2312"/>
          <w:b/>
          <w:sz w:val="32"/>
        </w:rPr>
        <w:t>（一）机关运行经费及公用经费支出情况</w:t>
      </w:r>
    </w:p>
    <w:p w14:paraId="1BB179FC">
      <w:pPr>
        <w:spacing w:line="580" w:lineRule="exact"/>
        <w:ind w:firstLine="640"/>
        <w:jc w:val="both"/>
      </w:pPr>
      <w:r>
        <w:rPr>
          <w:rFonts w:ascii="仿宋_GB2312" w:hAnsi="仿宋_GB2312" w:eastAsia="仿宋_GB2312"/>
          <w:b w:val="0"/>
          <w:sz w:val="32"/>
        </w:rPr>
        <w:t>2024年度中国共产党民丰县纪律检查委员会（行政单位和参照公务员法管理事业单位）机关运行经费支出177.27万元，比上年减少112.60万元，下降38.84%，主要原因是：上年业务办公费在基本支出中列支，本年调整至项目列支，导致机关运行经费较上年减少。</w:t>
      </w:r>
    </w:p>
    <w:p w14:paraId="5C51546A">
      <w:pPr>
        <w:spacing w:line="640" w:lineRule="exact"/>
        <w:ind w:firstLine="640"/>
        <w:jc w:val="both"/>
        <w:outlineLvl w:val="3"/>
      </w:pPr>
      <w:r>
        <w:rPr>
          <w:rFonts w:ascii="楷体_GB2312" w:hAnsi="楷体_GB2312" w:eastAsia="楷体_GB2312"/>
          <w:b/>
          <w:sz w:val="32"/>
        </w:rPr>
        <w:t>（二）政府采购情况</w:t>
      </w:r>
    </w:p>
    <w:p w14:paraId="2E89F44E">
      <w:pPr>
        <w:spacing w:line="580" w:lineRule="exact"/>
        <w:ind w:firstLine="640"/>
        <w:jc w:val="both"/>
      </w:pPr>
      <w:r>
        <w:rPr>
          <w:rFonts w:ascii="仿宋_GB2312" w:hAnsi="仿宋_GB2312" w:eastAsia="仿宋_GB2312"/>
          <w:b w:val="0"/>
          <w:sz w:val="32"/>
        </w:rPr>
        <w:t>2024年度政府采购支出总额283.40万元，其中：政府采购货物支出142.20万元、政府采购工程支出99.44万元、政府采购服务支出41.76万元。</w:t>
      </w:r>
    </w:p>
    <w:p w14:paraId="5839D88B">
      <w:pPr>
        <w:spacing w:line="580" w:lineRule="exact"/>
        <w:ind w:firstLine="640"/>
        <w:jc w:val="both"/>
      </w:pPr>
      <w:r>
        <w:rPr>
          <w:rFonts w:ascii="仿宋_GB2312" w:hAnsi="仿宋_GB2312" w:eastAsia="仿宋_GB2312"/>
          <w:b w:val="0"/>
          <w:sz w:val="32"/>
        </w:rPr>
        <w:t>授予中小企业合同金额283.40万元，占政府采购支出总额的100.00%，其中：授予小微企业合同金额283.40万元，占政府采购支出总额的100.00%。</w:t>
      </w:r>
    </w:p>
    <w:p w14:paraId="2EBC599E">
      <w:pPr>
        <w:spacing w:line="640" w:lineRule="exact"/>
        <w:ind w:firstLine="640"/>
        <w:jc w:val="both"/>
        <w:outlineLvl w:val="3"/>
      </w:pPr>
      <w:r>
        <w:rPr>
          <w:rFonts w:ascii="楷体_GB2312" w:hAnsi="楷体_GB2312" w:eastAsia="楷体_GB2312"/>
          <w:b/>
          <w:sz w:val="32"/>
        </w:rPr>
        <w:t>（三）国有资产占用情况说明</w:t>
      </w:r>
    </w:p>
    <w:p w14:paraId="0147C68B">
      <w:pPr>
        <w:spacing w:line="580" w:lineRule="exact"/>
        <w:ind w:firstLine="640"/>
        <w:jc w:val="both"/>
      </w:pPr>
      <w:r>
        <w:rPr>
          <w:rFonts w:ascii="仿宋_GB2312" w:hAnsi="仿宋_GB2312" w:eastAsia="仿宋_GB2312"/>
          <w:b w:val="0"/>
          <w:sz w:val="32"/>
        </w:rPr>
        <w:t>截至2024年12月31日，房屋2,366.10平方米，价值715.96万元。车辆4辆，价值80.41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3台（套）。</w:t>
      </w:r>
    </w:p>
    <w:p w14:paraId="2596DD9A">
      <w:pPr>
        <w:spacing w:line="640" w:lineRule="exact"/>
        <w:ind w:firstLine="640"/>
        <w:jc w:val="both"/>
        <w:outlineLvl w:val="2"/>
      </w:pPr>
      <w:r>
        <w:rPr>
          <w:rFonts w:ascii="黑体" w:hAnsi="黑体" w:eastAsia="黑体"/>
          <w:sz w:val="32"/>
        </w:rPr>
        <w:t>十一、预算绩效的情况说明</w:t>
      </w:r>
    </w:p>
    <w:p w14:paraId="354100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3,263.40万元，实际执行总额3,257.14万元；预算绩效评价项目1个，全年预算数20.00万元，全年执行数17.99万元。预算绩效管理取得的成效：县纪委高度重视预算绩效管理工作，将其作为提升财政资金使用效益、规范财务管理的重要抓手，取得了显著成效。（一）预算执行情况良好。本年度预算执行</w:t>
      </w:r>
      <w:r>
        <w:rPr>
          <w:rFonts w:hint="eastAsia" w:ascii="仿宋_GB2312" w:hAnsi="仿宋_GB2312" w:eastAsia="仿宋_GB2312"/>
          <w:b w:val="0"/>
          <w:sz w:val="32"/>
          <w:lang w:eastAsia="zh-CN"/>
        </w:rPr>
        <w:t>中</w:t>
      </w:r>
      <w:r>
        <w:rPr>
          <w:rFonts w:ascii="仿宋_GB2312" w:hAnsi="仿宋_GB2312" w:eastAsia="仿宋_GB2312"/>
          <w:b w:val="0"/>
          <w:sz w:val="32"/>
        </w:rPr>
        <w:t>确保了各项工作的顺利开展。在基本支出方面，严格按照预算安排保障人员经费和日常办公费用，有效维持了机关的正常运转；项目支出严格按照项目进度和合同约定支付，确保项目有序推进。（二）项目管理规范有序。建立健全项目管理制度，从项目申报、审批、实施到验收，都有严格的流程和标准。在项目实施过程中，严格把控质量关，确保项目达到预期目标</w:t>
      </w:r>
      <w:r>
        <w:rPr>
          <w:rFonts w:hint="eastAsia" w:ascii="仿宋_GB2312" w:hAnsi="仿宋_GB2312" w:eastAsia="仿宋_GB2312"/>
          <w:b w:val="0"/>
          <w:sz w:val="32"/>
          <w:lang w:eastAsia="zh-CN"/>
        </w:rPr>
        <w:t>。</w:t>
      </w:r>
      <w:r>
        <w:rPr>
          <w:rFonts w:ascii="仿宋_GB2312" w:hAnsi="仿宋_GB2312" w:eastAsia="仿宋_GB2312"/>
          <w:b w:val="0"/>
          <w:sz w:val="32"/>
        </w:rPr>
        <w:t>保障了项目的顺利实施和长期稳定运行。（三）资金使用效益显著。通过加强预算绩效管理，优化资金配置，提高了资金的使用效益。比如：在巡察工作中，资金的有效使用保障了巡察工作的深入开展，及时发现并解决了一批群众关心的问题，提升了政府公信力。发现的问题及原因：一是预算编制精准度不足：部分项目资金拨付与工作开展进度不匹配，资金已经拨付了，但是验收工作未完成</w:t>
      </w:r>
      <w:r>
        <w:rPr>
          <w:rFonts w:hint="eastAsia" w:ascii="仿宋_GB2312" w:hAnsi="仿宋_GB2312" w:eastAsia="仿宋_GB2312"/>
          <w:b w:val="0"/>
          <w:sz w:val="32"/>
          <w:lang w:eastAsia="zh-CN"/>
        </w:rPr>
        <w:t>，</w:t>
      </w:r>
      <w:r>
        <w:rPr>
          <w:rFonts w:ascii="仿宋_GB2312" w:hAnsi="仿宋_GB2312" w:eastAsia="仿宋_GB2312"/>
          <w:b w:val="0"/>
          <w:sz w:val="32"/>
        </w:rPr>
        <w:t>影响了项目的推进效率和资金使用效益。二是绩效管理重视程度不够：相关工作人员对绩效管理的相关政策学习不够深入，对绩效管理工作的重要性认识不足。下一步改进措施：深入自查自纠，落实整改要求。严格执行整改国家稽查、审计、考核指出我部门存在的问题，将整改措施落实到实处。具体附整体支出绩效自评表，项目支出绩效自评表。</w:t>
      </w:r>
    </w:p>
    <w:p w14:paraId="369979E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D79F4EA">
        <w:tblPrEx>
          <w:tblCellMar>
            <w:top w:w="0" w:type="dxa"/>
            <w:left w:w="108" w:type="dxa"/>
            <w:bottom w:w="0" w:type="dxa"/>
            <w:right w:w="108" w:type="dxa"/>
          </w:tblCellMar>
        </w:tblPrEx>
        <w:tc>
          <w:tcPr>
            <w:tcW w:w="8847" w:type="dxa"/>
            <w:gridSpan w:val="9"/>
            <w:vAlign w:val="center"/>
          </w:tcPr>
          <w:p w14:paraId="6D4F33F4">
            <w:pPr>
              <w:jc w:val="center"/>
            </w:pPr>
            <w:r>
              <w:rPr>
                <w:rFonts w:ascii="宋体" w:hAnsi="宋体" w:eastAsia="宋体"/>
                <w:sz w:val="24"/>
              </w:rPr>
              <w:t>单位整体支出绩效自评表</w:t>
            </w:r>
          </w:p>
        </w:tc>
      </w:tr>
      <w:tr w14:paraId="258FBBB6">
        <w:tblPrEx>
          <w:tblCellMar>
            <w:top w:w="0" w:type="dxa"/>
            <w:left w:w="108" w:type="dxa"/>
            <w:bottom w:w="0" w:type="dxa"/>
            <w:right w:w="108" w:type="dxa"/>
          </w:tblCellMar>
        </w:tblPrEx>
        <w:tc>
          <w:tcPr>
            <w:tcW w:w="8847" w:type="dxa"/>
            <w:gridSpan w:val="9"/>
            <w:vAlign w:val="center"/>
          </w:tcPr>
          <w:p w14:paraId="0DE3737B">
            <w:pPr>
              <w:jc w:val="center"/>
            </w:pPr>
            <w:r>
              <w:rPr>
                <w:rFonts w:ascii="宋体" w:hAnsi="宋体" w:eastAsia="宋体"/>
                <w:sz w:val="24"/>
              </w:rPr>
              <w:t>（2024年度）</w:t>
            </w:r>
          </w:p>
        </w:tc>
      </w:tr>
      <w:tr w14:paraId="26BD15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7F5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2FA54B">
            <w:pPr>
              <w:jc w:val="center"/>
            </w:pPr>
            <w:r>
              <w:rPr>
                <w:rFonts w:ascii="宋体" w:hAnsi="宋体" w:eastAsia="宋体"/>
                <w:sz w:val="16"/>
              </w:rPr>
              <w:t>中国共产党民丰县纪律检查委员会</w:t>
            </w:r>
          </w:p>
        </w:tc>
      </w:tr>
      <w:tr w14:paraId="40BFB1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11CD6">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52C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33B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2DB7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C08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377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F85E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E3B45">
            <w:pPr>
              <w:jc w:val="center"/>
            </w:pPr>
            <w:r>
              <w:rPr>
                <w:rFonts w:ascii="宋体" w:hAnsi="宋体" w:eastAsia="宋体"/>
                <w:sz w:val="16"/>
              </w:rPr>
              <w:t>得分</w:t>
            </w:r>
          </w:p>
        </w:tc>
      </w:tr>
      <w:tr w14:paraId="76598A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4683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46B89">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1F2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229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21C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D2C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0B9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52A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559F7">
            <w:pPr>
              <w:jc w:val="center"/>
            </w:pPr>
            <w:r>
              <w:rPr>
                <w:rFonts w:ascii="宋体" w:hAnsi="宋体" w:eastAsia="宋体"/>
                <w:sz w:val="16"/>
              </w:rPr>
              <w:t>-</w:t>
            </w:r>
          </w:p>
        </w:tc>
      </w:tr>
      <w:tr w14:paraId="06FB9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ED6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710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909D4">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50CD6">
            <w:pPr>
              <w:jc w:val="center"/>
            </w:pPr>
            <w:r>
              <w:rPr>
                <w:rFonts w:ascii="宋体" w:hAnsi="宋体" w:eastAsia="宋体"/>
                <w:sz w:val="16"/>
              </w:rPr>
              <w:t>2,367.13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EA863">
            <w:pPr>
              <w:jc w:val="center"/>
            </w:pPr>
            <w:r>
              <w:rPr>
                <w:rFonts w:ascii="宋体" w:hAnsi="宋体" w:eastAsia="宋体"/>
                <w:sz w:val="16"/>
              </w:rPr>
              <w:t>2,358.11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65D6C">
            <w:pPr>
              <w:jc w:val="center"/>
            </w:pPr>
            <w:r>
              <w:rPr>
                <w:rFonts w:ascii="宋体" w:hAnsi="宋体" w:eastAsia="宋体"/>
                <w:sz w:val="16"/>
              </w:rPr>
              <w:t>2,551.42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234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27E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7953">
            <w:pPr>
              <w:jc w:val="center"/>
            </w:pPr>
            <w:r>
              <w:rPr>
                <w:rFonts w:ascii="宋体" w:hAnsi="宋体" w:eastAsia="宋体"/>
                <w:sz w:val="16"/>
              </w:rPr>
              <w:t>-</w:t>
            </w:r>
          </w:p>
        </w:tc>
      </w:tr>
      <w:tr w14:paraId="62FC1E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CC2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E93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F5AC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E8FA1">
            <w:pPr>
              <w:jc w:val="center"/>
            </w:pPr>
            <w:r>
              <w:rPr>
                <w:rFonts w:ascii="宋体" w:hAnsi="宋体" w:eastAsia="宋体"/>
                <w:sz w:val="16"/>
              </w:rPr>
              <w:t>905.29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15638">
            <w:pPr>
              <w:jc w:val="center"/>
            </w:pPr>
            <w:r>
              <w:rPr>
                <w:rFonts w:ascii="宋体" w:hAnsi="宋体" w:eastAsia="宋体"/>
                <w:sz w:val="16"/>
              </w:rPr>
              <w:t>905.29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46207">
            <w:pPr>
              <w:jc w:val="center"/>
            </w:pPr>
            <w:r>
              <w:rPr>
                <w:rFonts w:ascii="宋体" w:hAnsi="宋体" w:eastAsia="宋体"/>
                <w:sz w:val="16"/>
              </w:rPr>
              <w:t>705.72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464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8C6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AE40">
            <w:pPr>
              <w:jc w:val="center"/>
            </w:pPr>
            <w:r>
              <w:rPr>
                <w:rFonts w:ascii="宋体" w:hAnsi="宋体" w:eastAsia="宋体"/>
                <w:sz w:val="16"/>
              </w:rPr>
              <w:t>-</w:t>
            </w:r>
          </w:p>
        </w:tc>
      </w:tr>
      <w:tr w14:paraId="2B42E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C05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892E0">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015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FBACF">
            <w:pPr>
              <w:jc w:val="center"/>
            </w:pPr>
            <w:r>
              <w:rPr>
                <w:rFonts w:ascii="宋体" w:hAnsi="宋体" w:eastAsia="宋体"/>
                <w:sz w:val="16"/>
              </w:rPr>
              <w:t>3,272.42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AB7F7">
            <w:pPr>
              <w:jc w:val="center"/>
            </w:pPr>
            <w:r>
              <w:rPr>
                <w:rFonts w:ascii="宋体" w:hAnsi="宋体" w:eastAsia="宋体"/>
                <w:sz w:val="16"/>
              </w:rPr>
              <w:t>3,263.40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C8CA7">
            <w:pPr>
              <w:jc w:val="center"/>
            </w:pPr>
            <w:r>
              <w:rPr>
                <w:rFonts w:ascii="宋体" w:hAnsi="宋体" w:eastAsia="宋体"/>
                <w:sz w:val="16"/>
              </w:rPr>
              <w:t>3,257.14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D0A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D1390">
            <w:pPr>
              <w:jc w:val="center"/>
            </w:pPr>
            <w:r>
              <w:rPr>
                <w:rFonts w:ascii="宋体" w:hAnsi="宋体" w:eastAsia="宋体"/>
                <w:sz w:val="16"/>
              </w:rPr>
              <w:t>99.81%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F1056">
            <w:pPr>
              <w:jc w:val="center"/>
            </w:pPr>
            <w:r>
              <w:rPr>
                <w:rFonts w:ascii="宋体" w:hAnsi="宋体" w:eastAsia="宋体"/>
                <w:sz w:val="16"/>
              </w:rPr>
              <w:t>10</w:t>
            </w:r>
          </w:p>
        </w:tc>
      </w:tr>
      <w:tr w14:paraId="3D5AD5C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C91E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3EDF0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F2D8C">
            <w:pPr>
              <w:jc w:val="center"/>
            </w:pPr>
            <w:r>
              <w:rPr>
                <w:rFonts w:ascii="宋体" w:hAnsi="宋体" w:eastAsia="宋体"/>
                <w:sz w:val="16"/>
              </w:rPr>
              <w:t>实际完成情况</w:t>
            </w:r>
          </w:p>
        </w:tc>
      </w:tr>
      <w:tr w14:paraId="1232D7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CA52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3F42EC">
            <w:pPr>
              <w:jc w:val="both"/>
            </w:pPr>
            <w:r>
              <w:rPr>
                <w:rFonts w:ascii="宋体" w:hAnsi="宋体" w:eastAsia="宋体"/>
                <w:sz w:val="16"/>
              </w:rPr>
              <w:t>1,持续深化主题教育和教育整顿成果，学深悟透党的自我革命的重要思想。持续把准政治监督脉络，开出政治监督良方。持续构建党的自我革命制度规范体系，纵深推进“三不腐”方略。持续纠治“四风”，筑牢中央八项规定堤坝。2,持续加强党的纪律建设，将全面从严治党向纵深推进。持续推动监督下沉，让人民成为监督执纪的最大受益者。持续提高巡察质效，推动巡察监督与各项监督贯通融合。持续以系统思维深入推进党风廉政建设和反腐败斗争。持续以彻底的自我革命精神锻造新时代纪检监察铁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327C7F">
            <w:pPr>
              <w:jc w:val="both"/>
            </w:pPr>
            <w:r>
              <w:rPr>
                <w:rFonts w:ascii="宋体" w:hAnsi="宋体" w:eastAsia="宋体"/>
                <w:sz w:val="16"/>
              </w:rPr>
              <w:t>开展监督检查69次，立案数量121件，全年巡察4轮，结案率90%。持续深化主题教育和教育整顿成果，学深悟透党的自我革命的重要思想。持续把准政治监督脉络，开出政治监督良方。持续构建党的自我革命制度规范体系，纵深推进“三不腐”方略。持续纠治“四风”，筑牢中央八项规定堤坝。2,持续加强党的纪律建设，将全面从严治党向纵深推进。持续推动监督下沉，让人民成为监督执纪的最大受益者。持续提高巡察质效，推动巡察监督与各项监督贯通融合。持续以系统思维深入推进党风廉政建设和反腐败斗争。持续以彻底的自我革命精神锻造新时代纪检监察铁军。</w:t>
            </w:r>
          </w:p>
        </w:tc>
      </w:tr>
      <w:tr w14:paraId="3972AB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5784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AE4BE">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7A5A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DED1B">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0CB4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1CCB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0390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D1744">
            <w:pPr>
              <w:jc w:val="center"/>
            </w:pPr>
            <w:r>
              <w:rPr>
                <w:rFonts w:ascii="宋体" w:hAnsi="宋体" w:eastAsia="宋体"/>
                <w:sz w:val="16"/>
              </w:rPr>
              <w:t>得分</w:t>
            </w:r>
          </w:p>
        </w:tc>
      </w:tr>
      <w:tr w14:paraId="39BC24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C556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F1F0">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C977">
            <w:pPr>
              <w:jc w:val="center"/>
            </w:pPr>
            <w:r>
              <w:rPr>
                <w:rFonts w:ascii="宋体" w:hAnsi="宋体" w:eastAsia="宋体"/>
                <w:sz w:val="16"/>
              </w:rPr>
              <w:t>开展监督检查次数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226EA">
            <w:pPr>
              <w:jc w:val="center"/>
            </w:pPr>
            <w:r>
              <w:rPr>
                <w:rFonts w:ascii="宋体" w:hAnsi="宋体" w:eastAsia="宋体"/>
                <w:sz w:val="16"/>
              </w:rPr>
              <w:t>&gt;=30次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FF27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F649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B4C70">
            <w:pPr>
              <w:jc w:val="center"/>
            </w:pPr>
            <w:r>
              <w:rPr>
                <w:rFonts w:ascii="宋体" w:hAnsi="宋体" w:eastAsia="宋体"/>
                <w:sz w:val="16"/>
              </w:rPr>
              <w:t>69次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06638">
            <w:pPr>
              <w:jc w:val="center"/>
            </w:pPr>
            <w:r>
              <w:rPr>
                <w:rFonts w:ascii="宋体" w:hAnsi="宋体" w:eastAsia="宋体"/>
                <w:sz w:val="16"/>
              </w:rPr>
              <w:t>30</w:t>
            </w:r>
          </w:p>
        </w:tc>
      </w:tr>
      <w:tr w14:paraId="151289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139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72C2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0B5A">
            <w:pPr>
              <w:jc w:val="center"/>
            </w:pPr>
            <w:r>
              <w:rPr>
                <w:rFonts w:ascii="宋体" w:hAnsi="宋体" w:eastAsia="宋体"/>
                <w:sz w:val="16"/>
              </w:rPr>
              <w:t>立案数量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E08AB">
            <w:pPr>
              <w:jc w:val="center"/>
            </w:pPr>
            <w:r>
              <w:rPr>
                <w:rFonts w:ascii="宋体" w:hAnsi="宋体" w:eastAsia="宋体"/>
                <w:sz w:val="16"/>
              </w:rPr>
              <w:t>&gt;=85件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ADC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18BF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E2DA0">
            <w:pPr>
              <w:jc w:val="center"/>
            </w:pPr>
            <w:r>
              <w:rPr>
                <w:rFonts w:ascii="宋体" w:hAnsi="宋体" w:eastAsia="宋体"/>
                <w:sz w:val="16"/>
              </w:rPr>
              <w:t>121件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0B258">
            <w:pPr>
              <w:jc w:val="center"/>
            </w:pPr>
            <w:r>
              <w:rPr>
                <w:rFonts w:ascii="宋体" w:hAnsi="宋体" w:eastAsia="宋体"/>
                <w:sz w:val="16"/>
              </w:rPr>
              <w:t>20</w:t>
            </w:r>
          </w:p>
        </w:tc>
      </w:tr>
      <w:tr w14:paraId="40ACD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E60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476B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6FBF">
            <w:pPr>
              <w:jc w:val="center"/>
            </w:pPr>
            <w:r>
              <w:rPr>
                <w:rFonts w:ascii="宋体" w:hAnsi="宋体" w:eastAsia="宋体"/>
                <w:sz w:val="16"/>
              </w:rPr>
              <w:t>全年计划巡察轮数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3C320">
            <w:pPr>
              <w:jc w:val="center"/>
            </w:pPr>
            <w:r>
              <w:rPr>
                <w:rFonts w:ascii="宋体" w:hAnsi="宋体" w:eastAsia="宋体"/>
                <w:sz w:val="16"/>
              </w:rPr>
              <w:t>&gt;=4轮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E7D9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344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11846">
            <w:pPr>
              <w:jc w:val="center"/>
            </w:pPr>
            <w:r>
              <w:rPr>
                <w:rFonts w:ascii="宋体" w:hAnsi="宋体" w:eastAsia="宋体"/>
                <w:sz w:val="16"/>
              </w:rPr>
              <w:t>4轮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7707">
            <w:pPr>
              <w:jc w:val="center"/>
            </w:pPr>
            <w:r>
              <w:rPr>
                <w:rFonts w:ascii="宋体" w:hAnsi="宋体" w:eastAsia="宋体"/>
                <w:sz w:val="16"/>
              </w:rPr>
              <w:t>20</w:t>
            </w:r>
          </w:p>
        </w:tc>
      </w:tr>
      <w:tr w14:paraId="245067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D56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225E7">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A536">
            <w:pPr>
              <w:jc w:val="center"/>
            </w:pPr>
            <w:r>
              <w:rPr>
                <w:rFonts w:ascii="宋体" w:hAnsi="宋体" w:eastAsia="宋体"/>
                <w:sz w:val="16"/>
              </w:rPr>
              <w:t>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660D3">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BA43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AD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ECE45">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FAB3D">
            <w:pPr>
              <w:jc w:val="center"/>
            </w:pPr>
            <w:r>
              <w:rPr>
                <w:rFonts w:ascii="宋体" w:hAnsi="宋体" w:eastAsia="宋体"/>
                <w:sz w:val="16"/>
              </w:rPr>
              <w:t>20</w:t>
            </w:r>
          </w:p>
        </w:tc>
      </w:tr>
    </w:tbl>
    <w:p w14:paraId="6BCC879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073233">
        <w:tblPrEx>
          <w:tblCellMar>
            <w:top w:w="0" w:type="dxa"/>
            <w:left w:w="108" w:type="dxa"/>
            <w:bottom w:w="0" w:type="dxa"/>
            <w:right w:w="108" w:type="dxa"/>
          </w:tblCellMar>
        </w:tblPrEx>
        <w:tc>
          <w:tcPr>
            <w:tcW w:w="8847" w:type="dxa"/>
            <w:gridSpan w:val="9"/>
            <w:vAlign w:val="center"/>
          </w:tcPr>
          <w:p w14:paraId="1B513F09">
            <w:pPr>
              <w:jc w:val="center"/>
            </w:pPr>
            <w:r>
              <w:rPr>
                <w:rFonts w:ascii="宋体" w:hAnsi="宋体" w:eastAsia="宋体"/>
                <w:sz w:val="24"/>
              </w:rPr>
              <w:t>项目支出绩效自评表</w:t>
            </w:r>
          </w:p>
        </w:tc>
      </w:tr>
      <w:tr w14:paraId="6ABE0FCB">
        <w:tblPrEx>
          <w:tblCellMar>
            <w:top w:w="0" w:type="dxa"/>
            <w:left w:w="108" w:type="dxa"/>
            <w:bottom w:w="0" w:type="dxa"/>
            <w:right w:w="108" w:type="dxa"/>
          </w:tblCellMar>
        </w:tblPrEx>
        <w:tc>
          <w:tcPr>
            <w:tcW w:w="8847" w:type="dxa"/>
            <w:gridSpan w:val="9"/>
            <w:vAlign w:val="center"/>
          </w:tcPr>
          <w:p w14:paraId="53EB7D23">
            <w:pPr>
              <w:jc w:val="center"/>
            </w:pPr>
            <w:r>
              <w:rPr>
                <w:rFonts w:ascii="宋体" w:hAnsi="宋体" w:eastAsia="宋体"/>
                <w:sz w:val="24"/>
              </w:rPr>
              <w:t>(2024年度)</w:t>
            </w:r>
          </w:p>
        </w:tc>
      </w:tr>
      <w:tr w14:paraId="788128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9FB8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1B9DCA">
            <w:pPr>
              <w:jc w:val="center"/>
            </w:pPr>
            <w:r>
              <w:rPr>
                <w:rFonts w:ascii="宋体" w:hAnsi="宋体" w:eastAsia="宋体"/>
                <w:sz w:val="16"/>
              </w:rPr>
              <w:t>2024年巡察工作经费</w:t>
            </w:r>
          </w:p>
        </w:tc>
      </w:tr>
      <w:tr w14:paraId="41A9FF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DEC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E485E2">
            <w:pPr>
              <w:jc w:val="center"/>
            </w:pPr>
            <w:r>
              <w:rPr>
                <w:rFonts w:ascii="宋体" w:hAnsi="宋体" w:eastAsia="宋体"/>
                <w:sz w:val="16"/>
              </w:rPr>
              <w:t>中国共产党民丰县纪律检查委员会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956E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47743">
            <w:pPr>
              <w:jc w:val="center"/>
            </w:pPr>
            <w:r>
              <w:rPr>
                <w:rFonts w:ascii="宋体" w:hAnsi="宋体" w:eastAsia="宋体"/>
                <w:sz w:val="16"/>
              </w:rPr>
              <w:t>中国共产党民丰县纪律检查委员会</w:t>
            </w:r>
          </w:p>
        </w:tc>
      </w:tr>
      <w:tr w14:paraId="1338B7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F1EE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3B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F23A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F1E1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F466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985C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4DB4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7F6DF">
            <w:pPr>
              <w:jc w:val="center"/>
            </w:pPr>
            <w:r>
              <w:rPr>
                <w:rFonts w:ascii="宋体" w:hAnsi="宋体" w:eastAsia="宋体"/>
                <w:sz w:val="16"/>
              </w:rPr>
              <w:t>得分</w:t>
            </w:r>
          </w:p>
        </w:tc>
      </w:tr>
      <w:tr w14:paraId="416F26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C74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FEC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3E204">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AE1C5">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99B05">
            <w:pPr>
              <w:jc w:val="center"/>
            </w:pPr>
            <w:r>
              <w:rPr>
                <w:rFonts w:ascii="宋体" w:hAnsi="宋体" w:eastAsia="宋体"/>
                <w:sz w:val="16"/>
              </w:rPr>
              <w:t>17.99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E88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AD27C">
            <w:pPr>
              <w:jc w:val="center"/>
            </w:pPr>
            <w:r>
              <w:rPr>
                <w:rFonts w:ascii="宋体" w:hAnsi="宋体" w:eastAsia="宋体"/>
                <w:sz w:val="16"/>
              </w:rPr>
              <w:t xml:space="preserve">89.95%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5A548">
            <w:pPr>
              <w:jc w:val="center"/>
            </w:pPr>
            <w:r>
              <w:rPr>
                <w:rFonts w:ascii="宋体" w:hAnsi="宋体" w:eastAsia="宋体"/>
                <w:sz w:val="16"/>
              </w:rPr>
              <w:t>7.49分</w:t>
            </w:r>
          </w:p>
        </w:tc>
      </w:tr>
      <w:tr w14:paraId="7CA9A7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5917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0E9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5CAB">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40ED">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46367">
            <w:pPr>
              <w:jc w:val="center"/>
            </w:pPr>
            <w:r>
              <w:rPr>
                <w:rFonts w:ascii="宋体" w:hAnsi="宋体" w:eastAsia="宋体"/>
                <w:sz w:val="16"/>
              </w:rPr>
              <w:t>17.99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308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CB0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7143D">
            <w:pPr>
              <w:jc w:val="center"/>
            </w:pPr>
            <w:r>
              <w:rPr>
                <w:rFonts w:ascii="宋体" w:hAnsi="宋体" w:eastAsia="宋体"/>
                <w:sz w:val="16"/>
              </w:rPr>
              <w:t>—</w:t>
            </w:r>
          </w:p>
        </w:tc>
      </w:tr>
      <w:tr w14:paraId="363EBD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A97D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7313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EA1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FBB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AEE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C76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27A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FBCC8">
            <w:pPr>
              <w:jc w:val="center"/>
            </w:pPr>
            <w:r>
              <w:rPr>
                <w:rFonts w:ascii="宋体" w:hAnsi="宋体" w:eastAsia="宋体"/>
                <w:sz w:val="16"/>
              </w:rPr>
              <w:t>—</w:t>
            </w:r>
          </w:p>
        </w:tc>
      </w:tr>
      <w:tr w14:paraId="6FC6DF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FC4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71B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643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EC2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234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7AA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596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AC301">
            <w:pPr>
              <w:jc w:val="center"/>
            </w:pPr>
            <w:r>
              <w:rPr>
                <w:rFonts w:ascii="宋体" w:hAnsi="宋体" w:eastAsia="宋体"/>
                <w:sz w:val="16"/>
              </w:rPr>
              <w:t>—</w:t>
            </w:r>
          </w:p>
        </w:tc>
      </w:tr>
      <w:tr w14:paraId="5C82678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252C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76287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A9FB1">
            <w:pPr>
              <w:jc w:val="center"/>
            </w:pPr>
            <w:r>
              <w:rPr>
                <w:rFonts w:ascii="宋体" w:hAnsi="宋体" w:eastAsia="宋体"/>
                <w:sz w:val="16"/>
              </w:rPr>
              <w:t>实际完成情况</w:t>
            </w:r>
          </w:p>
        </w:tc>
      </w:tr>
      <w:tr w14:paraId="20D02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9B58A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3FE697">
            <w:pPr>
              <w:jc w:val="both"/>
            </w:pPr>
            <w:r>
              <w:rPr>
                <w:rFonts w:ascii="宋体" w:hAnsi="宋体" w:eastAsia="宋体"/>
                <w:sz w:val="16"/>
              </w:rPr>
              <w:t>全年计划巡察4轮，巡察干部10人，巡察及回头看单位22个。通过项目实施，问题整改率达到95%及以上,进一步聚焦坚持党的领导，加强党的建设，全面从严治党，落实管党治党，党的政治责任，加强政治监督，发挥好巡察利剑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E468CC">
            <w:pPr>
              <w:jc w:val="both"/>
            </w:pPr>
            <w:r>
              <w:rPr>
                <w:rFonts w:ascii="宋体" w:hAnsi="宋体" w:eastAsia="宋体"/>
                <w:sz w:val="16"/>
              </w:rPr>
              <w:t>全年已完成巡察4轮，巡察干部10人，被巡察单位数25个，问题整改率99%。加强党的建设，全面从严治党，落实管党治党，党的政治责任，加强政治监督，发挥好巡察利剑作用。</w:t>
            </w:r>
          </w:p>
        </w:tc>
      </w:tr>
      <w:tr w14:paraId="37F6FC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7B9BA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7839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A274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C75C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9507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BCE1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B0C9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8F55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6EBB5">
            <w:pPr>
              <w:jc w:val="center"/>
            </w:pPr>
            <w:r>
              <w:rPr>
                <w:rFonts w:ascii="宋体" w:hAnsi="宋体" w:eastAsia="宋体"/>
                <w:sz w:val="16"/>
              </w:rPr>
              <w:t>偏差原因分析及改进措施</w:t>
            </w:r>
          </w:p>
        </w:tc>
      </w:tr>
      <w:tr w14:paraId="547189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1FBD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429C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D8A6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BFF5">
            <w:pPr>
              <w:jc w:val="center"/>
            </w:pPr>
            <w:r>
              <w:rPr>
                <w:rFonts w:ascii="宋体" w:hAnsi="宋体" w:eastAsia="宋体"/>
                <w:sz w:val="16"/>
              </w:rPr>
              <w:t>全年计划巡察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1BA46">
            <w:pPr>
              <w:jc w:val="center"/>
            </w:pPr>
            <w:r>
              <w:rPr>
                <w:rFonts w:ascii="宋体" w:hAnsi="宋体" w:eastAsia="宋体"/>
                <w:sz w:val="16"/>
              </w:rPr>
              <w:t>&gt;=4轮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84958">
            <w:pPr>
              <w:jc w:val="center"/>
            </w:pPr>
            <w:r>
              <w:rPr>
                <w:rFonts w:ascii="宋体" w:hAnsi="宋体" w:eastAsia="宋体"/>
                <w:sz w:val="16"/>
              </w:rPr>
              <w:t>=4轮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520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B7B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AAD0E">
            <w:pPr>
              <w:jc w:val="center"/>
            </w:pPr>
          </w:p>
        </w:tc>
      </w:tr>
      <w:tr w14:paraId="2C2ECD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FF0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79D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74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B217D">
            <w:pPr>
              <w:jc w:val="center"/>
            </w:pPr>
            <w:r>
              <w:rPr>
                <w:rFonts w:ascii="宋体" w:hAnsi="宋体" w:eastAsia="宋体"/>
                <w:sz w:val="16"/>
              </w:rPr>
              <w:t>巡察干部人数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09D8">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F736">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1961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90E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BB65C">
            <w:pPr>
              <w:jc w:val="center"/>
            </w:pPr>
          </w:p>
        </w:tc>
      </w:tr>
      <w:tr w14:paraId="67B476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E93F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550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552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7FA7E">
            <w:pPr>
              <w:jc w:val="center"/>
            </w:pPr>
            <w:r>
              <w:rPr>
                <w:rFonts w:ascii="宋体" w:hAnsi="宋体" w:eastAsia="宋体"/>
                <w:sz w:val="16"/>
              </w:rPr>
              <w:t>巡察及回头看单位数量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C0E88">
            <w:pPr>
              <w:jc w:val="center"/>
            </w:pPr>
            <w:r>
              <w:rPr>
                <w:rFonts w:ascii="宋体" w:hAnsi="宋体" w:eastAsia="宋体"/>
                <w:sz w:val="16"/>
              </w:rPr>
              <w:t>=22个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F0562">
            <w:pPr>
              <w:jc w:val="center"/>
            </w:pPr>
            <w:r>
              <w:rPr>
                <w:rFonts w:ascii="宋体" w:hAnsi="宋体" w:eastAsia="宋体"/>
                <w:sz w:val="16"/>
              </w:rPr>
              <w:t>=25个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57F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8E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D9502">
            <w:pPr>
              <w:jc w:val="center"/>
            </w:pPr>
          </w:p>
        </w:tc>
      </w:tr>
      <w:tr w14:paraId="052328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E5F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CD76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0C80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FBBC7">
            <w:pPr>
              <w:jc w:val="center"/>
            </w:pPr>
            <w:r>
              <w:rPr>
                <w:rFonts w:ascii="宋体" w:hAnsi="宋体" w:eastAsia="宋体"/>
                <w:sz w:val="16"/>
              </w:rPr>
              <w:t>巡察及回头看覆盖率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85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FD3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73CF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CC6D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D5A75">
            <w:pPr>
              <w:jc w:val="center"/>
            </w:pPr>
          </w:p>
        </w:tc>
      </w:tr>
      <w:tr w14:paraId="4FC3EB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BCE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2CD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A142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2966">
            <w:pPr>
              <w:jc w:val="center"/>
            </w:pPr>
            <w:r>
              <w:rPr>
                <w:rFonts w:ascii="宋体" w:hAnsi="宋体" w:eastAsia="宋体"/>
                <w:sz w:val="16"/>
              </w:rPr>
              <w:t>工作开展及时率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8F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ADC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F246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F438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CF5CB">
            <w:pPr>
              <w:jc w:val="center"/>
            </w:pPr>
          </w:p>
        </w:tc>
      </w:tr>
      <w:tr w14:paraId="1B3E63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DB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CA24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EF6F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0ED51">
            <w:pPr>
              <w:jc w:val="center"/>
            </w:pPr>
            <w:r>
              <w:rPr>
                <w:rFonts w:ascii="宋体" w:hAnsi="宋体" w:eastAsia="宋体"/>
                <w:sz w:val="16"/>
              </w:rPr>
              <w:t>人均巡察经费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5E548">
            <w:pPr>
              <w:jc w:val="center"/>
            </w:pPr>
            <w:r>
              <w:rPr>
                <w:rFonts w:ascii="宋体" w:hAnsi="宋体" w:eastAsia="宋体"/>
                <w:sz w:val="16"/>
              </w:rPr>
              <w:t>=2万元/年/人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17BDB">
            <w:pPr>
              <w:jc w:val="center"/>
            </w:pPr>
            <w:r>
              <w:rPr>
                <w:rFonts w:ascii="宋体" w:hAnsi="宋体" w:eastAsia="宋体"/>
                <w:sz w:val="16"/>
              </w:rPr>
              <w:t>=1.8万元/年/人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6D20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2BFF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69870">
            <w:pPr>
              <w:jc w:val="center"/>
            </w:pPr>
            <w:r>
              <w:rPr>
                <w:rFonts w:ascii="宋体" w:hAnsi="宋体" w:eastAsia="宋体"/>
                <w:sz w:val="16"/>
              </w:rPr>
              <w:t>部分差旅费的审批手续缓慢。</w:t>
            </w:r>
          </w:p>
        </w:tc>
      </w:tr>
      <w:tr w14:paraId="08424F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AB3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3E17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16B9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2E4FC">
            <w:pPr>
              <w:jc w:val="center"/>
            </w:pPr>
            <w:r>
              <w:rPr>
                <w:rFonts w:ascii="宋体" w:hAnsi="宋体" w:eastAsia="宋体"/>
                <w:sz w:val="16"/>
              </w:rPr>
              <w:t>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3CE7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B4F85">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CD9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D8A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38FF1">
            <w:pPr>
              <w:jc w:val="center"/>
            </w:pPr>
          </w:p>
        </w:tc>
      </w:tr>
      <w:tr w14:paraId="099BBC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8E9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09D4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E7A4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38827">
            <w:pPr>
              <w:jc w:val="center"/>
            </w:pPr>
            <w:r>
              <w:rPr>
                <w:rFonts w:ascii="宋体" w:hAnsi="宋体" w:eastAsia="宋体"/>
                <w:sz w:val="16"/>
              </w:rPr>
              <w:t>巡察干部满意度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4BB8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BCB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F60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436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CF0F5">
            <w:pPr>
              <w:jc w:val="center"/>
            </w:pPr>
          </w:p>
        </w:tc>
      </w:tr>
      <w:tr w14:paraId="5FFCA50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1239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FC45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C5E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36AD4">
            <w:pPr>
              <w:jc w:val="center"/>
            </w:pPr>
            <w:r>
              <w:rPr>
                <w:rFonts w:ascii="宋体" w:hAnsi="宋体" w:eastAsia="宋体"/>
                <w:sz w:val="16"/>
              </w:rPr>
              <w:t>92.49分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4E8538"/>
        </w:tc>
      </w:tr>
    </w:tbl>
    <w:p w14:paraId="0840B639">
      <w:r>
        <w:br w:type="page"/>
      </w:r>
    </w:p>
    <w:p w14:paraId="0754B9FD">
      <w:pPr>
        <w:spacing w:line="640" w:lineRule="exact"/>
        <w:ind w:firstLine="640"/>
        <w:jc w:val="both"/>
        <w:outlineLvl w:val="2"/>
      </w:pPr>
      <w:r>
        <w:rPr>
          <w:rFonts w:ascii="黑体" w:hAnsi="黑体" w:eastAsia="黑体"/>
          <w:sz w:val="32"/>
        </w:rPr>
        <w:t>十二、其他需说明的事项</w:t>
      </w:r>
    </w:p>
    <w:p w14:paraId="1965C29B">
      <w:pPr>
        <w:spacing w:line="580" w:lineRule="exact"/>
        <w:ind w:firstLine="640"/>
        <w:jc w:val="both"/>
      </w:pPr>
      <w:r>
        <w:rPr>
          <w:rFonts w:ascii="仿宋_GB2312" w:hAnsi="仿宋_GB2312" w:eastAsia="仿宋_GB2312"/>
          <w:b w:val="0"/>
          <w:sz w:val="32"/>
        </w:rPr>
        <w:t>本单位无其他需说明的事项。</w:t>
      </w:r>
    </w:p>
    <w:p w14:paraId="366EC773">
      <w:r>
        <w:br w:type="page"/>
      </w:r>
    </w:p>
    <w:p w14:paraId="5232021B">
      <w:pPr>
        <w:spacing w:line="240" w:lineRule="auto"/>
        <w:jc w:val="center"/>
        <w:outlineLvl w:val="1"/>
      </w:pPr>
      <w:r>
        <w:rPr>
          <w:rFonts w:ascii="黑体" w:hAnsi="黑体" w:eastAsia="黑体"/>
          <w:sz w:val="32"/>
        </w:rPr>
        <w:t>第三部分 专业名词解释</w:t>
      </w:r>
    </w:p>
    <w:p w14:paraId="667C513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79B8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08FC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882C6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45A14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B7C51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F44CBA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3905E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7E2FC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5D19D4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18888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E500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9C690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86346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FB6065">
      <w:r>
        <w:br w:type="page"/>
      </w:r>
    </w:p>
    <w:p w14:paraId="181A3450">
      <w:pPr>
        <w:spacing w:line="240" w:lineRule="auto"/>
        <w:jc w:val="center"/>
        <w:outlineLvl w:val="1"/>
      </w:pPr>
      <w:r>
        <w:rPr>
          <w:rFonts w:ascii="黑体" w:hAnsi="黑体" w:eastAsia="黑体"/>
          <w:sz w:val="32"/>
        </w:rPr>
        <w:t>第四部分 部门决算报表（见附表）</w:t>
      </w:r>
    </w:p>
    <w:p w14:paraId="1DBED71A">
      <w:pPr>
        <w:spacing w:line="240" w:lineRule="auto"/>
        <w:ind w:firstLine="640"/>
        <w:jc w:val="both"/>
      </w:pPr>
      <w:r>
        <w:rPr>
          <w:rFonts w:ascii="仿宋_GB2312" w:hAnsi="仿宋_GB2312" w:eastAsia="仿宋_GB2312"/>
          <w:b w:val="0"/>
          <w:sz w:val="32"/>
        </w:rPr>
        <w:t>一、《收入支出决算总表》</w:t>
      </w:r>
    </w:p>
    <w:p w14:paraId="3E701EE6">
      <w:pPr>
        <w:spacing w:line="240" w:lineRule="auto"/>
        <w:ind w:firstLine="640"/>
        <w:jc w:val="both"/>
      </w:pPr>
      <w:r>
        <w:rPr>
          <w:rFonts w:ascii="仿宋_GB2312" w:hAnsi="仿宋_GB2312" w:eastAsia="仿宋_GB2312"/>
          <w:b w:val="0"/>
          <w:sz w:val="32"/>
        </w:rPr>
        <w:t>二、《收入决算表》</w:t>
      </w:r>
    </w:p>
    <w:p w14:paraId="3A659800">
      <w:pPr>
        <w:spacing w:line="240" w:lineRule="auto"/>
        <w:ind w:firstLine="640"/>
        <w:jc w:val="both"/>
      </w:pPr>
      <w:r>
        <w:rPr>
          <w:rFonts w:ascii="仿宋_GB2312" w:hAnsi="仿宋_GB2312" w:eastAsia="仿宋_GB2312"/>
          <w:b w:val="0"/>
          <w:sz w:val="32"/>
        </w:rPr>
        <w:t>三、《支出决算表》</w:t>
      </w:r>
    </w:p>
    <w:p w14:paraId="2C7D1F23">
      <w:pPr>
        <w:spacing w:line="240" w:lineRule="auto"/>
        <w:ind w:firstLine="640"/>
        <w:jc w:val="both"/>
      </w:pPr>
      <w:r>
        <w:rPr>
          <w:rFonts w:ascii="仿宋_GB2312" w:hAnsi="仿宋_GB2312" w:eastAsia="仿宋_GB2312"/>
          <w:b w:val="0"/>
          <w:sz w:val="32"/>
        </w:rPr>
        <w:t>四、《财政拨款收入支出决算总表》</w:t>
      </w:r>
    </w:p>
    <w:p w14:paraId="4B205A7C">
      <w:pPr>
        <w:spacing w:line="240" w:lineRule="auto"/>
        <w:ind w:firstLine="640"/>
        <w:jc w:val="both"/>
      </w:pPr>
      <w:r>
        <w:rPr>
          <w:rFonts w:ascii="仿宋_GB2312" w:hAnsi="仿宋_GB2312" w:eastAsia="仿宋_GB2312"/>
          <w:b w:val="0"/>
          <w:sz w:val="32"/>
        </w:rPr>
        <w:t>五、《一般公共预算财政拨款支出决算表》</w:t>
      </w:r>
    </w:p>
    <w:p w14:paraId="7F546E20">
      <w:pPr>
        <w:spacing w:line="240" w:lineRule="auto"/>
        <w:ind w:firstLine="640"/>
        <w:jc w:val="both"/>
      </w:pPr>
      <w:r>
        <w:rPr>
          <w:rFonts w:ascii="仿宋_GB2312" w:hAnsi="仿宋_GB2312" w:eastAsia="仿宋_GB2312"/>
          <w:b w:val="0"/>
          <w:sz w:val="32"/>
        </w:rPr>
        <w:t>六、《一般公共预算财政拨款基本支出决算表》</w:t>
      </w:r>
    </w:p>
    <w:p w14:paraId="09AC6043">
      <w:pPr>
        <w:spacing w:line="240" w:lineRule="auto"/>
        <w:ind w:firstLine="640"/>
        <w:jc w:val="both"/>
      </w:pPr>
      <w:r>
        <w:rPr>
          <w:rFonts w:ascii="仿宋_GB2312" w:hAnsi="仿宋_GB2312" w:eastAsia="仿宋_GB2312"/>
          <w:b w:val="0"/>
          <w:sz w:val="32"/>
        </w:rPr>
        <w:t>七、《政府性基金预算财政拨款收入支出决算表》</w:t>
      </w:r>
    </w:p>
    <w:p w14:paraId="3018E59D">
      <w:pPr>
        <w:spacing w:line="240" w:lineRule="auto"/>
        <w:ind w:firstLine="640"/>
        <w:jc w:val="both"/>
      </w:pPr>
      <w:r>
        <w:rPr>
          <w:rFonts w:ascii="仿宋_GB2312" w:hAnsi="仿宋_GB2312" w:eastAsia="仿宋_GB2312"/>
          <w:b w:val="0"/>
          <w:sz w:val="32"/>
        </w:rPr>
        <w:t>八、《国有资本经营预算财政拨款收入支出决算表》</w:t>
      </w:r>
    </w:p>
    <w:p w14:paraId="2FE5A1C4">
      <w:pPr>
        <w:spacing w:line="240" w:lineRule="auto"/>
        <w:ind w:firstLine="640"/>
        <w:jc w:val="both"/>
      </w:pPr>
      <w:r>
        <w:rPr>
          <w:rFonts w:ascii="仿宋_GB2312" w:hAnsi="仿宋_GB2312" w:eastAsia="仿宋_GB2312"/>
          <w:b w:val="0"/>
          <w:sz w:val="32"/>
        </w:rPr>
        <w:t>九、《财政拨款“三公”经费支出决算表》</w:t>
      </w:r>
    </w:p>
    <w:p w14:paraId="4443AACB">
      <w:pPr>
        <w:spacing w:line="240" w:lineRule="auto"/>
        <w:ind w:firstLine="640"/>
        <w:jc w:val="both"/>
      </w:pPr>
    </w:p>
    <w:p w14:paraId="7C8458FF">
      <w:pPr>
        <w:spacing w:line="240" w:lineRule="auto"/>
        <w:ind w:firstLine="640"/>
        <w:jc w:val="both"/>
      </w:pPr>
    </w:p>
    <w:p w14:paraId="18A525E4">
      <w:pPr>
        <w:spacing w:line="240" w:lineRule="auto"/>
        <w:ind w:firstLine="640"/>
        <w:jc w:val="both"/>
      </w:pPr>
    </w:p>
    <w:p w14:paraId="71F9A18F">
      <w:pPr>
        <w:spacing w:line="240" w:lineRule="auto"/>
        <w:ind w:firstLine="640"/>
        <w:jc w:val="both"/>
      </w:pPr>
    </w:p>
    <w:p w14:paraId="00C233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077A21"/>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6D51C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6089</Words>
  <Characters>7030</Characters>
  <Lines>0</Lines>
  <Paragraphs>0</Paragraphs>
  <TotalTime>6</TotalTime>
  <ScaleCrop>false</ScaleCrop>
  <LinksUpToDate>false</LinksUpToDate>
  <CharactersWithSpaces>7048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