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中国人民政治协商会议民丰县委员会办公室2024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72B7A19">
      <w:r>
        <w:br w:type="page"/>
      </w:r>
    </w:p>
    <w:p w14:paraId="2D56A9C1">
      <w:pPr>
        <w:spacing w:line="640" w:lineRule="exact"/>
        <w:jc w:val="center"/>
        <w:outlineLvl w:val="1"/>
      </w:pPr>
      <w:r>
        <w:rPr>
          <w:rFonts w:ascii="黑体" w:hAnsi="黑体" w:eastAsia="黑体"/>
          <w:sz w:val="32"/>
        </w:rPr>
        <w:t>第一部分 单位概况</w:t>
      </w:r>
    </w:p>
    <w:p w14:paraId="61372CCE">
      <w:pPr>
        <w:spacing w:line="640" w:lineRule="exact"/>
        <w:ind w:firstLine="640"/>
        <w:jc w:val="both"/>
        <w:outlineLvl w:val="2"/>
      </w:pPr>
      <w:r>
        <w:rPr>
          <w:rFonts w:ascii="黑体" w:hAnsi="黑体" w:eastAsia="黑体"/>
          <w:sz w:val="32"/>
        </w:rPr>
        <w:t>一、主要职能</w:t>
      </w:r>
    </w:p>
    <w:p w14:paraId="6A7F0CD5">
      <w:pPr>
        <w:spacing w:line="580" w:lineRule="exact"/>
        <w:ind w:firstLine="640"/>
        <w:jc w:val="both"/>
      </w:pPr>
      <w:r>
        <w:rPr>
          <w:rFonts w:ascii="仿宋_GB2312" w:hAnsi="仿宋_GB2312" w:eastAsia="仿宋_GB2312"/>
          <w:sz w:val="32"/>
        </w:rPr>
        <w:t>中国人民政治协商会议，简称人民政协，是中国人民爱国统一战线的组织，是中国共产党领导的多党合作和政治协商的重要机构，是中国政治生活中发扬社会主义民主的一种重要形式。中国人民政治协商会议，是中国各族人民经过长期的革命斗争，在新中国成立前夕，由中国共产党和各民主党派、无党派民主人士、各人民团体、各界爱国人士共同创立的。中国人民政治协商会议设全国委员会和地方委员会。全国委员会设常务委员会主持会务。它根据中国共产党同各民主党派和无党派民主人士“长期共存、互相监督、肝胆相照、荣辱与共”的方针，对国家大政方针和群众生活的重要问题进行政治协商，并通过建议和批评发挥参政议政、民主监督的作用。这有利于坚持和改善共产党的领导，又有利于更广泛地联系和团结各阶层群众。</w:t>
      </w:r>
    </w:p>
    <w:p w14:paraId="54CEE3DB">
      <w:pPr>
        <w:spacing w:line="640" w:lineRule="exact"/>
        <w:ind w:firstLine="640"/>
        <w:jc w:val="both"/>
        <w:outlineLvl w:val="2"/>
      </w:pPr>
      <w:r>
        <w:rPr>
          <w:rFonts w:ascii="黑体" w:hAnsi="黑体" w:eastAsia="黑体"/>
          <w:sz w:val="32"/>
        </w:rPr>
        <w:t>二、机构设置及人员情况</w:t>
      </w:r>
    </w:p>
    <w:p w14:paraId="0FC0B6D3">
      <w:pPr>
        <w:spacing w:line="580" w:lineRule="exact"/>
        <w:ind w:firstLine="640"/>
        <w:jc w:val="both"/>
      </w:pPr>
      <w:r>
        <w:rPr>
          <w:rFonts w:ascii="仿宋_GB2312" w:hAnsi="仿宋_GB2312" w:eastAsia="仿宋_GB2312"/>
          <w:sz w:val="32"/>
        </w:rPr>
        <w:t>中国人民政治协商会议民丰县委员会办公室2024年度，实有人数25人，其中：在职人员10人，增加0人；离休人员0人，增加0人；退休人员15人</w:t>
      </w:r>
      <w:bookmarkStart w:id="0" w:name="_GoBack"/>
      <w:r>
        <w:rPr>
          <w:rFonts w:ascii="仿宋_GB2312" w:hAnsi="仿宋_GB2312" w:eastAsia="仿宋_GB2312"/>
          <w:sz w:val="32"/>
        </w:rPr>
        <w:t>,</w:t>
      </w:r>
      <w:bookmarkEnd w:id="0"/>
      <w:r>
        <w:rPr>
          <w:rFonts w:ascii="仿宋_GB2312" w:hAnsi="仿宋_GB2312" w:eastAsia="仿宋_GB2312"/>
          <w:sz w:val="32"/>
        </w:rPr>
        <w:t>减少2人。</w:t>
      </w:r>
    </w:p>
    <w:p w14:paraId="74D44F64">
      <w:pPr>
        <w:spacing w:line="580" w:lineRule="exact"/>
        <w:ind w:firstLine="640"/>
        <w:jc w:val="both"/>
      </w:pPr>
      <w:r>
        <w:rPr>
          <w:rFonts w:ascii="仿宋_GB2312" w:hAnsi="仿宋_GB2312" w:eastAsia="仿宋_GB2312"/>
          <w:sz w:val="32"/>
        </w:rPr>
        <w:t>中国人民政治协商会议民丰县委员会办公室无下属预算单位，下设3个科室，分别是：办公室、财务室、综合室。</w:t>
      </w:r>
    </w:p>
    <w:p w14:paraId="37A2AB0A">
      <w:r>
        <w:br w:type="page"/>
      </w:r>
    </w:p>
    <w:p w14:paraId="103BDB7B">
      <w:pPr>
        <w:spacing w:line="240" w:lineRule="auto"/>
        <w:jc w:val="center"/>
        <w:outlineLvl w:val="1"/>
      </w:pPr>
      <w:r>
        <w:rPr>
          <w:rFonts w:ascii="黑体" w:hAnsi="黑体" w:eastAsia="黑体"/>
          <w:sz w:val="32"/>
        </w:rPr>
        <w:t>第二部分 部门决算情况说明</w:t>
      </w:r>
    </w:p>
    <w:p w14:paraId="2A904E88">
      <w:pPr>
        <w:spacing w:line="640" w:lineRule="exact"/>
        <w:ind w:firstLine="640"/>
        <w:jc w:val="both"/>
        <w:outlineLvl w:val="2"/>
      </w:pPr>
      <w:r>
        <w:rPr>
          <w:rFonts w:ascii="黑体" w:hAnsi="黑体" w:eastAsia="黑体"/>
          <w:sz w:val="32"/>
        </w:rPr>
        <w:t>一、收入支出决算总体情况说明</w:t>
      </w:r>
    </w:p>
    <w:p w14:paraId="62E2D982">
      <w:pPr>
        <w:spacing w:line="580" w:lineRule="exact"/>
        <w:ind w:firstLine="640"/>
        <w:jc w:val="both"/>
      </w:pPr>
      <w:r>
        <w:rPr>
          <w:rFonts w:ascii="仿宋_GB2312" w:hAnsi="仿宋_GB2312" w:eastAsia="仿宋_GB2312"/>
          <w:b/>
          <w:sz w:val="32"/>
        </w:rPr>
        <w:t>2024年度收入总计357.55万元，</w:t>
      </w:r>
      <w:r>
        <w:rPr>
          <w:rFonts w:ascii="仿宋_GB2312" w:hAnsi="仿宋_GB2312" w:eastAsia="仿宋_GB2312"/>
          <w:b w:val="0"/>
          <w:sz w:val="32"/>
        </w:rPr>
        <w:t>其中：本年收入合计357.54万元，使用非财政拨款结余（含专用结余）0.00万元，年初结转和结余0.00万元。</w:t>
      </w:r>
    </w:p>
    <w:p w14:paraId="3E3483A9">
      <w:pPr>
        <w:spacing w:line="580" w:lineRule="exact"/>
        <w:ind w:firstLine="640"/>
        <w:jc w:val="both"/>
      </w:pPr>
      <w:r>
        <w:rPr>
          <w:rFonts w:ascii="仿宋_GB2312" w:hAnsi="仿宋_GB2312" w:eastAsia="仿宋_GB2312"/>
          <w:b/>
          <w:sz w:val="32"/>
        </w:rPr>
        <w:t>2024年度支出总计357.55万元，</w:t>
      </w:r>
      <w:r>
        <w:rPr>
          <w:rFonts w:ascii="仿宋_GB2312" w:hAnsi="仿宋_GB2312" w:eastAsia="仿宋_GB2312"/>
          <w:b w:val="0"/>
          <w:sz w:val="32"/>
        </w:rPr>
        <w:t>其中：本年支出合计357.54万元，结余分配0.00万元，年末结转和结余0.01万元。</w:t>
      </w:r>
    </w:p>
    <w:p w14:paraId="109B3023">
      <w:pPr>
        <w:spacing w:line="580" w:lineRule="exact"/>
        <w:ind w:firstLine="640"/>
        <w:jc w:val="both"/>
      </w:pPr>
      <w:r>
        <w:rPr>
          <w:rFonts w:ascii="仿宋_GB2312" w:hAnsi="仿宋_GB2312" w:eastAsia="仿宋_GB2312"/>
          <w:b w:val="0"/>
          <w:sz w:val="32"/>
        </w:rPr>
        <w:t>收入支出总体与上年相比，增加60.40万元，增长20.33%，主要原因是：一是本年在职人员工资调增、社保、公积金基数调增，人员经费增加；二是增加去世人员抚恤金；三是2024年10月份开始缴纳在职职工职业年金单位部分。</w:t>
      </w:r>
    </w:p>
    <w:p w14:paraId="3DB19DFF">
      <w:pPr>
        <w:spacing w:line="640" w:lineRule="exact"/>
        <w:ind w:firstLine="640"/>
        <w:jc w:val="both"/>
        <w:outlineLvl w:val="2"/>
      </w:pPr>
      <w:r>
        <w:rPr>
          <w:rFonts w:ascii="黑体" w:hAnsi="黑体" w:eastAsia="黑体"/>
          <w:sz w:val="32"/>
        </w:rPr>
        <w:t>二、收入决算情况说明</w:t>
      </w:r>
    </w:p>
    <w:p w14:paraId="048AFAF6">
      <w:pPr>
        <w:spacing w:line="580" w:lineRule="exact"/>
        <w:ind w:firstLine="640"/>
        <w:jc w:val="both"/>
      </w:pPr>
      <w:r>
        <w:rPr>
          <w:rFonts w:ascii="仿宋_GB2312" w:hAnsi="仿宋_GB2312" w:eastAsia="仿宋_GB2312"/>
          <w:b/>
          <w:sz w:val="32"/>
        </w:rPr>
        <w:t>本年收入357.54万元，</w:t>
      </w:r>
      <w:r>
        <w:rPr>
          <w:rFonts w:ascii="仿宋_GB2312" w:hAnsi="仿宋_GB2312" w:eastAsia="仿宋_GB2312"/>
          <w:b w:val="0"/>
          <w:sz w:val="32"/>
        </w:rPr>
        <w:t>其中：财政拨款收入357.54万元，占100.00%；上级补助收入0.00万元，占0.00%；事业收入0.00万元，占0.00%；经营收入0.00万元，占0.00%；附属单位上缴收入0.00万元，占0.00%；其他收入0.00万元，占0.00%。</w:t>
      </w:r>
    </w:p>
    <w:p w14:paraId="5E68483A">
      <w:pPr>
        <w:spacing w:line="640" w:lineRule="exact"/>
        <w:ind w:firstLine="640"/>
        <w:jc w:val="both"/>
        <w:outlineLvl w:val="2"/>
      </w:pPr>
      <w:r>
        <w:rPr>
          <w:rFonts w:ascii="黑体" w:hAnsi="黑体" w:eastAsia="黑体"/>
          <w:sz w:val="32"/>
        </w:rPr>
        <w:t>三、支出决算情况说明</w:t>
      </w:r>
    </w:p>
    <w:p w14:paraId="01B9C179">
      <w:pPr>
        <w:spacing w:line="580" w:lineRule="exact"/>
        <w:ind w:firstLine="640"/>
        <w:jc w:val="both"/>
      </w:pPr>
      <w:r>
        <w:rPr>
          <w:rFonts w:ascii="仿宋_GB2312" w:hAnsi="仿宋_GB2312" w:eastAsia="仿宋_GB2312"/>
          <w:b/>
          <w:sz w:val="32"/>
        </w:rPr>
        <w:t>本年支出357.54万元，</w:t>
      </w:r>
      <w:r>
        <w:rPr>
          <w:rFonts w:ascii="仿宋_GB2312" w:hAnsi="仿宋_GB2312" w:eastAsia="仿宋_GB2312"/>
          <w:b w:val="0"/>
          <w:sz w:val="32"/>
        </w:rPr>
        <w:t>其中：基本支出350.57万元，占98.05%；项目支出6.97万元，占1.95%；上缴上级支出0.00万元，占0.00%；经营支出0.00万元，占0.00%；对附属单位补助支出0.00万元，占0.00%。</w:t>
      </w:r>
    </w:p>
    <w:p w14:paraId="54174253">
      <w:pPr>
        <w:spacing w:line="640" w:lineRule="exact"/>
        <w:ind w:firstLine="640"/>
        <w:jc w:val="both"/>
        <w:outlineLvl w:val="2"/>
      </w:pPr>
      <w:r>
        <w:rPr>
          <w:rFonts w:ascii="黑体" w:hAnsi="黑体" w:eastAsia="黑体"/>
          <w:sz w:val="32"/>
        </w:rPr>
        <w:t>四、财政拨款收入支出决算总体情况说明</w:t>
      </w:r>
    </w:p>
    <w:p w14:paraId="18E158EE">
      <w:pPr>
        <w:spacing w:line="580" w:lineRule="exact"/>
        <w:ind w:firstLine="640"/>
        <w:jc w:val="both"/>
      </w:pPr>
      <w:r>
        <w:rPr>
          <w:rFonts w:ascii="仿宋_GB2312" w:hAnsi="仿宋_GB2312" w:eastAsia="仿宋_GB2312"/>
          <w:b/>
          <w:sz w:val="32"/>
        </w:rPr>
        <w:t>2024年度财政拨款收入总计357.54万元，</w:t>
      </w:r>
      <w:r>
        <w:rPr>
          <w:rFonts w:ascii="仿宋_GB2312" w:hAnsi="仿宋_GB2312" w:eastAsia="仿宋_GB2312"/>
          <w:b w:val="0"/>
          <w:sz w:val="32"/>
        </w:rPr>
        <w:t>其中：年初财政拨款结转和结余0.00万元，本年财政拨款收入357.54万元。</w:t>
      </w:r>
      <w:r>
        <w:rPr>
          <w:rFonts w:ascii="仿宋_GB2312" w:hAnsi="仿宋_GB2312" w:eastAsia="仿宋_GB2312"/>
          <w:b/>
          <w:sz w:val="32"/>
        </w:rPr>
        <w:t>财政拨款支出总计357.54万元，</w:t>
      </w:r>
      <w:r>
        <w:rPr>
          <w:rFonts w:ascii="仿宋_GB2312" w:hAnsi="仿宋_GB2312" w:eastAsia="仿宋_GB2312"/>
          <w:b w:val="0"/>
          <w:sz w:val="32"/>
        </w:rPr>
        <w:t>其中：年末财政拨款结转和结余0.00万元，本年财政拨款支出357.54万元。</w:t>
      </w:r>
    </w:p>
    <w:p w14:paraId="4B1CF7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增加60.40万元，增长20.33%，主要原因是：一是本年在职人员工资调增、社保、公积金基数调增，人员经费增加；二是增加去世人员抚恤金；三是2024年10月份开始缴纳在职职工职业年金单位部分。</w:t>
      </w:r>
      <w:r>
        <w:rPr>
          <w:rFonts w:ascii="仿宋_GB2312" w:hAnsi="仿宋_GB2312" w:eastAsia="仿宋_GB2312"/>
          <w:b/>
          <w:sz w:val="32"/>
        </w:rPr>
        <w:t>与年初预算相比，</w:t>
      </w:r>
      <w:r>
        <w:rPr>
          <w:rFonts w:ascii="仿宋_GB2312" w:hAnsi="仿宋_GB2312" w:eastAsia="仿宋_GB2312"/>
          <w:b w:val="0"/>
          <w:sz w:val="32"/>
        </w:rPr>
        <w:t>年初预算数329.83万元，决算数357.54万元，预决算差异率8.40%，主要原因是：年中追加人员工资、社保、公积金基数调增部分资金及去世人员抚恤金，导致预决算存在差异。</w:t>
      </w:r>
    </w:p>
    <w:p w14:paraId="0903FC07">
      <w:pPr>
        <w:spacing w:line="640" w:lineRule="exact"/>
        <w:ind w:firstLine="640"/>
        <w:jc w:val="both"/>
        <w:outlineLvl w:val="2"/>
      </w:pPr>
      <w:r>
        <w:rPr>
          <w:rFonts w:ascii="黑体" w:hAnsi="黑体" w:eastAsia="黑体"/>
          <w:sz w:val="32"/>
        </w:rPr>
        <w:t>五、一般公共预算财政拨款支出决算情况说明</w:t>
      </w:r>
    </w:p>
    <w:p w14:paraId="02D6C751">
      <w:pPr>
        <w:spacing w:line="640" w:lineRule="exact"/>
        <w:ind w:firstLine="640"/>
        <w:jc w:val="both"/>
        <w:outlineLvl w:val="3"/>
      </w:pPr>
      <w:r>
        <w:rPr>
          <w:rFonts w:ascii="楷体_GB2312" w:hAnsi="楷体_GB2312" w:eastAsia="楷体_GB2312"/>
          <w:b/>
          <w:sz w:val="32"/>
        </w:rPr>
        <w:t>（一）一般公共预算财政拨款支出决算总体情况</w:t>
      </w:r>
    </w:p>
    <w:p w14:paraId="03A05F22">
      <w:pPr>
        <w:spacing w:line="580" w:lineRule="exact"/>
        <w:ind w:firstLine="640"/>
        <w:jc w:val="both"/>
      </w:pPr>
      <w:r>
        <w:rPr>
          <w:rFonts w:ascii="仿宋_GB2312" w:hAnsi="仿宋_GB2312" w:eastAsia="仿宋_GB2312"/>
          <w:b/>
          <w:sz w:val="32"/>
        </w:rPr>
        <w:t>2024年度一般公共预算财政拨款支出357.54万元，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增加60.40万元，增长20.33%，主要原因是：一是本年在职人员工资调增、社保、公积金基数调增，人员经费增加；二是增加去世人员抚恤金；三是2024年10月份开始缴纳在职职工职业年金单位部分。</w:t>
      </w:r>
      <w:r>
        <w:rPr>
          <w:rFonts w:ascii="仿宋_GB2312" w:hAnsi="仿宋_GB2312" w:eastAsia="仿宋_GB2312"/>
          <w:b/>
          <w:sz w:val="32"/>
        </w:rPr>
        <w:t>与年初预算相比,</w:t>
      </w:r>
      <w:r>
        <w:rPr>
          <w:rFonts w:ascii="仿宋_GB2312" w:hAnsi="仿宋_GB2312" w:eastAsia="仿宋_GB2312"/>
          <w:b w:val="0"/>
          <w:sz w:val="32"/>
        </w:rPr>
        <w:t>年初预算数329.83万元，决算数357.54万元，预决算差异率8.40%，主要原因是：年中追加人员工资、社保、公积金基数调增部分资金及去世人员抚恤金，导致预决算存在差异。</w:t>
      </w:r>
    </w:p>
    <w:p w14:paraId="41E42A35">
      <w:pPr>
        <w:spacing w:line="640" w:lineRule="exact"/>
        <w:ind w:firstLine="640"/>
        <w:jc w:val="both"/>
        <w:outlineLvl w:val="3"/>
      </w:pPr>
      <w:r>
        <w:rPr>
          <w:rFonts w:ascii="楷体_GB2312" w:hAnsi="楷体_GB2312" w:eastAsia="楷体_GB2312"/>
          <w:b/>
          <w:sz w:val="32"/>
        </w:rPr>
        <w:t>（二）一般公共预算财政拨款支出决算结构情况</w:t>
      </w:r>
    </w:p>
    <w:p w14:paraId="0AECBA56">
      <w:pPr>
        <w:spacing w:line="580" w:lineRule="exact"/>
        <w:ind w:firstLine="640"/>
        <w:jc w:val="both"/>
      </w:pPr>
      <w:r>
        <w:rPr>
          <w:rFonts w:ascii="仿宋_GB2312" w:hAnsi="仿宋_GB2312" w:eastAsia="仿宋_GB2312"/>
          <w:b w:val="0"/>
          <w:sz w:val="32"/>
        </w:rPr>
        <w:t>1.一般公共服务支出(类)247.30万元,占69.17%。</w:t>
      </w:r>
    </w:p>
    <w:p w14:paraId="662C3DA8">
      <w:pPr>
        <w:spacing w:line="580" w:lineRule="exact"/>
        <w:ind w:firstLine="640"/>
        <w:jc w:val="both"/>
      </w:pPr>
      <w:r>
        <w:rPr>
          <w:rFonts w:ascii="仿宋_GB2312" w:hAnsi="仿宋_GB2312" w:eastAsia="仿宋_GB2312"/>
          <w:b w:val="0"/>
          <w:sz w:val="32"/>
        </w:rPr>
        <w:t>2.社会保障和就业支出(类)67.31万元,占18.83%。</w:t>
      </w:r>
    </w:p>
    <w:p w14:paraId="1113EEBB">
      <w:pPr>
        <w:spacing w:line="580" w:lineRule="exact"/>
        <w:ind w:firstLine="640"/>
        <w:jc w:val="both"/>
      </w:pPr>
      <w:r>
        <w:rPr>
          <w:rFonts w:ascii="仿宋_GB2312" w:hAnsi="仿宋_GB2312" w:eastAsia="仿宋_GB2312"/>
          <w:b w:val="0"/>
          <w:sz w:val="32"/>
        </w:rPr>
        <w:t>3.卫生健康支出(类)16.87万元,占4.72%。</w:t>
      </w:r>
    </w:p>
    <w:p w14:paraId="77A26F84">
      <w:pPr>
        <w:spacing w:line="580" w:lineRule="exact"/>
        <w:ind w:firstLine="640"/>
        <w:jc w:val="both"/>
      </w:pPr>
      <w:r>
        <w:rPr>
          <w:rFonts w:ascii="仿宋_GB2312" w:hAnsi="仿宋_GB2312" w:eastAsia="仿宋_GB2312"/>
          <w:b w:val="0"/>
          <w:sz w:val="32"/>
        </w:rPr>
        <w:t>4.农林水支出(类)6.97万元,占1.95%。</w:t>
      </w:r>
    </w:p>
    <w:p w14:paraId="4E2EBC13">
      <w:pPr>
        <w:spacing w:line="580" w:lineRule="exact"/>
        <w:ind w:firstLine="640"/>
        <w:jc w:val="both"/>
      </w:pPr>
      <w:r>
        <w:rPr>
          <w:rFonts w:ascii="仿宋_GB2312" w:hAnsi="仿宋_GB2312" w:eastAsia="仿宋_GB2312"/>
          <w:b w:val="0"/>
          <w:sz w:val="32"/>
        </w:rPr>
        <w:t>5.住房保障支出(类)19.09万元,占5.34%。</w:t>
      </w:r>
    </w:p>
    <w:p w14:paraId="07DBFF0C">
      <w:pPr>
        <w:spacing w:line="640" w:lineRule="exact"/>
        <w:ind w:firstLine="640"/>
        <w:jc w:val="both"/>
        <w:outlineLvl w:val="3"/>
      </w:pPr>
      <w:r>
        <w:rPr>
          <w:rFonts w:ascii="楷体_GB2312" w:hAnsi="楷体_GB2312" w:eastAsia="楷体_GB2312"/>
          <w:b/>
          <w:sz w:val="32"/>
        </w:rPr>
        <w:t>（三）一般公共预算财政拨款支出决算具体情况</w:t>
      </w:r>
    </w:p>
    <w:p w14:paraId="724F1396">
      <w:pPr>
        <w:spacing w:line="580" w:lineRule="exact"/>
        <w:ind w:firstLine="640"/>
        <w:jc w:val="both"/>
      </w:pPr>
      <w:r>
        <w:rPr>
          <w:rFonts w:ascii="仿宋_GB2312" w:hAnsi="仿宋_GB2312" w:eastAsia="仿宋_GB2312"/>
          <w:b w:val="0"/>
          <w:sz w:val="32"/>
        </w:rPr>
        <w:t>1.一般公共服务支出(类)政协事务(款)行政运行(项):支出决算数为247.30万元，比上年决算减少16.76万元，下降6.35%,主要原因是：本年功能科目调整，职工住房公积金</w:t>
      </w:r>
      <w:r>
        <w:rPr>
          <w:rFonts w:hint="eastAsia" w:ascii="仿宋_GB2312" w:hAnsi="仿宋_GB2312" w:eastAsia="仿宋_GB2312"/>
          <w:b w:val="0"/>
          <w:sz w:val="32"/>
          <w:lang w:eastAsia="zh-CN"/>
        </w:rPr>
        <w:t>、</w:t>
      </w:r>
      <w:r>
        <w:rPr>
          <w:rFonts w:ascii="仿宋_GB2312" w:hAnsi="仿宋_GB2312" w:eastAsia="仿宋_GB2312"/>
          <w:b w:val="0"/>
          <w:sz w:val="32"/>
        </w:rPr>
        <w:t>医疗保险</w:t>
      </w:r>
      <w:r>
        <w:rPr>
          <w:rFonts w:hint="eastAsia" w:ascii="仿宋_GB2312" w:hAnsi="仿宋_GB2312" w:eastAsia="仿宋_GB2312"/>
          <w:b w:val="0"/>
          <w:sz w:val="32"/>
          <w:lang w:eastAsia="zh-CN"/>
        </w:rPr>
        <w:t>、</w:t>
      </w:r>
      <w:r>
        <w:rPr>
          <w:rFonts w:ascii="仿宋_GB2312" w:hAnsi="仿宋_GB2312" w:eastAsia="仿宋_GB2312"/>
          <w:b w:val="0"/>
          <w:sz w:val="32"/>
        </w:rPr>
        <w:t>公务员医疗补助</w:t>
      </w:r>
      <w:r>
        <w:rPr>
          <w:rFonts w:hint="eastAsia" w:ascii="仿宋_GB2312" w:hAnsi="仿宋_GB2312" w:eastAsia="仿宋_GB2312"/>
          <w:b w:val="0"/>
          <w:sz w:val="32"/>
          <w:lang w:eastAsia="zh-CN"/>
        </w:rPr>
        <w:t>、</w:t>
      </w:r>
      <w:r>
        <w:rPr>
          <w:rFonts w:ascii="仿宋_GB2312" w:hAnsi="仿宋_GB2312" w:eastAsia="仿宋_GB2312"/>
          <w:b w:val="0"/>
          <w:sz w:val="32"/>
        </w:rPr>
        <w:t>退休人员经费等上年在主科目列支，本年单独列支。</w:t>
      </w:r>
    </w:p>
    <w:p w14:paraId="7459DDE1">
      <w:pPr>
        <w:spacing w:line="580" w:lineRule="exact"/>
        <w:ind w:firstLine="640"/>
        <w:jc w:val="both"/>
      </w:pPr>
      <w:r>
        <w:rPr>
          <w:rFonts w:ascii="仿宋_GB2312" w:hAnsi="仿宋_GB2312" w:eastAsia="仿宋_GB2312"/>
          <w:b w:val="0"/>
          <w:sz w:val="32"/>
        </w:rPr>
        <w:t>2.一般公共服务支出(类)政协事务(款)其他政协事务支出(项):支出决算数为0.00万元，比上年决算减少5.00万元，下降100.00%,主要原因是：本年度减少会议费。</w:t>
      </w:r>
    </w:p>
    <w:p w14:paraId="13E52935">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17.86万元，比上年决算增加17.86万元，增长100.00%,主要原因是：本年功能科目调整，行政单位离退休上年度在主科目列支，本年单独列支，导致经费较上年增加。</w:t>
      </w:r>
    </w:p>
    <w:p w14:paraId="3B2B31FF">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25.04万元，比上年决算增加6.29万元，增长33.55%,主要原因是：本年在职人员工资基数调增，养老缴费基数上涨，相应支出增加。</w:t>
      </w:r>
    </w:p>
    <w:p w14:paraId="2B8C882A">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5.社会保障和就业支出(类)行政事业单位养老支出(款)机关事业单位职业年金缴费支出(项):支出决算数为24.41万元，比上年决算增加24.41万元，增长100.00%,主要原因是：2024年10月份开始缴纳在职职工职业年金单位部分</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导致经费支出增加</w:t>
      </w:r>
      <w:r>
        <w:rPr>
          <w:rFonts w:ascii="仿宋_GB2312" w:hAnsi="仿宋_GB2312" w:eastAsia="仿宋_GB2312"/>
          <w:b w:val="0"/>
          <w:sz w:val="32"/>
        </w:rPr>
        <w:t>。</w:t>
      </w:r>
    </w:p>
    <w:p w14:paraId="22C70AF0">
      <w:pPr>
        <w:spacing w:line="580" w:lineRule="exact"/>
        <w:ind w:firstLine="640"/>
        <w:jc w:val="both"/>
      </w:pPr>
      <w:r>
        <w:rPr>
          <w:rFonts w:ascii="仿宋_GB2312" w:hAnsi="仿宋_GB2312" w:eastAsia="仿宋_GB2312"/>
          <w:b w:val="0"/>
          <w:sz w:val="32"/>
        </w:rPr>
        <w:t>6.卫生健康支出(类)行政事业单位医疗(款)行政单位医疗(项):支出决算数为10.17万元，比上年决算增加10.17万元，增长100.00%,主要原因是：本年功能科目调整，行政单位医疗上年度在主科目列支，本年单独列支，导致经费较上年增加。</w:t>
      </w:r>
    </w:p>
    <w:p w14:paraId="63C56B4D">
      <w:pPr>
        <w:spacing w:line="580" w:lineRule="exact"/>
        <w:ind w:firstLine="640"/>
        <w:jc w:val="both"/>
      </w:pPr>
      <w:r>
        <w:rPr>
          <w:rFonts w:ascii="仿宋_GB2312" w:hAnsi="仿宋_GB2312" w:eastAsia="仿宋_GB2312"/>
          <w:b w:val="0"/>
          <w:sz w:val="32"/>
        </w:rPr>
        <w:t>7.卫生健康支出(类)行政事业单位医疗(款)公务员医疗补助(项):支出决算数为6.26万元，比上年决算增加6.26万元，增长100.00%,主要原因是：本年功能科目调整，公务员医疗补助上年度在主科目列支，本年单独列支，导致经费较上年增加。</w:t>
      </w:r>
    </w:p>
    <w:p w14:paraId="33500482">
      <w:pPr>
        <w:spacing w:line="580" w:lineRule="exact"/>
        <w:ind w:firstLine="640"/>
        <w:jc w:val="both"/>
      </w:pPr>
      <w:r>
        <w:rPr>
          <w:rFonts w:ascii="仿宋_GB2312" w:hAnsi="仿宋_GB2312" w:eastAsia="仿宋_GB2312"/>
          <w:b w:val="0"/>
          <w:sz w:val="32"/>
        </w:rPr>
        <w:t>8.卫生健康支出(类)行政事业单位医疗(款)其他行政事业单位医疗支出(项):支出决算数为0.43万元，比上年决算增加0.43万元，增长100.00%,主要原因是：本年功能科目调整，职工大病，工伤，失业保险上年度在主科目列支，本年单独列支，导致经费较上年增加。</w:t>
      </w:r>
    </w:p>
    <w:p w14:paraId="1AD89C66">
      <w:pPr>
        <w:spacing w:line="580" w:lineRule="exact"/>
        <w:ind w:firstLine="640"/>
        <w:jc w:val="both"/>
      </w:pPr>
      <w:r>
        <w:rPr>
          <w:rFonts w:ascii="仿宋_GB2312" w:hAnsi="仿宋_GB2312" w:eastAsia="仿宋_GB2312"/>
          <w:b w:val="0"/>
          <w:sz w:val="32"/>
        </w:rPr>
        <w:t>9.农林水支出(类)农村综合改革(款)对村级公益事业建设的补助(项):支出决算数为6.97万元，比上年决算减少2.36万元，下降25.29%,主要原因是：本年度为民办实事工作经费支出减少。</w:t>
      </w:r>
    </w:p>
    <w:p w14:paraId="47501873">
      <w:pPr>
        <w:spacing w:line="580" w:lineRule="exact"/>
        <w:ind w:firstLine="640"/>
        <w:jc w:val="both"/>
      </w:pPr>
      <w:r>
        <w:rPr>
          <w:rFonts w:ascii="仿宋_GB2312" w:hAnsi="仿宋_GB2312" w:eastAsia="仿宋_GB2312"/>
          <w:b w:val="0"/>
          <w:sz w:val="32"/>
        </w:rPr>
        <w:t>10.住房保障支出(类)住房改革支出(款)住房公积金(项):支出决算数为19.09万元，比上年决算增加19.09万元，增长100.00%,主要原因是：本年功能科目调整，住房公积金上年度在主科目列支，本年单独列支，导致经费较上年增加。</w:t>
      </w:r>
    </w:p>
    <w:p w14:paraId="397141B1">
      <w:pPr>
        <w:spacing w:line="640" w:lineRule="exact"/>
        <w:ind w:firstLine="640"/>
        <w:jc w:val="both"/>
        <w:outlineLvl w:val="2"/>
      </w:pPr>
      <w:r>
        <w:rPr>
          <w:rFonts w:ascii="黑体" w:hAnsi="黑体" w:eastAsia="黑体"/>
          <w:sz w:val="32"/>
        </w:rPr>
        <w:t>六、一般公共预算财政拨款基本支出决算情况说明</w:t>
      </w:r>
    </w:p>
    <w:p w14:paraId="3C06A356">
      <w:pPr>
        <w:spacing w:line="580" w:lineRule="exact"/>
        <w:ind w:firstLine="640"/>
        <w:jc w:val="both"/>
      </w:pPr>
      <w:r>
        <w:rPr>
          <w:rFonts w:ascii="仿宋_GB2312" w:hAnsi="仿宋_GB2312" w:eastAsia="仿宋_GB2312"/>
          <w:b w:val="0"/>
          <w:sz w:val="32"/>
        </w:rPr>
        <w:t>2024年度一般公共预算财政拨款基本支出350.57万元，其中：</w:t>
      </w:r>
      <w:r>
        <w:rPr>
          <w:rFonts w:ascii="仿宋_GB2312" w:hAnsi="仿宋_GB2312" w:eastAsia="仿宋_GB2312"/>
          <w:b/>
          <w:sz w:val="32"/>
        </w:rPr>
        <w:t>人员经费322.04万元，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w:t>
      </w:r>
    </w:p>
    <w:p w14:paraId="6AF96D9F">
      <w:pPr>
        <w:spacing w:line="580" w:lineRule="exact"/>
        <w:ind w:firstLine="640"/>
        <w:jc w:val="both"/>
      </w:pPr>
      <w:r>
        <w:rPr>
          <w:rFonts w:ascii="仿宋_GB2312" w:hAnsi="仿宋_GB2312" w:eastAsia="仿宋_GB2312"/>
          <w:b/>
          <w:sz w:val="32"/>
        </w:rPr>
        <w:t>公用经费28.52万元，</w:t>
      </w:r>
      <w:r>
        <w:rPr>
          <w:rFonts w:ascii="仿宋_GB2312" w:hAnsi="仿宋_GB2312" w:eastAsia="仿宋_GB2312"/>
          <w:b w:val="0"/>
          <w:sz w:val="32"/>
        </w:rPr>
        <w:t>包括：办公费、水费、电费、邮电费、差旅费、会议费、公务用车运行维护费。</w:t>
      </w:r>
    </w:p>
    <w:p w14:paraId="1D8A837E">
      <w:pPr>
        <w:spacing w:line="640" w:lineRule="exact"/>
        <w:ind w:firstLine="640"/>
        <w:jc w:val="both"/>
        <w:outlineLvl w:val="2"/>
      </w:pPr>
      <w:r>
        <w:rPr>
          <w:rFonts w:ascii="黑体" w:hAnsi="黑体" w:eastAsia="黑体"/>
          <w:sz w:val="32"/>
        </w:rPr>
        <w:t>七、政府性基金预算财政拨款收入支出决算情况说明</w:t>
      </w:r>
    </w:p>
    <w:p w14:paraId="7ABFA9D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567A6C4">
      <w:pPr>
        <w:spacing w:line="640" w:lineRule="exact"/>
        <w:ind w:firstLine="640"/>
        <w:jc w:val="both"/>
        <w:outlineLvl w:val="2"/>
      </w:pPr>
      <w:r>
        <w:rPr>
          <w:rFonts w:ascii="黑体" w:hAnsi="黑体" w:eastAsia="黑体"/>
          <w:sz w:val="32"/>
        </w:rPr>
        <w:t>八、国有资本经营预算财政拨款收入支出决算情况说明</w:t>
      </w:r>
    </w:p>
    <w:p w14:paraId="29CE49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D70356">
      <w:pPr>
        <w:spacing w:line="640" w:lineRule="exact"/>
        <w:ind w:firstLine="640"/>
        <w:jc w:val="both"/>
        <w:outlineLvl w:val="2"/>
      </w:pPr>
      <w:r>
        <w:rPr>
          <w:rFonts w:ascii="黑体" w:hAnsi="黑体" w:eastAsia="黑体"/>
          <w:sz w:val="32"/>
        </w:rPr>
        <w:t>九、财政拨款“三公”经费支出决算情况说明</w:t>
      </w:r>
    </w:p>
    <w:p w14:paraId="77263931">
      <w:pPr>
        <w:spacing w:line="580" w:lineRule="exact"/>
        <w:ind w:firstLine="640"/>
        <w:jc w:val="both"/>
      </w:pPr>
      <w:r>
        <w:rPr>
          <w:rFonts w:ascii="仿宋_GB2312" w:hAnsi="仿宋_GB2312" w:eastAsia="仿宋_GB2312"/>
          <w:b/>
          <w:sz w:val="32"/>
        </w:rPr>
        <w:t>2024年度财政拨款“三公”经费支出8.00万元，</w:t>
      </w:r>
      <w:r>
        <w:rPr>
          <w:rFonts w:ascii="仿宋_GB2312" w:hAnsi="仿宋_GB2312" w:eastAsia="仿宋_GB2312"/>
          <w:b w:val="0"/>
          <w:sz w:val="32"/>
        </w:rPr>
        <w:t>比上年增加2.00万元，增长33.33%，主要原因是：本单位公务用车日渐老化，维修维护成本增加，并且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8.00万元，占100.00%，比上年增加2.00万元，增长33.33%，主要原因是：本单位公务用车日渐老化，维修维护成本增加，并且因业务需求，用车次数增加，燃油费增加，导致公务用车运行维护费较上年增加。公务接待费支出0.00万元，占0.00%，比上年增加0.00万元，增长0.00%，主要原因是：2023年与2024年均未安排公务接待费支出。</w:t>
      </w:r>
    </w:p>
    <w:p w14:paraId="0CD63DB4">
      <w:pPr>
        <w:spacing w:line="580" w:lineRule="exact"/>
        <w:ind w:firstLine="640"/>
        <w:jc w:val="both"/>
      </w:pPr>
      <w:r>
        <w:rPr>
          <w:rFonts w:ascii="仿宋_GB2312" w:hAnsi="仿宋_GB2312" w:eastAsia="仿宋_GB2312"/>
          <w:b/>
          <w:sz w:val="32"/>
        </w:rPr>
        <w:t>具体情况如下：</w:t>
      </w:r>
    </w:p>
    <w:p w14:paraId="05F3D01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3C5036">
      <w:pPr>
        <w:spacing w:line="580" w:lineRule="exact"/>
        <w:ind w:firstLine="640"/>
        <w:jc w:val="both"/>
      </w:pPr>
      <w:r>
        <w:rPr>
          <w:rFonts w:ascii="仿宋_GB2312" w:hAnsi="仿宋_GB2312" w:eastAsia="仿宋_GB2312"/>
          <w:b w:val="0"/>
          <w:sz w:val="32"/>
        </w:rPr>
        <w:t>公务用车购置及运行维护费8.00万元，其中：公务用车购置费0.00万元，公务用车运行维护费8.00万元。公务用车运行维护费开支内容包括车辆加油费、维修费、保险费、审车费、过路费等。公务用车购置数0辆，公务用车保有量4辆。国有资产占用情况中固定资产车辆4辆，与公务用车保有量差异原因是：本单位固定资产车辆与公务用车保有量一致无差异。</w:t>
      </w:r>
    </w:p>
    <w:p w14:paraId="6FA2B95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9E33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8.00万元，决算数8.00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8.00万元，决算数8.00万元，预决算差异率0.00%，主要原因是：严格按照预算执行，预决算无差异。公务接待费全年预算数0.00万元，决算数0.00万元，预决算差异率0.00%，主要原因是：本单位无公务接待费。</w:t>
      </w:r>
    </w:p>
    <w:p w14:paraId="175140C5">
      <w:pPr>
        <w:spacing w:line="640" w:lineRule="exact"/>
        <w:ind w:firstLine="640"/>
        <w:jc w:val="both"/>
        <w:outlineLvl w:val="2"/>
      </w:pPr>
      <w:r>
        <w:rPr>
          <w:rFonts w:ascii="黑体" w:hAnsi="黑体" w:eastAsia="黑体"/>
          <w:sz w:val="32"/>
        </w:rPr>
        <w:t>十、其他重要事项的情况说明</w:t>
      </w:r>
    </w:p>
    <w:p w14:paraId="5A5A3D8A">
      <w:pPr>
        <w:spacing w:line="640" w:lineRule="exact"/>
        <w:ind w:firstLine="640"/>
        <w:jc w:val="both"/>
        <w:outlineLvl w:val="3"/>
      </w:pPr>
      <w:r>
        <w:rPr>
          <w:rFonts w:ascii="楷体_GB2312" w:hAnsi="楷体_GB2312" w:eastAsia="楷体_GB2312"/>
          <w:b/>
          <w:sz w:val="32"/>
        </w:rPr>
        <w:t>（一）机关运行经费及公用经费支出情况</w:t>
      </w:r>
    </w:p>
    <w:p w14:paraId="329FB5CD">
      <w:pPr>
        <w:spacing w:line="580" w:lineRule="exact"/>
        <w:ind w:firstLine="640"/>
        <w:jc w:val="both"/>
      </w:pPr>
      <w:r>
        <w:rPr>
          <w:rFonts w:ascii="仿宋_GB2312" w:hAnsi="仿宋_GB2312" w:eastAsia="仿宋_GB2312"/>
          <w:b w:val="0"/>
          <w:sz w:val="32"/>
        </w:rPr>
        <w:t>2024年度中国人民政治协商会议民丰县委员会办公室（行政单位和参照公务员法管理事业单位）机关运行经费支出28.52万元，比上年增加5.59万元，增长24.38%，主要原因是：本年更新、维护补充办公用品，公务用车运行维护费增加，导致机关运行经费较上年增加。</w:t>
      </w:r>
    </w:p>
    <w:p w14:paraId="1819770D">
      <w:pPr>
        <w:spacing w:line="640" w:lineRule="exact"/>
        <w:ind w:firstLine="640"/>
        <w:jc w:val="both"/>
        <w:outlineLvl w:val="3"/>
      </w:pPr>
      <w:r>
        <w:rPr>
          <w:rFonts w:ascii="楷体_GB2312" w:hAnsi="楷体_GB2312" w:eastAsia="楷体_GB2312"/>
          <w:b/>
          <w:sz w:val="32"/>
        </w:rPr>
        <w:t>（二）政府采购情况</w:t>
      </w:r>
    </w:p>
    <w:p w14:paraId="6216B099">
      <w:pPr>
        <w:spacing w:line="580" w:lineRule="exact"/>
        <w:ind w:firstLine="640"/>
        <w:jc w:val="both"/>
      </w:pPr>
      <w:r>
        <w:rPr>
          <w:rFonts w:ascii="仿宋_GB2312" w:hAnsi="仿宋_GB2312" w:eastAsia="仿宋_GB2312"/>
          <w:b w:val="0"/>
          <w:sz w:val="32"/>
        </w:rPr>
        <w:t>2024年度政府采购支出总额21.45万元，其中：政府采购货物支出11.34万元、政府采购工程支出0.00万元、政府采购服务支出10.11万元。</w:t>
      </w:r>
    </w:p>
    <w:p w14:paraId="745922DF">
      <w:pPr>
        <w:spacing w:line="580" w:lineRule="exact"/>
        <w:ind w:firstLine="640"/>
        <w:jc w:val="both"/>
      </w:pPr>
      <w:r>
        <w:rPr>
          <w:rFonts w:ascii="仿宋_GB2312" w:hAnsi="仿宋_GB2312" w:eastAsia="仿宋_GB2312"/>
          <w:b w:val="0"/>
          <w:sz w:val="32"/>
        </w:rPr>
        <w:t>授予中小企业合同金额21.45万元，占政府采购支出总额的100.00%，其中：授予小微企业合同金额21.45万元，占政府采购支出总额的100.00%。</w:t>
      </w:r>
    </w:p>
    <w:p w14:paraId="6AD890B9">
      <w:pPr>
        <w:spacing w:line="640" w:lineRule="exact"/>
        <w:ind w:firstLine="640"/>
        <w:jc w:val="both"/>
        <w:outlineLvl w:val="3"/>
      </w:pPr>
      <w:r>
        <w:rPr>
          <w:rFonts w:ascii="楷体_GB2312" w:hAnsi="楷体_GB2312" w:eastAsia="楷体_GB2312"/>
          <w:b/>
          <w:sz w:val="32"/>
        </w:rPr>
        <w:t>（三）国有资产占用情况说明</w:t>
      </w:r>
    </w:p>
    <w:p w14:paraId="6426E234">
      <w:pPr>
        <w:spacing w:line="580" w:lineRule="exact"/>
        <w:ind w:firstLine="640"/>
        <w:jc w:val="both"/>
      </w:pPr>
      <w:r>
        <w:rPr>
          <w:rFonts w:ascii="仿宋_GB2312" w:hAnsi="仿宋_GB2312" w:eastAsia="仿宋_GB2312"/>
          <w:b w:val="0"/>
          <w:sz w:val="32"/>
        </w:rPr>
        <w:t>截至2024年12月31日，房屋0.00平方米，价值0.00万元。车辆4辆，价值67.96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2B3FA433">
      <w:pPr>
        <w:spacing w:line="640" w:lineRule="exact"/>
        <w:ind w:firstLine="640"/>
        <w:jc w:val="both"/>
        <w:outlineLvl w:val="2"/>
      </w:pPr>
      <w:r>
        <w:rPr>
          <w:rFonts w:ascii="黑体" w:hAnsi="黑体" w:eastAsia="黑体"/>
          <w:sz w:val="32"/>
        </w:rPr>
        <w:t>十一、预算绩效的情况说明</w:t>
      </w:r>
    </w:p>
    <w:p w14:paraId="668F522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357.55万元，实际执行总额357.54万元；预算绩效评价项目2个，全年预算数30.30万元，全年执行数30.30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74F5EA6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8A1769">
        <w:tblPrEx>
          <w:tblCellMar>
            <w:top w:w="0" w:type="dxa"/>
            <w:left w:w="108" w:type="dxa"/>
            <w:bottom w:w="0" w:type="dxa"/>
            <w:right w:w="108" w:type="dxa"/>
          </w:tblCellMar>
        </w:tblPrEx>
        <w:tc>
          <w:tcPr>
            <w:tcW w:w="8847" w:type="dxa"/>
            <w:gridSpan w:val="9"/>
            <w:vAlign w:val="center"/>
          </w:tcPr>
          <w:p w14:paraId="7C1FA3DE">
            <w:pPr>
              <w:jc w:val="center"/>
            </w:pPr>
            <w:r>
              <w:rPr>
                <w:rFonts w:ascii="宋体" w:hAnsi="宋体" w:eastAsia="宋体"/>
                <w:sz w:val="24"/>
              </w:rPr>
              <w:t>单位整体支出绩效自评表</w:t>
            </w:r>
          </w:p>
        </w:tc>
      </w:tr>
      <w:tr w14:paraId="56E26C19">
        <w:tblPrEx>
          <w:tblCellMar>
            <w:top w:w="0" w:type="dxa"/>
            <w:left w:w="108" w:type="dxa"/>
            <w:bottom w:w="0" w:type="dxa"/>
            <w:right w:w="108" w:type="dxa"/>
          </w:tblCellMar>
        </w:tblPrEx>
        <w:tc>
          <w:tcPr>
            <w:tcW w:w="8847" w:type="dxa"/>
            <w:gridSpan w:val="9"/>
            <w:vAlign w:val="center"/>
          </w:tcPr>
          <w:p w14:paraId="72D9EC0A">
            <w:pPr>
              <w:jc w:val="center"/>
            </w:pPr>
            <w:r>
              <w:rPr>
                <w:rFonts w:ascii="宋体" w:hAnsi="宋体" w:eastAsia="宋体"/>
                <w:sz w:val="24"/>
              </w:rPr>
              <w:t>（2024年度）</w:t>
            </w:r>
          </w:p>
        </w:tc>
      </w:tr>
      <w:tr w14:paraId="6D8FF0E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DB40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C215F3C">
            <w:pPr>
              <w:jc w:val="center"/>
            </w:pPr>
            <w:r>
              <w:rPr>
                <w:rFonts w:ascii="宋体" w:hAnsi="宋体" w:eastAsia="宋体"/>
                <w:sz w:val="16"/>
              </w:rPr>
              <w:t>中国人民政治协商会议民丰县委员会办公室</w:t>
            </w:r>
          </w:p>
        </w:tc>
      </w:tr>
      <w:tr w14:paraId="41440E6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AE96C">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37E0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81C5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7CEA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6493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67A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46E7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55A04">
            <w:pPr>
              <w:jc w:val="center"/>
            </w:pPr>
            <w:r>
              <w:rPr>
                <w:rFonts w:ascii="宋体" w:hAnsi="宋体" w:eastAsia="宋体"/>
                <w:sz w:val="16"/>
              </w:rPr>
              <w:t>得分</w:t>
            </w:r>
          </w:p>
        </w:tc>
      </w:tr>
      <w:tr w14:paraId="595DCF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15CE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486F8">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A2D4D">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6FE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738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675E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FB9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3D3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F3BEC">
            <w:pPr>
              <w:jc w:val="center"/>
            </w:pPr>
            <w:r>
              <w:rPr>
                <w:rFonts w:ascii="宋体" w:hAnsi="宋体" w:eastAsia="宋体"/>
                <w:sz w:val="16"/>
              </w:rPr>
              <w:t>-</w:t>
            </w:r>
          </w:p>
        </w:tc>
      </w:tr>
      <w:tr w14:paraId="059A8F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1C28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FDD4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1EAC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DCE63">
            <w:pPr>
              <w:jc w:val="center"/>
            </w:pPr>
            <w:r>
              <w:rPr>
                <w:rFonts w:ascii="宋体" w:hAnsi="宋体" w:eastAsia="宋体"/>
                <w:sz w:val="16"/>
              </w:rPr>
              <w:t>329.83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BCF8A">
            <w:pPr>
              <w:jc w:val="center"/>
            </w:pPr>
            <w:r>
              <w:rPr>
                <w:rFonts w:ascii="宋体" w:hAnsi="宋体" w:eastAsia="宋体"/>
                <w:sz w:val="16"/>
              </w:rPr>
              <w:t>357.55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2159F">
            <w:pPr>
              <w:jc w:val="center"/>
            </w:pPr>
            <w:r>
              <w:rPr>
                <w:rFonts w:ascii="宋体" w:hAnsi="宋体" w:eastAsia="宋体"/>
                <w:sz w:val="16"/>
              </w:rPr>
              <w:t>357.54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04D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685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79DCA">
            <w:pPr>
              <w:jc w:val="center"/>
            </w:pPr>
            <w:r>
              <w:rPr>
                <w:rFonts w:ascii="宋体" w:hAnsi="宋体" w:eastAsia="宋体"/>
                <w:sz w:val="16"/>
              </w:rPr>
              <w:t>-</w:t>
            </w:r>
          </w:p>
        </w:tc>
      </w:tr>
      <w:tr w14:paraId="1C86C8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5E7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879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0B658">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CB5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0F0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9ED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134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169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52AD6">
            <w:pPr>
              <w:jc w:val="center"/>
            </w:pPr>
            <w:r>
              <w:rPr>
                <w:rFonts w:ascii="宋体" w:hAnsi="宋体" w:eastAsia="宋体"/>
                <w:sz w:val="16"/>
              </w:rPr>
              <w:t>-</w:t>
            </w:r>
          </w:p>
        </w:tc>
      </w:tr>
      <w:tr w14:paraId="36AEDB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2F3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0C1FD">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6C6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62E90">
            <w:pPr>
              <w:jc w:val="center"/>
            </w:pPr>
            <w:r>
              <w:rPr>
                <w:rFonts w:ascii="宋体" w:hAnsi="宋体" w:eastAsia="宋体"/>
                <w:sz w:val="16"/>
              </w:rPr>
              <w:t>329.83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E5979">
            <w:pPr>
              <w:jc w:val="center"/>
            </w:pPr>
            <w:r>
              <w:rPr>
                <w:rFonts w:ascii="宋体" w:hAnsi="宋体" w:eastAsia="宋体"/>
                <w:sz w:val="16"/>
              </w:rPr>
              <w:t>357.55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AC825">
            <w:pPr>
              <w:jc w:val="center"/>
            </w:pPr>
            <w:r>
              <w:rPr>
                <w:rFonts w:ascii="宋体" w:hAnsi="宋体" w:eastAsia="宋体"/>
                <w:sz w:val="16"/>
              </w:rPr>
              <w:t>357.54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4CC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14B5B">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A85E6">
            <w:pPr>
              <w:jc w:val="center"/>
            </w:pPr>
            <w:r>
              <w:rPr>
                <w:rFonts w:ascii="宋体" w:hAnsi="宋体" w:eastAsia="宋体"/>
                <w:sz w:val="16"/>
              </w:rPr>
              <w:t>10</w:t>
            </w:r>
          </w:p>
        </w:tc>
      </w:tr>
      <w:tr w14:paraId="10FE4EF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2278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F6386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A0C18">
            <w:pPr>
              <w:jc w:val="center"/>
            </w:pPr>
            <w:r>
              <w:rPr>
                <w:rFonts w:ascii="宋体" w:hAnsi="宋体" w:eastAsia="宋体"/>
                <w:sz w:val="16"/>
              </w:rPr>
              <w:t>实际完成情况</w:t>
            </w:r>
          </w:p>
        </w:tc>
      </w:tr>
      <w:tr w14:paraId="1A0F75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9891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50B9A8">
            <w:pPr>
              <w:jc w:val="both"/>
            </w:pPr>
            <w:r>
              <w:rPr>
                <w:rFonts w:ascii="宋体" w:hAnsi="宋体" w:eastAsia="宋体"/>
                <w:sz w:val="16"/>
              </w:rPr>
              <w:t xml:space="preserve">目标1：制发文件400件，保障单位职工人数30人，办公室值班备勤24小时365天；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目标2：负责县政协全体会议、常委会会议</w:t>
            </w:r>
            <w:r>
              <w:rPr>
                <w:rFonts w:hint="eastAsia" w:ascii="宋体" w:hAnsi="宋体"/>
                <w:sz w:val="16"/>
                <w:lang w:eastAsia="zh-CN"/>
              </w:rPr>
              <w:t>、</w:t>
            </w:r>
            <w:r>
              <w:rPr>
                <w:rFonts w:ascii="宋体" w:hAnsi="宋体" w:eastAsia="宋体"/>
                <w:sz w:val="16"/>
              </w:rPr>
              <w:t>主席会议、常务委员会专题会议和专门委员会的会务工作，负责上述会议所形成的决议、决定、建议案的组织实施；负责县政协委员进行视察、调研、座谈、学习等日常活动的服务和具体组织工作；负责县政协开展各项活动的有关后勤服务管理工作和县政协机关行政事务管理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B0F2AE">
            <w:pPr>
              <w:jc w:val="both"/>
            </w:pPr>
            <w:r>
              <w:rPr>
                <w:rFonts w:ascii="宋体" w:hAnsi="宋体" w:eastAsia="宋体"/>
                <w:sz w:val="16"/>
              </w:rPr>
              <w:t>（一）精心组织各类会议。认真做好政协全体会议、常委会会议、主席会议等重要会议的组织筹备工作，提前制定会议方案，精心安排会议议程，确保会议顺利召开。全年共组织各类协商会议13次，各类会议发的文件、报告等控制在400件以内，为政协委员参政议政搭建了良好平台。</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加强综合协调服务。充分发挥办公室的协调枢纽作用，加强与各党派团体以及相关部门的沟通联系，及时协调解决工作中出现的问题，形成工作合力。认真做好领导交办事项的协调落实，确保各项工作落到实处。</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创新推进宣传信息工作。多方式推动机关宣传工作贯彻往深里走、往心里走、往实里走。讲好政协故事。加强与上级政协、宣传部门的联动对接，充分发挥各级新闻媒体宣传平台优势，刊发各类重要稿件，政协新闻宣传上稿显著提高。及时反映政协工作动态和委员履职成果，全年共编发政协信息41期，在各级媒体发表工作动态，进一步扩大了政协的社会影响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（四）认真做好提案工作。加强提案征集、审查、立案、交办、督办等环节的工作，提高提案办理质量。全年共收到提案21件，经审查立案16件，全部按时交办，并对重点提案进行了跟踪督办，提案办复率达到 100%。</w:t>
            </w:r>
          </w:p>
        </w:tc>
      </w:tr>
      <w:tr w14:paraId="5025FB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225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63A08">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7902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AFB87">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6F62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3272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9B634">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4498B">
            <w:pPr>
              <w:jc w:val="center"/>
            </w:pPr>
            <w:r>
              <w:rPr>
                <w:rFonts w:ascii="宋体" w:hAnsi="宋体" w:eastAsia="宋体"/>
                <w:sz w:val="16"/>
              </w:rPr>
              <w:t>得分</w:t>
            </w:r>
          </w:p>
        </w:tc>
      </w:tr>
      <w:tr w14:paraId="6C481F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0A447">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A0103">
            <w:pPr>
              <w:jc w:val="center"/>
            </w:pPr>
            <w:r>
              <w:rPr>
                <w:rFonts w:ascii="宋体" w:hAnsi="宋体" w:eastAsia="宋体"/>
                <w:sz w:val="16"/>
              </w:rPr>
              <w:t>数量招标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87C0">
            <w:pPr>
              <w:jc w:val="center"/>
            </w:pPr>
            <w:r>
              <w:rPr>
                <w:rFonts w:ascii="宋体" w:hAnsi="宋体" w:eastAsia="宋体"/>
                <w:sz w:val="16"/>
              </w:rPr>
              <w:t>制发文件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B8913">
            <w:pPr>
              <w:jc w:val="center"/>
            </w:pPr>
            <w:r>
              <w:rPr>
                <w:rFonts w:ascii="宋体" w:hAnsi="宋体" w:eastAsia="宋体"/>
                <w:sz w:val="16"/>
              </w:rPr>
              <w:t>&gt;=400件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A632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EB26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94CCF">
            <w:pPr>
              <w:jc w:val="center"/>
            </w:pPr>
            <w:r>
              <w:rPr>
                <w:rFonts w:ascii="宋体" w:hAnsi="宋体" w:eastAsia="宋体"/>
                <w:sz w:val="16"/>
              </w:rPr>
              <w:t>400件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1CD9A">
            <w:pPr>
              <w:jc w:val="center"/>
            </w:pPr>
            <w:r>
              <w:rPr>
                <w:rFonts w:ascii="宋体" w:hAnsi="宋体" w:eastAsia="宋体"/>
                <w:sz w:val="16"/>
              </w:rPr>
              <w:t>0</w:t>
            </w:r>
          </w:p>
        </w:tc>
      </w:tr>
      <w:tr w14:paraId="7DB47A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C2EA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0FDDB">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0BB2E">
            <w:pPr>
              <w:jc w:val="center"/>
            </w:pPr>
            <w:r>
              <w:rPr>
                <w:rFonts w:ascii="宋体" w:hAnsi="宋体" w:eastAsia="宋体"/>
                <w:sz w:val="16"/>
              </w:rPr>
              <w:t>保障单位职工人数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DF47B">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F2D8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7C04F">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761F8">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49494">
            <w:pPr>
              <w:jc w:val="center"/>
            </w:pPr>
            <w:r>
              <w:rPr>
                <w:rFonts w:ascii="宋体" w:hAnsi="宋体" w:eastAsia="宋体"/>
                <w:sz w:val="16"/>
              </w:rPr>
              <w:t>0</w:t>
            </w:r>
          </w:p>
        </w:tc>
      </w:tr>
      <w:tr w14:paraId="4CC21B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568F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8DA6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C3A02">
            <w:pPr>
              <w:jc w:val="center"/>
            </w:pPr>
            <w:r>
              <w:rPr>
                <w:rFonts w:ascii="宋体" w:hAnsi="宋体" w:eastAsia="宋体"/>
                <w:sz w:val="16"/>
              </w:rPr>
              <w:t>办公室值班备勤天数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0BB0F9">
            <w:pPr>
              <w:jc w:val="center"/>
            </w:pPr>
            <w:r>
              <w:rPr>
                <w:rFonts w:ascii="宋体" w:hAnsi="宋体" w:eastAsia="宋体"/>
                <w:sz w:val="16"/>
              </w:rPr>
              <w:t>=365天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DA67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2D742">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8EDA2">
            <w:pPr>
              <w:jc w:val="center"/>
            </w:pPr>
            <w:r>
              <w:rPr>
                <w:rFonts w:ascii="宋体" w:hAnsi="宋体" w:eastAsia="宋体"/>
                <w:sz w:val="16"/>
              </w:rPr>
              <w:t>365天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97DF8">
            <w:pPr>
              <w:jc w:val="center"/>
            </w:pPr>
            <w:r>
              <w:rPr>
                <w:rFonts w:ascii="宋体" w:hAnsi="宋体" w:eastAsia="宋体"/>
                <w:sz w:val="16"/>
              </w:rPr>
              <w:t>0</w:t>
            </w:r>
          </w:p>
        </w:tc>
      </w:tr>
      <w:tr w14:paraId="606567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5E1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219C2">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79AE">
            <w:pPr>
              <w:jc w:val="center"/>
            </w:pPr>
            <w:r>
              <w:rPr>
                <w:rFonts w:ascii="宋体" w:hAnsi="宋体" w:eastAsia="宋体"/>
                <w:sz w:val="16"/>
              </w:rPr>
              <w:t>党内规范文件纠错率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C4F1F">
            <w:pPr>
              <w:jc w:val="center"/>
            </w:pPr>
            <w:r>
              <w:rPr>
                <w:rFonts w:ascii="宋体" w:hAnsi="宋体" w:eastAsia="宋体"/>
                <w:sz w:val="16"/>
              </w:rPr>
              <w:t>&lt;=15%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AA9A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6C303">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9321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13165">
            <w:pPr>
              <w:jc w:val="center"/>
            </w:pPr>
            <w:r>
              <w:rPr>
                <w:rFonts w:ascii="宋体" w:hAnsi="宋体" w:eastAsia="宋体"/>
                <w:sz w:val="16"/>
              </w:rPr>
              <w:t>0</w:t>
            </w:r>
          </w:p>
        </w:tc>
      </w:tr>
    </w:tbl>
    <w:p w14:paraId="162A9F87">
      <w:r>
        <w:br w:type="page"/>
      </w:r>
    </w:p>
    <w:tbl>
      <w:tblPr>
        <w:tblStyle w:val="9"/>
        <w:tblW w:w="10329" w:type="dxa"/>
        <w:tblInd w:w="-467" w:type="dxa"/>
        <w:tblLayout w:type="autofit"/>
        <w:tblCellMar>
          <w:top w:w="0" w:type="dxa"/>
          <w:left w:w="108" w:type="dxa"/>
          <w:bottom w:w="0" w:type="dxa"/>
          <w:right w:w="108" w:type="dxa"/>
        </w:tblCellMar>
      </w:tblPr>
      <w:tblGrid>
        <w:gridCol w:w="920"/>
        <w:gridCol w:w="1689"/>
        <w:gridCol w:w="1174"/>
        <w:gridCol w:w="1173"/>
        <w:gridCol w:w="866"/>
        <w:gridCol w:w="1071"/>
        <w:gridCol w:w="1071"/>
        <w:gridCol w:w="1071"/>
        <w:gridCol w:w="1294"/>
      </w:tblGrid>
      <w:tr w14:paraId="70BACD86">
        <w:tblPrEx>
          <w:tblCellMar>
            <w:top w:w="0" w:type="dxa"/>
            <w:left w:w="108" w:type="dxa"/>
            <w:bottom w:w="0" w:type="dxa"/>
            <w:right w:w="108" w:type="dxa"/>
          </w:tblCellMar>
        </w:tblPrEx>
        <w:trPr>
          <w:trHeight w:val="281" w:hRule="atLeast"/>
        </w:trPr>
        <w:tc>
          <w:tcPr>
            <w:tcW w:w="10329" w:type="dxa"/>
            <w:gridSpan w:val="9"/>
            <w:vAlign w:val="center"/>
          </w:tcPr>
          <w:p w14:paraId="4C57A1C7">
            <w:pPr>
              <w:jc w:val="center"/>
            </w:pPr>
            <w:r>
              <w:rPr>
                <w:rFonts w:ascii="宋体" w:hAnsi="宋体" w:eastAsia="宋体"/>
                <w:sz w:val="24"/>
              </w:rPr>
              <w:t>项目支出绩效自评表</w:t>
            </w:r>
          </w:p>
        </w:tc>
      </w:tr>
      <w:tr w14:paraId="0260B3F3">
        <w:tblPrEx>
          <w:tblCellMar>
            <w:top w:w="0" w:type="dxa"/>
            <w:left w:w="108" w:type="dxa"/>
            <w:bottom w:w="0" w:type="dxa"/>
            <w:right w:w="108" w:type="dxa"/>
          </w:tblCellMar>
        </w:tblPrEx>
        <w:trPr>
          <w:trHeight w:val="281" w:hRule="atLeast"/>
        </w:trPr>
        <w:tc>
          <w:tcPr>
            <w:tcW w:w="10329" w:type="dxa"/>
            <w:gridSpan w:val="9"/>
            <w:vAlign w:val="center"/>
          </w:tcPr>
          <w:p w14:paraId="60029C33">
            <w:pPr>
              <w:jc w:val="center"/>
            </w:pPr>
            <w:r>
              <w:rPr>
                <w:rFonts w:ascii="宋体" w:hAnsi="宋体" w:eastAsia="宋体"/>
                <w:sz w:val="24"/>
              </w:rPr>
              <w:t>(2024年度)</w:t>
            </w:r>
          </w:p>
        </w:tc>
      </w:tr>
      <w:tr w14:paraId="6916F185">
        <w:tblPrEx>
          <w:tblCellMar>
            <w:top w:w="0" w:type="dxa"/>
            <w:left w:w="108" w:type="dxa"/>
            <w:bottom w:w="0" w:type="dxa"/>
            <w:right w:w="108" w:type="dxa"/>
          </w:tblCellMar>
        </w:tblPrEx>
        <w:trPr>
          <w:trHeight w:val="304" w:hRule="atLeast"/>
        </w:trPr>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21117793">
            <w:pPr>
              <w:jc w:val="center"/>
            </w:pPr>
            <w:r>
              <w:rPr>
                <w:rFonts w:ascii="宋体" w:hAnsi="宋体" w:eastAsia="宋体"/>
                <w:sz w:val="16"/>
              </w:rPr>
              <w:t>项目名称</w:t>
            </w:r>
          </w:p>
        </w:tc>
        <w:tc>
          <w:tcPr>
            <w:tcW w:w="9409"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9C5344">
            <w:pPr>
              <w:jc w:val="center"/>
            </w:pPr>
            <w:r>
              <w:rPr>
                <w:rFonts w:ascii="宋体" w:hAnsi="宋体" w:eastAsia="宋体"/>
                <w:sz w:val="16"/>
              </w:rPr>
              <w:t>周邦甫丧葬费、抚恤金项目</w:t>
            </w:r>
          </w:p>
        </w:tc>
      </w:tr>
      <w:tr w14:paraId="3AA1E67B">
        <w:tblPrEx>
          <w:tblCellMar>
            <w:top w:w="0" w:type="dxa"/>
            <w:left w:w="108" w:type="dxa"/>
            <w:bottom w:w="0" w:type="dxa"/>
            <w:right w:w="108" w:type="dxa"/>
          </w:tblCellMar>
        </w:tblPrEx>
        <w:trPr>
          <w:trHeight w:val="585" w:hRule="atLeast"/>
        </w:trPr>
        <w:tc>
          <w:tcPr>
            <w:tcW w:w="920" w:type="dxa"/>
            <w:tcBorders>
              <w:top w:val="single" w:color="auto" w:sz="10" w:space="0"/>
              <w:left w:val="single" w:color="auto" w:sz="10" w:space="0"/>
              <w:bottom w:val="single" w:color="auto" w:sz="10" w:space="0"/>
              <w:right w:val="single" w:color="auto" w:sz="10" w:space="0"/>
              <w:insideV w:val="single" w:sz="10" w:space="0"/>
            </w:tcBorders>
            <w:vAlign w:val="center"/>
          </w:tcPr>
          <w:p w14:paraId="41045796">
            <w:pPr>
              <w:jc w:val="center"/>
            </w:pPr>
            <w:r>
              <w:rPr>
                <w:rFonts w:ascii="宋体" w:hAnsi="宋体" w:eastAsia="宋体"/>
                <w:sz w:val="16"/>
              </w:rPr>
              <w:t>主管部门</w:t>
            </w:r>
          </w:p>
        </w:tc>
        <w:tc>
          <w:tcPr>
            <w:tcW w:w="40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619C420">
            <w:pPr>
              <w:jc w:val="center"/>
            </w:pPr>
            <w:r>
              <w:rPr>
                <w:rFonts w:ascii="宋体" w:hAnsi="宋体" w:eastAsia="宋体"/>
                <w:sz w:val="16"/>
              </w:rPr>
              <w:t>政协民丰县委员会</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ECD1566">
            <w:pPr>
              <w:jc w:val="center"/>
            </w:pPr>
            <w:r>
              <w:rPr>
                <w:rFonts w:ascii="宋体" w:hAnsi="宋体" w:eastAsia="宋体"/>
                <w:sz w:val="16"/>
              </w:rPr>
              <w:t>实施单位</w:t>
            </w:r>
          </w:p>
        </w:tc>
        <w:tc>
          <w:tcPr>
            <w:tcW w:w="450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4B2A9B">
            <w:pPr>
              <w:jc w:val="center"/>
            </w:pPr>
            <w:r>
              <w:rPr>
                <w:rFonts w:ascii="宋体" w:hAnsi="宋体" w:eastAsia="宋体"/>
                <w:sz w:val="16"/>
              </w:rPr>
              <w:t>中国人民政治协商会议民丰县委员会办公室</w:t>
            </w:r>
          </w:p>
        </w:tc>
      </w:tr>
      <w:tr w14:paraId="513A2679">
        <w:tblPrEx>
          <w:tblCellMar>
            <w:top w:w="0" w:type="dxa"/>
            <w:left w:w="108" w:type="dxa"/>
            <w:bottom w:w="0" w:type="dxa"/>
            <w:right w:w="108" w:type="dxa"/>
          </w:tblCellMar>
        </w:tblPrEx>
        <w:trPr>
          <w:trHeight w:val="585" w:hRule="atLeast"/>
        </w:trPr>
        <w:tc>
          <w:tcPr>
            <w:tcW w:w="9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90CF4">
            <w:pPr>
              <w:jc w:val="center"/>
            </w:pPr>
            <w:r>
              <w:rPr>
                <w:rFonts w:ascii="宋体" w:hAnsi="宋体" w:eastAsia="宋体"/>
                <w:sz w:val="16"/>
              </w:rPr>
              <w:t>项目资金 （万元）</w:t>
            </w:r>
          </w:p>
        </w:tc>
        <w:tc>
          <w:tcPr>
            <w:tcW w:w="2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78DF5">
            <w:pPr>
              <w:jc w:val="center"/>
            </w:pP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541B9AAC">
            <w:pPr>
              <w:jc w:val="center"/>
            </w:pPr>
            <w:r>
              <w:rPr>
                <w:rFonts w:ascii="宋体" w:hAnsi="宋体" w:eastAsia="宋体"/>
                <w:sz w:val="16"/>
              </w:rPr>
              <w:t>年初预算数</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09E8309">
            <w:pPr>
              <w:jc w:val="center"/>
            </w:pPr>
            <w:r>
              <w:rPr>
                <w:rFonts w:ascii="宋体" w:hAnsi="宋体" w:eastAsia="宋体"/>
                <w:sz w:val="16"/>
              </w:rPr>
              <w:t>全年预算数</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AFCE6C0">
            <w:pPr>
              <w:jc w:val="center"/>
            </w:pPr>
            <w:r>
              <w:rPr>
                <w:rFonts w:ascii="宋体" w:hAnsi="宋体" w:eastAsia="宋体"/>
                <w:sz w:val="16"/>
              </w:rPr>
              <w:t>全年执行数</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1F1D0AA">
            <w:pPr>
              <w:jc w:val="center"/>
            </w:pPr>
            <w:r>
              <w:rPr>
                <w:rFonts w:ascii="宋体" w:hAnsi="宋体" w:eastAsia="宋体"/>
                <w:sz w:val="16"/>
              </w:rPr>
              <w:t>分值</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BD5839F">
            <w:pPr>
              <w:jc w:val="center"/>
            </w:pPr>
            <w:r>
              <w:rPr>
                <w:rFonts w:ascii="宋体" w:hAnsi="宋体" w:eastAsia="宋体"/>
                <w:sz w:val="16"/>
              </w:rPr>
              <w:t>执行率</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149E4BB4">
            <w:pPr>
              <w:jc w:val="center"/>
            </w:pPr>
            <w:r>
              <w:rPr>
                <w:rFonts w:ascii="宋体" w:hAnsi="宋体" w:eastAsia="宋体"/>
                <w:sz w:val="16"/>
              </w:rPr>
              <w:t>得分</w:t>
            </w:r>
          </w:p>
        </w:tc>
      </w:tr>
      <w:tr w14:paraId="392A0598">
        <w:tblPrEx>
          <w:tblCellMar>
            <w:top w:w="0" w:type="dxa"/>
            <w:left w:w="108" w:type="dxa"/>
            <w:bottom w:w="0" w:type="dxa"/>
            <w:right w:w="108" w:type="dxa"/>
          </w:tblCellMar>
        </w:tblPrEx>
        <w:trPr>
          <w:trHeight w:val="304"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208049DE"/>
        </w:tc>
        <w:tc>
          <w:tcPr>
            <w:tcW w:w="2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7599C">
            <w:pPr>
              <w:jc w:val="center"/>
            </w:pPr>
            <w:r>
              <w:rPr>
                <w:rFonts w:ascii="宋体" w:hAnsi="宋体" w:eastAsia="宋体"/>
                <w:sz w:val="16"/>
              </w:rPr>
              <w:t>年度资金总额</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26538C5E">
            <w:pPr>
              <w:jc w:val="center"/>
            </w:pPr>
            <w:r>
              <w:rPr>
                <w:rFonts w:ascii="宋体" w:hAnsi="宋体" w:eastAsia="宋体"/>
                <w:sz w:val="16"/>
              </w:rPr>
              <w:t>25.30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766300C9">
            <w:pPr>
              <w:jc w:val="center"/>
            </w:pPr>
            <w:r>
              <w:rPr>
                <w:rFonts w:ascii="宋体" w:hAnsi="宋体" w:eastAsia="宋体"/>
                <w:sz w:val="16"/>
              </w:rPr>
              <w:t>25.30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B1491BB">
            <w:pPr>
              <w:jc w:val="center"/>
            </w:pPr>
            <w:r>
              <w:rPr>
                <w:rFonts w:ascii="宋体" w:hAnsi="宋体" w:eastAsia="宋体"/>
                <w:sz w:val="16"/>
              </w:rPr>
              <w:t>25.30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B143E5D">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8DF5BC1">
            <w:pPr>
              <w:jc w:val="center"/>
            </w:pPr>
            <w:r>
              <w:rPr>
                <w:rFonts w:ascii="宋体" w:hAnsi="宋体" w:eastAsia="宋体"/>
                <w:sz w:val="16"/>
              </w:rPr>
              <w:t xml:space="preserve">100.00% </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10305A74">
            <w:pPr>
              <w:jc w:val="center"/>
            </w:pPr>
            <w:r>
              <w:rPr>
                <w:rFonts w:ascii="宋体" w:hAnsi="宋体" w:eastAsia="宋体"/>
                <w:sz w:val="16"/>
              </w:rPr>
              <w:t>10.00分</w:t>
            </w:r>
          </w:p>
        </w:tc>
      </w:tr>
      <w:tr w14:paraId="4EDF9272">
        <w:tblPrEx>
          <w:tblCellMar>
            <w:top w:w="0" w:type="dxa"/>
            <w:left w:w="108" w:type="dxa"/>
            <w:bottom w:w="0" w:type="dxa"/>
            <w:right w:w="108" w:type="dxa"/>
          </w:tblCellMar>
        </w:tblPrEx>
        <w:trPr>
          <w:trHeight w:val="304"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70B61938"/>
        </w:tc>
        <w:tc>
          <w:tcPr>
            <w:tcW w:w="2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67755">
            <w:pPr>
              <w:jc w:val="center"/>
            </w:pPr>
            <w:r>
              <w:rPr>
                <w:rFonts w:ascii="宋体" w:hAnsi="宋体" w:eastAsia="宋体"/>
                <w:sz w:val="16"/>
              </w:rPr>
              <w:t>其中：当年财政拨款</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4FB97F14">
            <w:pPr>
              <w:jc w:val="center"/>
            </w:pPr>
            <w:r>
              <w:rPr>
                <w:rFonts w:ascii="宋体" w:hAnsi="宋体" w:eastAsia="宋体"/>
                <w:sz w:val="16"/>
              </w:rPr>
              <w:t>25.30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BC42C07">
            <w:pPr>
              <w:jc w:val="center"/>
            </w:pPr>
            <w:r>
              <w:rPr>
                <w:rFonts w:ascii="宋体" w:hAnsi="宋体" w:eastAsia="宋体"/>
                <w:sz w:val="16"/>
              </w:rPr>
              <w:t>25.30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BFE3148">
            <w:pPr>
              <w:jc w:val="center"/>
            </w:pPr>
            <w:r>
              <w:rPr>
                <w:rFonts w:ascii="宋体" w:hAnsi="宋体" w:eastAsia="宋体"/>
                <w:sz w:val="16"/>
              </w:rPr>
              <w:t>25.30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1F09653">
            <w:pPr>
              <w:jc w:val="center"/>
            </w:pPr>
            <w:r>
              <w:rPr>
                <w:rFonts w:ascii="宋体" w:hAnsi="宋体" w:eastAsia="宋体"/>
                <w:sz w:val="16"/>
              </w:rPr>
              <w:t>—</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62FB292F">
            <w:pPr>
              <w:jc w:val="center"/>
            </w:pPr>
            <w:r>
              <w:rPr>
                <w:rFonts w:ascii="宋体" w:hAnsi="宋体" w:eastAsia="宋体"/>
                <w:sz w:val="16"/>
              </w:rPr>
              <w:t>—</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20F3E80B">
            <w:pPr>
              <w:jc w:val="center"/>
            </w:pPr>
            <w:r>
              <w:rPr>
                <w:rFonts w:ascii="宋体" w:hAnsi="宋体" w:eastAsia="宋体"/>
                <w:sz w:val="16"/>
              </w:rPr>
              <w:t>—</w:t>
            </w:r>
          </w:p>
        </w:tc>
      </w:tr>
      <w:tr w14:paraId="613B5388">
        <w:tblPrEx>
          <w:tblCellMar>
            <w:top w:w="0" w:type="dxa"/>
            <w:left w:w="108" w:type="dxa"/>
            <w:bottom w:w="0" w:type="dxa"/>
            <w:right w:w="108" w:type="dxa"/>
          </w:tblCellMar>
        </w:tblPrEx>
        <w:trPr>
          <w:trHeight w:val="304"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79504B5D"/>
        </w:tc>
        <w:tc>
          <w:tcPr>
            <w:tcW w:w="2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C2538">
            <w:pPr>
              <w:jc w:val="center"/>
            </w:pPr>
            <w:r>
              <w:rPr>
                <w:rFonts w:ascii="宋体" w:hAnsi="宋体" w:eastAsia="宋体"/>
                <w:sz w:val="16"/>
              </w:rPr>
              <w:t xml:space="preserve">      上年结转资金</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19D6FBB1">
            <w:pPr>
              <w:jc w:val="center"/>
            </w:pPr>
            <w:r>
              <w:rPr>
                <w:rFonts w:ascii="宋体" w:hAnsi="宋体" w:eastAsia="宋体"/>
                <w:sz w:val="16"/>
              </w:rPr>
              <w:t>0.00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159D4225">
            <w:pPr>
              <w:jc w:val="center"/>
            </w:pPr>
            <w:r>
              <w:rPr>
                <w:rFonts w:ascii="宋体" w:hAnsi="宋体" w:eastAsia="宋体"/>
                <w:sz w:val="16"/>
              </w:rPr>
              <w:t>0.00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6967A47C">
            <w:pPr>
              <w:jc w:val="center"/>
            </w:pPr>
            <w:r>
              <w:rPr>
                <w:rFonts w:ascii="宋体" w:hAnsi="宋体" w:eastAsia="宋体"/>
                <w:sz w:val="16"/>
              </w:rPr>
              <w:t>0.00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64D6091">
            <w:pPr>
              <w:jc w:val="center"/>
            </w:pPr>
            <w:r>
              <w:rPr>
                <w:rFonts w:ascii="宋体" w:hAnsi="宋体" w:eastAsia="宋体"/>
                <w:sz w:val="16"/>
              </w:rPr>
              <w:t>—</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A469348">
            <w:pPr>
              <w:jc w:val="center"/>
            </w:pPr>
            <w:r>
              <w:rPr>
                <w:rFonts w:ascii="宋体" w:hAnsi="宋体" w:eastAsia="宋体"/>
                <w:sz w:val="16"/>
              </w:rPr>
              <w:t>—</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47A47B85">
            <w:pPr>
              <w:jc w:val="center"/>
            </w:pPr>
            <w:r>
              <w:rPr>
                <w:rFonts w:ascii="宋体" w:hAnsi="宋体" w:eastAsia="宋体"/>
                <w:sz w:val="16"/>
              </w:rPr>
              <w:t>—</w:t>
            </w:r>
          </w:p>
        </w:tc>
      </w:tr>
      <w:tr w14:paraId="19576A25">
        <w:tblPrEx>
          <w:tblCellMar>
            <w:top w:w="0" w:type="dxa"/>
            <w:left w:w="108" w:type="dxa"/>
            <w:bottom w:w="0" w:type="dxa"/>
            <w:right w:w="108" w:type="dxa"/>
          </w:tblCellMar>
        </w:tblPrEx>
        <w:trPr>
          <w:trHeight w:val="304"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2BE6BA4C"/>
        </w:tc>
        <w:tc>
          <w:tcPr>
            <w:tcW w:w="28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FD65B">
            <w:pPr>
              <w:jc w:val="center"/>
            </w:pPr>
            <w:r>
              <w:rPr>
                <w:rFonts w:ascii="宋体" w:hAnsi="宋体" w:eastAsia="宋体"/>
                <w:sz w:val="16"/>
              </w:rPr>
              <w:t xml:space="preserve">  其他资金</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6E53BE65">
            <w:pPr>
              <w:jc w:val="center"/>
            </w:pPr>
            <w:r>
              <w:rPr>
                <w:rFonts w:ascii="宋体" w:hAnsi="宋体" w:eastAsia="宋体"/>
                <w:sz w:val="16"/>
              </w:rPr>
              <w:t>0.00</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535AA61B">
            <w:pPr>
              <w:jc w:val="center"/>
            </w:pPr>
            <w:r>
              <w:rPr>
                <w:rFonts w:ascii="宋体" w:hAnsi="宋体" w:eastAsia="宋体"/>
                <w:sz w:val="16"/>
              </w:rPr>
              <w:t>0.00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603B2C8">
            <w:pPr>
              <w:jc w:val="center"/>
            </w:pPr>
            <w:r>
              <w:rPr>
                <w:rFonts w:ascii="宋体" w:hAnsi="宋体" w:eastAsia="宋体"/>
                <w:sz w:val="16"/>
              </w:rPr>
              <w:t>0.00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67DDA7BF">
            <w:pPr>
              <w:jc w:val="center"/>
            </w:pPr>
            <w:r>
              <w:rPr>
                <w:rFonts w:ascii="宋体" w:hAnsi="宋体" w:eastAsia="宋体"/>
                <w:sz w:val="16"/>
              </w:rPr>
              <w:t>—</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B9D9217">
            <w:pPr>
              <w:jc w:val="center"/>
            </w:pPr>
            <w:r>
              <w:rPr>
                <w:rFonts w:ascii="宋体" w:hAnsi="宋体" w:eastAsia="宋体"/>
                <w:sz w:val="16"/>
              </w:rPr>
              <w:t>—</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7A2455E3">
            <w:pPr>
              <w:jc w:val="center"/>
            </w:pPr>
            <w:r>
              <w:rPr>
                <w:rFonts w:ascii="宋体" w:hAnsi="宋体" w:eastAsia="宋体"/>
                <w:sz w:val="16"/>
              </w:rPr>
              <w:t>—</w:t>
            </w:r>
          </w:p>
        </w:tc>
      </w:tr>
      <w:tr w14:paraId="4C98E0B3">
        <w:tblPrEx>
          <w:tblCellMar>
            <w:top w:w="0" w:type="dxa"/>
            <w:left w:w="108" w:type="dxa"/>
            <w:bottom w:w="0" w:type="dxa"/>
            <w:right w:w="108" w:type="dxa"/>
          </w:tblCellMar>
        </w:tblPrEx>
        <w:trPr>
          <w:trHeight w:val="304" w:hRule="atLeast"/>
        </w:trPr>
        <w:tc>
          <w:tcPr>
            <w:tcW w:w="9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B99FC">
            <w:pPr>
              <w:jc w:val="center"/>
            </w:pPr>
            <w:r>
              <w:rPr>
                <w:rFonts w:ascii="宋体" w:hAnsi="宋体" w:eastAsia="宋体"/>
                <w:sz w:val="16"/>
              </w:rPr>
              <w:t>年度总体目标</w:t>
            </w:r>
          </w:p>
        </w:tc>
        <w:tc>
          <w:tcPr>
            <w:tcW w:w="40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0F1065">
            <w:pPr>
              <w:jc w:val="center"/>
            </w:pPr>
            <w:r>
              <w:rPr>
                <w:rFonts w:ascii="宋体" w:hAnsi="宋体" w:eastAsia="宋体"/>
                <w:sz w:val="16"/>
              </w:rPr>
              <w:t>预期目标</w:t>
            </w:r>
          </w:p>
        </w:tc>
        <w:tc>
          <w:tcPr>
            <w:tcW w:w="537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DB32EF">
            <w:pPr>
              <w:jc w:val="center"/>
            </w:pPr>
            <w:r>
              <w:rPr>
                <w:rFonts w:ascii="宋体" w:hAnsi="宋体" w:eastAsia="宋体"/>
                <w:sz w:val="16"/>
              </w:rPr>
              <w:t>实际完成情况</w:t>
            </w:r>
          </w:p>
        </w:tc>
      </w:tr>
      <w:tr w14:paraId="7BEE3E67">
        <w:tblPrEx>
          <w:tblCellMar>
            <w:top w:w="0" w:type="dxa"/>
            <w:left w:w="108" w:type="dxa"/>
            <w:bottom w:w="0" w:type="dxa"/>
            <w:right w:w="108" w:type="dxa"/>
          </w:tblCellMar>
        </w:tblPrEx>
        <w:trPr>
          <w:trHeight w:val="1147"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3754757F"/>
        </w:tc>
        <w:tc>
          <w:tcPr>
            <w:tcW w:w="403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61A8AA">
            <w:pPr>
              <w:jc w:val="both"/>
            </w:pPr>
            <w:r>
              <w:rPr>
                <w:rFonts w:ascii="宋体" w:hAnsi="宋体" w:eastAsia="宋体"/>
                <w:sz w:val="16"/>
              </w:rPr>
              <w:t>根据项目批复实施本项目。主要内容：为死亡退休干部周邦甫支付25.3万元的丧葬费及抚恤金。通过项目实施，有效保障死亡人员家属的生活条件。</w:t>
            </w:r>
          </w:p>
        </w:tc>
        <w:tc>
          <w:tcPr>
            <w:tcW w:w="537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EFB625">
            <w:pPr>
              <w:jc w:val="both"/>
            </w:pPr>
            <w:r>
              <w:rPr>
                <w:rFonts w:hint="eastAsia" w:ascii="宋体" w:hAnsi="宋体"/>
                <w:sz w:val="16"/>
                <w:lang w:eastAsia="zh-CN"/>
              </w:rPr>
              <w:t>截至</w:t>
            </w:r>
            <w:r>
              <w:rPr>
                <w:rFonts w:ascii="宋体" w:hAnsi="宋体" w:eastAsia="宋体"/>
                <w:sz w:val="16"/>
              </w:rPr>
              <w:t>2024年12月底，项目已完成为死亡退休干部周邦甫支付25.3万元的丧葬费及抚恤金。通过项目实施，有效保障死亡人员家属的生活条件·</w:t>
            </w:r>
          </w:p>
        </w:tc>
      </w:tr>
      <w:tr w14:paraId="5839C4D8">
        <w:tblPrEx>
          <w:tblCellMar>
            <w:top w:w="0" w:type="dxa"/>
            <w:left w:w="108" w:type="dxa"/>
            <w:bottom w:w="0" w:type="dxa"/>
            <w:right w:w="108" w:type="dxa"/>
          </w:tblCellMar>
        </w:tblPrEx>
        <w:trPr>
          <w:trHeight w:val="866" w:hRule="atLeast"/>
        </w:trPr>
        <w:tc>
          <w:tcPr>
            <w:tcW w:w="920" w:type="dxa"/>
            <w:tcBorders>
              <w:top w:val="single" w:color="auto" w:sz="10" w:space="0"/>
              <w:left w:val="single" w:color="auto" w:sz="10" w:space="0"/>
              <w:bottom w:val="single" w:color="auto" w:sz="10" w:space="0"/>
              <w:right w:val="single" w:color="auto" w:sz="10" w:space="0"/>
              <w:insideV w:val="single" w:sz="10" w:space="0"/>
            </w:tcBorders>
          </w:tcPr>
          <w:p w14:paraId="65259949"/>
        </w:tc>
        <w:tc>
          <w:tcPr>
            <w:tcW w:w="1689" w:type="dxa"/>
            <w:tcBorders>
              <w:top w:val="single" w:color="auto" w:sz="10" w:space="0"/>
              <w:left w:val="single" w:color="auto" w:sz="10" w:space="0"/>
              <w:bottom w:val="single" w:color="auto" w:sz="10" w:space="0"/>
              <w:right w:val="single" w:color="auto" w:sz="10" w:space="0"/>
              <w:insideV w:val="single" w:sz="10" w:space="0"/>
            </w:tcBorders>
            <w:vAlign w:val="center"/>
          </w:tcPr>
          <w:p w14:paraId="31387A34">
            <w:pPr>
              <w:jc w:val="center"/>
            </w:pPr>
            <w:r>
              <w:rPr>
                <w:rFonts w:ascii="宋体" w:hAnsi="宋体" w:eastAsia="宋体"/>
                <w:sz w:val="16"/>
              </w:rPr>
              <w:t>一级指标</w:t>
            </w:r>
          </w:p>
        </w:tc>
        <w:tc>
          <w:tcPr>
            <w:tcW w:w="1174" w:type="dxa"/>
            <w:tcBorders>
              <w:top w:val="single" w:color="auto" w:sz="10" w:space="0"/>
              <w:left w:val="single" w:color="auto" w:sz="10" w:space="0"/>
              <w:bottom w:val="single" w:color="auto" w:sz="10" w:space="0"/>
              <w:right w:val="single" w:color="auto" w:sz="10" w:space="0"/>
              <w:insideV w:val="single" w:sz="10" w:space="0"/>
            </w:tcBorders>
            <w:vAlign w:val="center"/>
          </w:tcPr>
          <w:p w14:paraId="0454567B">
            <w:pPr>
              <w:jc w:val="center"/>
            </w:pPr>
            <w:r>
              <w:rPr>
                <w:rFonts w:ascii="宋体" w:hAnsi="宋体" w:eastAsia="宋体"/>
                <w:sz w:val="16"/>
              </w:rPr>
              <w:t>二级指标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43E98178">
            <w:pPr>
              <w:jc w:val="center"/>
            </w:pPr>
            <w:r>
              <w:rPr>
                <w:rFonts w:ascii="宋体" w:hAnsi="宋体" w:eastAsia="宋体"/>
                <w:sz w:val="16"/>
              </w:rPr>
              <w:t>三级指标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4B5821D3">
            <w:pPr>
              <w:jc w:val="center"/>
            </w:pPr>
            <w:r>
              <w:rPr>
                <w:rFonts w:ascii="宋体" w:hAnsi="宋体" w:eastAsia="宋体"/>
                <w:sz w:val="16"/>
              </w:rPr>
              <w:t>年度指标值</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51950EB">
            <w:pPr>
              <w:jc w:val="center"/>
            </w:pPr>
            <w:r>
              <w:rPr>
                <w:rFonts w:ascii="宋体" w:hAnsi="宋体" w:eastAsia="宋体"/>
                <w:sz w:val="16"/>
              </w:rPr>
              <w:t>实际完成值</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714C255">
            <w:pPr>
              <w:jc w:val="center"/>
            </w:pPr>
            <w:r>
              <w:rPr>
                <w:rFonts w:ascii="宋体" w:hAnsi="宋体" w:eastAsia="宋体"/>
                <w:sz w:val="16"/>
              </w:rPr>
              <w:t>分值</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52C0DF79">
            <w:pPr>
              <w:jc w:val="center"/>
            </w:pPr>
            <w:r>
              <w:rPr>
                <w:rFonts w:ascii="宋体" w:hAnsi="宋体" w:eastAsia="宋体"/>
                <w:sz w:val="16"/>
              </w:rPr>
              <w:t>得分</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1C73A130">
            <w:pPr>
              <w:jc w:val="center"/>
            </w:pPr>
            <w:r>
              <w:rPr>
                <w:rFonts w:ascii="宋体" w:hAnsi="宋体" w:eastAsia="宋体"/>
                <w:sz w:val="16"/>
              </w:rPr>
              <w:t>偏差原因分析及改进措施</w:t>
            </w:r>
          </w:p>
        </w:tc>
      </w:tr>
      <w:tr w14:paraId="5BDC43E6">
        <w:tblPrEx>
          <w:tblCellMar>
            <w:top w:w="0" w:type="dxa"/>
            <w:left w:w="108" w:type="dxa"/>
            <w:bottom w:w="0" w:type="dxa"/>
            <w:right w:w="108" w:type="dxa"/>
          </w:tblCellMar>
        </w:tblPrEx>
        <w:trPr>
          <w:trHeight w:val="866" w:hRule="atLeast"/>
        </w:trPr>
        <w:tc>
          <w:tcPr>
            <w:tcW w:w="9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569E6">
            <w:pPr>
              <w:jc w:val="center"/>
            </w:pPr>
            <w:r>
              <w:rPr>
                <w:rFonts w:ascii="宋体" w:hAnsi="宋体" w:eastAsia="宋体"/>
                <w:sz w:val="16"/>
              </w:rPr>
              <w:t>年度绩效指标完成情况</w:t>
            </w:r>
          </w:p>
        </w:tc>
        <w:tc>
          <w:tcPr>
            <w:tcW w:w="16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9AEE2">
            <w:pPr>
              <w:jc w:val="center"/>
            </w:pPr>
            <w:r>
              <w:rPr>
                <w:rFonts w:ascii="宋体" w:hAnsi="宋体" w:eastAsia="宋体"/>
                <w:sz w:val="16"/>
              </w:rPr>
              <w:t>产出指标</w:t>
            </w:r>
          </w:p>
        </w:tc>
        <w:tc>
          <w:tcPr>
            <w:tcW w:w="1174" w:type="dxa"/>
            <w:tcBorders>
              <w:top w:val="single" w:color="auto" w:sz="10" w:space="0"/>
              <w:left w:val="single" w:color="auto" w:sz="10" w:space="0"/>
              <w:bottom w:val="single" w:color="auto" w:sz="10" w:space="0"/>
              <w:right w:val="single" w:color="auto" w:sz="10" w:space="0"/>
              <w:insideV w:val="single" w:sz="10" w:space="0"/>
            </w:tcBorders>
            <w:vAlign w:val="center"/>
          </w:tcPr>
          <w:p w14:paraId="3534BD46">
            <w:pPr>
              <w:jc w:val="center"/>
            </w:pPr>
            <w:r>
              <w:rPr>
                <w:rFonts w:ascii="宋体" w:hAnsi="宋体" w:eastAsia="宋体"/>
                <w:sz w:val="16"/>
              </w:rPr>
              <w:t>数量指标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09219C75">
            <w:pPr>
              <w:jc w:val="center"/>
            </w:pPr>
            <w:r>
              <w:rPr>
                <w:rFonts w:ascii="宋体" w:hAnsi="宋体" w:eastAsia="宋体"/>
                <w:sz w:val="16"/>
              </w:rPr>
              <w:t>丧葬费、抚恤金发放人数</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2BE61B0D">
            <w:pPr>
              <w:jc w:val="center"/>
            </w:pPr>
            <w:r>
              <w:rPr>
                <w:rFonts w:ascii="宋体" w:hAnsi="宋体" w:eastAsia="宋体"/>
                <w:sz w:val="16"/>
              </w:rPr>
              <w:t>=1人</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BC940B9">
            <w:pPr>
              <w:jc w:val="center"/>
            </w:pPr>
            <w:r>
              <w:rPr>
                <w:rFonts w:ascii="宋体" w:hAnsi="宋体" w:eastAsia="宋体"/>
                <w:sz w:val="16"/>
              </w:rPr>
              <w:t>=1人</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D2D795B">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429C0B6A">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5AD53221">
            <w:pPr>
              <w:jc w:val="center"/>
            </w:pPr>
          </w:p>
        </w:tc>
      </w:tr>
      <w:tr w14:paraId="3E5C8EEC">
        <w:tblPrEx>
          <w:tblCellMar>
            <w:top w:w="0" w:type="dxa"/>
            <w:left w:w="108" w:type="dxa"/>
            <w:bottom w:w="0" w:type="dxa"/>
            <w:right w:w="108" w:type="dxa"/>
          </w:tblCellMar>
        </w:tblPrEx>
        <w:trPr>
          <w:trHeight w:val="585"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31500C39"/>
        </w:tc>
        <w:tc>
          <w:tcPr>
            <w:tcW w:w="1689" w:type="dxa"/>
            <w:vMerge w:val="continue"/>
            <w:tcBorders>
              <w:top w:val="single" w:color="auto" w:sz="10" w:space="0"/>
              <w:left w:val="single" w:color="auto" w:sz="10" w:space="0"/>
              <w:bottom w:val="single" w:color="auto" w:sz="10" w:space="0"/>
              <w:right w:val="single" w:color="auto" w:sz="10" w:space="0"/>
              <w:insideV w:val="single" w:sz="10" w:space="0"/>
            </w:tcBorders>
          </w:tcPr>
          <w:p w14:paraId="599408D9"/>
        </w:tc>
        <w:tc>
          <w:tcPr>
            <w:tcW w:w="11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34822">
            <w:pPr>
              <w:jc w:val="center"/>
            </w:pPr>
            <w:r>
              <w:rPr>
                <w:rFonts w:ascii="宋体" w:hAnsi="宋体" w:eastAsia="宋体"/>
                <w:sz w:val="16"/>
              </w:rPr>
              <w:t>质量指标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62F00CDA">
            <w:pPr>
              <w:jc w:val="center"/>
            </w:pPr>
            <w:r>
              <w:rPr>
                <w:rFonts w:ascii="宋体" w:hAnsi="宋体" w:eastAsia="宋体"/>
                <w:sz w:val="16"/>
              </w:rPr>
              <w:t>补贴资金发放准确率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43D53CE7">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D94DAED">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FD009F0">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F497FCB">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7D18DB0B">
            <w:pPr>
              <w:jc w:val="center"/>
            </w:pPr>
          </w:p>
        </w:tc>
      </w:tr>
      <w:tr w14:paraId="642498E9">
        <w:tblPrEx>
          <w:tblCellMar>
            <w:top w:w="0" w:type="dxa"/>
            <w:left w:w="108" w:type="dxa"/>
            <w:bottom w:w="0" w:type="dxa"/>
            <w:right w:w="108" w:type="dxa"/>
          </w:tblCellMar>
        </w:tblPrEx>
        <w:trPr>
          <w:trHeight w:val="585"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4B73EC0D"/>
        </w:tc>
        <w:tc>
          <w:tcPr>
            <w:tcW w:w="1689" w:type="dxa"/>
            <w:vMerge w:val="continue"/>
            <w:tcBorders>
              <w:top w:val="single" w:color="auto" w:sz="10" w:space="0"/>
              <w:left w:val="single" w:color="auto" w:sz="10" w:space="0"/>
              <w:bottom w:val="single" w:color="auto" w:sz="10" w:space="0"/>
              <w:right w:val="single" w:color="auto" w:sz="10" w:space="0"/>
              <w:insideV w:val="single" w:sz="10" w:space="0"/>
            </w:tcBorders>
          </w:tcPr>
          <w:p w14:paraId="4684C8BC"/>
        </w:tc>
        <w:tc>
          <w:tcPr>
            <w:tcW w:w="1174" w:type="dxa"/>
            <w:vMerge w:val="continue"/>
            <w:tcBorders>
              <w:top w:val="single" w:color="auto" w:sz="10" w:space="0"/>
              <w:left w:val="single" w:color="auto" w:sz="10" w:space="0"/>
              <w:bottom w:val="single" w:color="auto" w:sz="10" w:space="0"/>
              <w:right w:val="single" w:color="auto" w:sz="10" w:space="0"/>
              <w:insideV w:val="single" w:sz="10" w:space="0"/>
            </w:tcBorders>
          </w:tcPr>
          <w:p w14:paraId="34AE0303"/>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4BE2D4FC">
            <w:pPr>
              <w:jc w:val="center"/>
            </w:pPr>
            <w:r>
              <w:rPr>
                <w:rFonts w:ascii="宋体" w:hAnsi="宋体" w:eastAsia="宋体"/>
                <w:sz w:val="16"/>
              </w:rPr>
              <w:t>资金使用合规率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77F5E35">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68EEBE0">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F18C62A">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E041C49">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5E82C693">
            <w:pPr>
              <w:jc w:val="center"/>
            </w:pPr>
          </w:p>
        </w:tc>
      </w:tr>
      <w:tr w14:paraId="4E732682">
        <w:tblPrEx>
          <w:tblCellMar>
            <w:top w:w="0" w:type="dxa"/>
            <w:left w:w="108" w:type="dxa"/>
            <w:bottom w:w="0" w:type="dxa"/>
            <w:right w:w="108" w:type="dxa"/>
          </w:tblCellMar>
        </w:tblPrEx>
        <w:trPr>
          <w:trHeight w:val="866"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5F614604"/>
        </w:tc>
        <w:tc>
          <w:tcPr>
            <w:tcW w:w="1689" w:type="dxa"/>
            <w:vMerge w:val="continue"/>
            <w:tcBorders>
              <w:top w:val="single" w:color="auto" w:sz="10" w:space="0"/>
              <w:left w:val="single" w:color="auto" w:sz="10" w:space="0"/>
              <w:bottom w:val="single" w:color="auto" w:sz="10" w:space="0"/>
              <w:right w:val="single" w:color="auto" w:sz="10" w:space="0"/>
              <w:insideV w:val="single" w:sz="10" w:space="0"/>
            </w:tcBorders>
          </w:tcPr>
          <w:p w14:paraId="6ED279DC"/>
        </w:tc>
        <w:tc>
          <w:tcPr>
            <w:tcW w:w="1174" w:type="dxa"/>
            <w:tcBorders>
              <w:top w:val="single" w:color="auto" w:sz="10" w:space="0"/>
              <w:left w:val="single" w:color="auto" w:sz="10" w:space="0"/>
              <w:bottom w:val="single" w:color="auto" w:sz="10" w:space="0"/>
              <w:right w:val="single" w:color="auto" w:sz="10" w:space="0"/>
              <w:insideV w:val="single" w:sz="10" w:space="0"/>
            </w:tcBorders>
            <w:vAlign w:val="center"/>
          </w:tcPr>
          <w:p w14:paraId="34129B56">
            <w:pPr>
              <w:jc w:val="center"/>
            </w:pPr>
            <w:r>
              <w:rPr>
                <w:rFonts w:ascii="宋体" w:hAnsi="宋体" w:eastAsia="宋体"/>
                <w:sz w:val="16"/>
              </w:rPr>
              <w:t>时效指标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28C85264">
            <w:pPr>
              <w:jc w:val="center"/>
            </w:pPr>
            <w:r>
              <w:rPr>
                <w:rFonts w:ascii="宋体" w:hAnsi="宋体" w:eastAsia="宋体"/>
                <w:sz w:val="16"/>
              </w:rPr>
              <w:t>丧葬费、抚恤金发放及时率</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C913277">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9A72215">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3EF8425F">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2458B27">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7E266B80">
            <w:pPr>
              <w:jc w:val="center"/>
            </w:pPr>
          </w:p>
        </w:tc>
      </w:tr>
      <w:tr w14:paraId="1C7341E0">
        <w:tblPrEx>
          <w:tblCellMar>
            <w:top w:w="0" w:type="dxa"/>
            <w:left w:w="108" w:type="dxa"/>
            <w:bottom w:w="0" w:type="dxa"/>
            <w:right w:w="108" w:type="dxa"/>
          </w:tblCellMar>
        </w:tblPrEx>
        <w:trPr>
          <w:trHeight w:val="585"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524A3588"/>
        </w:tc>
        <w:tc>
          <w:tcPr>
            <w:tcW w:w="16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AF981">
            <w:pPr>
              <w:jc w:val="center"/>
            </w:pPr>
            <w:r>
              <w:rPr>
                <w:rFonts w:ascii="宋体" w:hAnsi="宋体" w:eastAsia="宋体"/>
                <w:sz w:val="16"/>
              </w:rPr>
              <w:t>成本指标</w:t>
            </w:r>
          </w:p>
        </w:tc>
        <w:tc>
          <w:tcPr>
            <w:tcW w:w="117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EE7818">
            <w:pPr>
              <w:jc w:val="center"/>
            </w:pPr>
            <w:r>
              <w:rPr>
                <w:rFonts w:ascii="宋体" w:hAnsi="宋体" w:eastAsia="宋体"/>
                <w:sz w:val="16"/>
              </w:rPr>
              <w:t>经济成本指标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77FE5B39">
            <w:pPr>
              <w:jc w:val="center"/>
            </w:pPr>
            <w:r>
              <w:rPr>
                <w:rFonts w:ascii="宋体" w:hAnsi="宋体" w:eastAsia="宋体"/>
                <w:sz w:val="16"/>
              </w:rPr>
              <w:t>丧葬费</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05E5587F">
            <w:pPr>
              <w:jc w:val="center"/>
            </w:pPr>
            <w:r>
              <w:rPr>
                <w:rFonts w:ascii="宋体" w:hAnsi="宋体" w:eastAsia="宋体"/>
                <w:sz w:val="16"/>
              </w:rPr>
              <w:t>&lt;=1.53万元</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551E24EC">
            <w:pPr>
              <w:jc w:val="center"/>
            </w:pPr>
            <w:r>
              <w:rPr>
                <w:rFonts w:ascii="宋体" w:hAnsi="宋体" w:eastAsia="宋体"/>
                <w:sz w:val="16"/>
              </w:rPr>
              <w:t>=1.53万元</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8CC51B6">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8E4CD37">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36FC93DC">
            <w:pPr>
              <w:jc w:val="center"/>
            </w:pPr>
          </w:p>
        </w:tc>
      </w:tr>
      <w:tr w14:paraId="52E95859">
        <w:tblPrEx>
          <w:tblCellMar>
            <w:top w:w="0" w:type="dxa"/>
            <w:left w:w="108" w:type="dxa"/>
            <w:bottom w:w="0" w:type="dxa"/>
            <w:right w:w="108" w:type="dxa"/>
          </w:tblCellMar>
        </w:tblPrEx>
        <w:trPr>
          <w:trHeight w:val="585"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5D55E9C5"/>
        </w:tc>
        <w:tc>
          <w:tcPr>
            <w:tcW w:w="1689" w:type="dxa"/>
            <w:vMerge w:val="continue"/>
            <w:tcBorders>
              <w:top w:val="single" w:color="auto" w:sz="10" w:space="0"/>
              <w:left w:val="single" w:color="auto" w:sz="10" w:space="0"/>
              <w:bottom w:val="single" w:color="auto" w:sz="10" w:space="0"/>
              <w:right w:val="single" w:color="auto" w:sz="10" w:space="0"/>
              <w:insideV w:val="single" w:sz="10" w:space="0"/>
            </w:tcBorders>
          </w:tcPr>
          <w:p w14:paraId="7D1034E8"/>
        </w:tc>
        <w:tc>
          <w:tcPr>
            <w:tcW w:w="1174" w:type="dxa"/>
            <w:vMerge w:val="continue"/>
            <w:tcBorders>
              <w:top w:val="single" w:color="auto" w:sz="10" w:space="0"/>
              <w:left w:val="single" w:color="auto" w:sz="10" w:space="0"/>
              <w:bottom w:val="single" w:color="auto" w:sz="10" w:space="0"/>
              <w:right w:val="single" w:color="auto" w:sz="10" w:space="0"/>
              <w:insideV w:val="single" w:sz="10" w:space="0"/>
            </w:tcBorders>
          </w:tcPr>
          <w:p w14:paraId="55191755"/>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29510C9D">
            <w:pPr>
              <w:jc w:val="center"/>
            </w:pPr>
            <w:r>
              <w:rPr>
                <w:rFonts w:ascii="宋体" w:hAnsi="宋体" w:eastAsia="宋体"/>
                <w:sz w:val="16"/>
              </w:rPr>
              <w:t>抚恤金</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6F5A045A">
            <w:pPr>
              <w:jc w:val="center"/>
            </w:pPr>
            <w:r>
              <w:rPr>
                <w:rFonts w:ascii="宋体" w:hAnsi="宋体" w:eastAsia="宋体"/>
                <w:sz w:val="16"/>
              </w:rPr>
              <w:t>&lt;=23.77万元</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59F28D64">
            <w:pPr>
              <w:jc w:val="center"/>
            </w:pPr>
            <w:r>
              <w:rPr>
                <w:rFonts w:ascii="宋体" w:hAnsi="宋体" w:eastAsia="宋体"/>
                <w:sz w:val="16"/>
              </w:rPr>
              <w:t>=23.77万元</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4BE7C89C">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1FD8E07">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532A42AA">
            <w:pPr>
              <w:jc w:val="center"/>
            </w:pPr>
          </w:p>
        </w:tc>
      </w:tr>
      <w:tr w14:paraId="3574AEF1">
        <w:tblPrEx>
          <w:tblCellMar>
            <w:top w:w="0" w:type="dxa"/>
            <w:left w:w="108" w:type="dxa"/>
            <w:bottom w:w="0" w:type="dxa"/>
            <w:right w:w="108" w:type="dxa"/>
          </w:tblCellMar>
        </w:tblPrEx>
        <w:trPr>
          <w:trHeight w:val="866"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446C3003"/>
        </w:tc>
        <w:tc>
          <w:tcPr>
            <w:tcW w:w="1689" w:type="dxa"/>
            <w:tcBorders>
              <w:top w:val="single" w:color="auto" w:sz="10" w:space="0"/>
              <w:left w:val="single" w:color="auto" w:sz="10" w:space="0"/>
              <w:bottom w:val="single" w:color="auto" w:sz="10" w:space="0"/>
              <w:right w:val="single" w:color="auto" w:sz="10" w:space="0"/>
              <w:insideV w:val="single" w:sz="10" w:space="0"/>
            </w:tcBorders>
            <w:vAlign w:val="center"/>
          </w:tcPr>
          <w:p w14:paraId="0E432F73">
            <w:pPr>
              <w:jc w:val="center"/>
            </w:pPr>
            <w:r>
              <w:rPr>
                <w:rFonts w:ascii="宋体" w:hAnsi="宋体" w:eastAsia="宋体"/>
                <w:sz w:val="16"/>
              </w:rPr>
              <w:t>效益指标</w:t>
            </w:r>
          </w:p>
        </w:tc>
        <w:tc>
          <w:tcPr>
            <w:tcW w:w="1174" w:type="dxa"/>
            <w:tcBorders>
              <w:top w:val="single" w:color="auto" w:sz="10" w:space="0"/>
              <w:left w:val="single" w:color="auto" w:sz="10" w:space="0"/>
              <w:bottom w:val="single" w:color="auto" w:sz="10" w:space="0"/>
              <w:right w:val="single" w:color="auto" w:sz="10" w:space="0"/>
              <w:insideV w:val="single" w:sz="10" w:space="0"/>
            </w:tcBorders>
            <w:vAlign w:val="center"/>
          </w:tcPr>
          <w:p w14:paraId="4F450A44">
            <w:pPr>
              <w:jc w:val="center"/>
            </w:pPr>
            <w:r>
              <w:rPr>
                <w:rFonts w:ascii="宋体" w:hAnsi="宋体" w:eastAsia="宋体"/>
                <w:sz w:val="16"/>
              </w:rPr>
              <w:t>社会效益指标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41593EFC">
            <w:pPr>
              <w:jc w:val="center"/>
            </w:pPr>
            <w:r>
              <w:rPr>
                <w:rFonts w:ascii="宋体" w:hAnsi="宋体" w:eastAsia="宋体"/>
                <w:sz w:val="16"/>
              </w:rPr>
              <w:t>保障死亡人员家属的生活条件</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BD21E63">
            <w:pPr>
              <w:jc w:val="center"/>
            </w:pPr>
            <w:r>
              <w:rPr>
                <w:rFonts w:ascii="宋体" w:hAnsi="宋体" w:eastAsia="宋体"/>
                <w:sz w:val="16"/>
              </w:rPr>
              <w:t>效果显著</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5E9995E2">
            <w:pPr>
              <w:jc w:val="center"/>
            </w:pPr>
            <w:r>
              <w:rPr>
                <w:rFonts w:ascii="宋体" w:hAnsi="宋体" w:eastAsia="宋体"/>
                <w:sz w:val="16"/>
              </w:rPr>
              <w:t>基本达到目标</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76E6E066">
            <w:pPr>
              <w:jc w:val="center"/>
            </w:pPr>
            <w:r>
              <w:rPr>
                <w:rFonts w:ascii="宋体" w:hAnsi="宋体" w:eastAsia="宋体"/>
                <w:sz w:val="16"/>
              </w:rPr>
              <w:t>20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056F5456">
            <w:pPr>
              <w:jc w:val="center"/>
            </w:pPr>
            <w:r>
              <w:rPr>
                <w:rFonts w:ascii="宋体" w:hAnsi="宋体" w:eastAsia="宋体"/>
                <w:sz w:val="16"/>
              </w:rPr>
              <w:t>20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447780AF">
            <w:pPr>
              <w:jc w:val="center"/>
            </w:pPr>
          </w:p>
        </w:tc>
      </w:tr>
      <w:tr w14:paraId="5C9D0FD8">
        <w:tblPrEx>
          <w:tblCellMar>
            <w:top w:w="0" w:type="dxa"/>
            <w:left w:w="108" w:type="dxa"/>
            <w:bottom w:w="0" w:type="dxa"/>
            <w:right w:w="108" w:type="dxa"/>
          </w:tblCellMar>
        </w:tblPrEx>
        <w:trPr>
          <w:trHeight w:val="585" w:hRule="atLeast"/>
        </w:trPr>
        <w:tc>
          <w:tcPr>
            <w:tcW w:w="920" w:type="dxa"/>
            <w:vMerge w:val="continue"/>
            <w:tcBorders>
              <w:top w:val="single" w:color="auto" w:sz="10" w:space="0"/>
              <w:left w:val="single" w:color="auto" w:sz="10" w:space="0"/>
              <w:bottom w:val="single" w:color="auto" w:sz="10" w:space="0"/>
              <w:right w:val="single" w:color="auto" w:sz="10" w:space="0"/>
              <w:insideV w:val="single" w:sz="10" w:space="0"/>
            </w:tcBorders>
          </w:tcPr>
          <w:p w14:paraId="05BF7335"/>
        </w:tc>
        <w:tc>
          <w:tcPr>
            <w:tcW w:w="1689" w:type="dxa"/>
            <w:tcBorders>
              <w:top w:val="single" w:color="auto" w:sz="10" w:space="0"/>
              <w:left w:val="single" w:color="auto" w:sz="10" w:space="0"/>
              <w:bottom w:val="single" w:color="auto" w:sz="10" w:space="0"/>
              <w:right w:val="single" w:color="auto" w:sz="10" w:space="0"/>
              <w:insideV w:val="single" w:sz="10" w:space="0"/>
            </w:tcBorders>
            <w:vAlign w:val="center"/>
          </w:tcPr>
          <w:p w14:paraId="68DB23E5">
            <w:pPr>
              <w:jc w:val="center"/>
            </w:pPr>
            <w:r>
              <w:rPr>
                <w:rFonts w:ascii="宋体" w:hAnsi="宋体" w:eastAsia="宋体"/>
                <w:sz w:val="16"/>
              </w:rPr>
              <w:t>满意度指标</w:t>
            </w:r>
          </w:p>
        </w:tc>
        <w:tc>
          <w:tcPr>
            <w:tcW w:w="1174" w:type="dxa"/>
            <w:tcBorders>
              <w:top w:val="single" w:color="auto" w:sz="10" w:space="0"/>
              <w:left w:val="single" w:color="auto" w:sz="10" w:space="0"/>
              <w:bottom w:val="single" w:color="auto" w:sz="10" w:space="0"/>
              <w:right w:val="single" w:color="auto" w:sz="10" w:space="0"/>
              <w:insideV w:val="single" w:sz="10" w:space="0"/>
            </w:tcBorders>
            <w:vAlign w:val="center"/>
          </w:tcPr>
          <w:p w14:paraId="2EC6F1C6">
            <w:pPr>
              <w:jc w:val="center"/>
            </w:pPr>
            <w:r>
              <w:rPr>
                <w:rFonts w:ascii="宋体" w:hAnsi="宋体" w:eastAsia="宋体"/>
                <w:sz w:val="16"/>
              </w:rPr>
              <w:t>满意度指标</w:t>
            </w:r>
          </w:p>
        </w:tc>
        <w:tc>
          <w:tcPr>
            <w:tcW w:w="1173" w:type="dxa"/>
            <w:tcBorders>
              <w:top w:val="single" w:color="auto" w:sz="10" w:space="0"/>
              <w:left w:val="single" w:color="auto" w:sz="10" w:space="0"/>
              <w:bottom w:val="single" w:color="auto" w:sz="10" w:space="0"/>
              <w:right w:val="single" w:color="auto" w:sz="10" w:space="0"/>
              <w:insideV w:val="single" w:sz="10" w:space="0"/>
            </w:tcBorders>
            <w:vAlign w:val="center"/>
          </w:tcPr>
          <w:p w14:paraId="23AEFA76">
            <w:pPr>
              <w:jc w:val="center"/>
            </w:pPr>
            <w:r>
              <w:rPr>
                <w:rFonts w:ascii="宋体" w:hAnsi="宋体" w:eastAsia="宋体"/>
                <w:sz w:val="16"/>
              </w:rPr>
              <w:t>死亡人员家属</w:t>
            </w:r>
          </w:p>
        </w:tc>
        <w:tc>
          <w:tcPr>
            <w:tcW w:w="866" w:type="dxa"/>
            <w:tcBorders>
              <w:top w:val="single" w:color="auto" w:sz="10" w:space="0"/>
              <w:left w:val="single" w:color="auto" w:sz="10" w:space="0"/>
              <w:bottom w:val="single" w:color="auto" w:sz="10" w:space="0"/>
              <w:right w:val="single" w:color="auto" w:sz="10" w:space="0"/>
              <w:insideV w:val="single" w:sz="10" w:space="0"/>
            </w:tcBorders>
            <w:vAlign w:val="center"/>
          </w:tcPr>
          <w:p w14:paraId="3EB1AA67">
            <w:pPr>
              <w:jc w:val="center"/>
            </w:pPr>
            <w:r>
              <w:rPr>
                <w:rFonts w:ascii="宋体" w:hAnsi="宋体" w:eastAsia="宋体"/>
                <w:sz w:val="16"/>
              </w:rPr>
              <w:t>&gt;=95%</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44F2CD8">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5B3A55F0">
            <w:pPr>
              <w:jc w:val="center"/>
            </w:pPr>
            <w:r>
              <w:rPr>
                <w:rFonts w:ascii="宋体" w:hAnsi="宋体" w:eastAsia="宋体"/>
                <w:sz w:val="16"/>
              </w:rPr>
              <w:t>10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44D36927">
            <w:pPr>
              <w:jc w:val="center"/>
            </w:pPr>
            <w:r>
              <w:rPr>
                <w:rFonts w:ascii="宋体" w:hAnsi="宋体" w:eastAsia="宋体"/>
                <w:sz w:val="16"/>
              </w:rPr>
              <w:t>10</w:t>
            </w:r>
          </w:p>
        </w:tc>
        <w:tc>
          <w:tcPr>
            <w:tcW w:w="1294" w:type="dxa"/>
            <w:tcBorders>
              <w:top w:val="single" w:color="auto" w:sz="10" w:space="0"/>
              <w:left w:val="single" w:color="auto" w:sz="10" w:space="0"/>
              <w:bottom w:val="single" w:color="auto" w:sz="10" w:space="0"/>
              <w:right w:val="single" w:color="auto" w:sz="10" w:space="0"/>
              <w:insideV w:val="single" w:sz="10" w:space="0"/>
            </w:tcBorders>
            <w:vAlign w:val="center"/>
          </w:tcPr>
          <w:p w14:paraId="2CA944B7">
            <w:pPr>
              <w:jc w:val="center"/>
            </w:pPr>
          </w:p>
        </w:tc>
      </w:tr>
      <w:tr w14:paraId="1DA4C215">
        <w:tblPrEx>
          <w:tblCellMar>
            <w:top w:w="0" w:type="dxa"/>
            <w:left w:w="108" w:type="dxa"/>
            <w:bottom w:w="0" w:type="dxa"/>
            <w:right w:w="108" w:type="dxa"/>
          </w:tblCellMar>
        </w:tblPrEx>
        <w:trPr>
          <w:trHeight w:val="607" w:hRule="atLeast"/>
        </w:trPr>
        <w:tc>
          <w:tcPr>
            <w:tcW w:w="582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08927D">
            <w:pPr>
              <w:jc w:val="center"/>
            </w:pPr>
            <w:r>
              <w:rPr>
                <w:rFonts w:ascii="宋体" w:hAnsi="宋体" w:eastAsia="宋体"/>
                <w:sz w:val="16"/>
              </w:rPr>
              <w:t>总分</w:t>
            </w:r>
          </w:p>
        </w:tc>
        <w:tc>
          <w:tcPr>
            <w:tcW w:w="1071" w:type="dxa"/>
            <w:tcBorders>
              <w:top w:val="single" w:color="auto" w:sz="10" w:space="0"/>
              <w:left w:val="single" w:color="auto" w:sz="10" w:space="0"/>
              <w:bottom w:val="single" w:color="auto" w:sz="10" w:space="0"/>
              <w:right w:val="single" w:color="auto" w:sz="10" w:space="0"/>
              <w:insideV w:val="single" w:sz="10" w:space="0"/>
            </w:tcBorders>
          </w:tcPr>
          <w:p w14:paraId="607F5F61"/>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19F79F3E">
            <w:pPr>
              <w:jc w:val="center"/>
            </w:pPr>
            <w:r>
              <w:rPr>
                <w:rFonts w:ascii="宋体" w:hAnsi="宋体" w:eastAsia="宋体"/>
                <w:sz w:val="16"/>
              </w:rPr>
              <w:t>100</w:t>
            </w:r>
          </w:p>
        </w:tc>
        <w:tc>
          <w:tcPr>
            <w:tcW w:w="1071" w:type="dxa"/>
            <w:tcBorders>
              <w:top w:val="single" w:color="auto" w:sz="10" w:space="0"/>
              <w:left w:val="single" w:color="auto" w:sz="10" w:space="0"/>
              <w:bottom w:val="single" w:color="auto" w:sz="10" w:space="0"/>
              <w:right w:val="single" w:color="auto" w:sz="10" w:space="0"/>
              <w:insideV w:val="single" w:sz="10" w:space="0"/>
            </w:tcBorders>
            <w:vAlign w:val="center"/>
          </w:tcPr>
          <w:p w14:paraId="2E139AF6">
            <w:pPr>
              <w:jc w:val="center"/>
            </w:pPr>
            <w:r>
              <w:rPr>
                <w:rFonts w:ascii="宋体" w:hAnsi="宋体" w:eastAsia="宋体"/>
                <w:sz w:val="16"/>
              </w:rPr>
              <w:t>100分</w:t>
            </w:r>
          </w:p>
        </w:tc>
        <w:tc>
          <w:tcPr>
            <w:tcW w:w="1294" w:type="dxa"/>
            <w:tcBorders>
              <w:top w:val="single" w:color="auto" w:sz="10" w:space="0"/>
              <w:left w:val="single" w:color="auto" w:sz="10" w:space="0"/>
              <w:bottom w:val="single" w:color="auto" w:sz="10" w:space="0"/>
              <w:right w:val="single" w:color="auto" w:sz="10" w:space="0"/>
              <w:insideV w:val="single" w:sz="10" w:space="0"/>
            </w:tcBorders>
          </w:tcPr>
          <w:p w14:paraId="0F3165F3"/>
        </w:tc>
      </w:tr>
    </w:tbl>
    <w:p w14:paraId="5DD209D7">
      <w:r>
        <w:br w:type="page"/>
      </w:r>
    </w:p>
    <w:tbl>
      <w:tblPr>
        <w:tblStyle w:val="9"/>
        <w:tblW w:w="9902" w:type="dxa"/>
        <w:tblInd w:w="-455" w:type="dxa"/>
        <w:tblLayout w:type="autofit"/>
        <w:tblCellMar>
          <w:top w:w="0" w:type="dxa"/>
          <w:left w:w="108" w:type="dxa"/>
          <w:bottom w:w="0" w:type="dxa"/>
          <w:right w:w="108" w:type="dxa"/>
        </w:tblCellMar>
      </w:tblPr>
      <w:tblGrid>
        <w:gridCol w:w="1132"/>
        <w:gridCol w:w="1066"/>
        <w:gridCol w:w="1206"/>
        <w:gridCol w:w="1126"/>
        <w:gridCol w:w="840"/>
        <w:gridCol w:w="983"/>
        <w:gridCol w:w="983"/>
        <w:gridCol w:w="983"/>
        <w:gridCol w:w="1583"/>
      </w:tblGrid>
      <w:tr w14:paraId="7398BB33">
        <w:tblPrEx>
          <w:tblCellMar>
            <w:top w:w="0" w:type="dxa"/>
            <w:left w:w="108" w:type="dxa"/>
            <w:bottom w:w="0" w:type="dxa"/>
            <w:right w:w="108" w:type="dxa"/>
          </w:tblCellMar>
        </w:tblPrEx>
        <w:tc>
          <w:tcPr>
            <w:tcW w:w="9902" w:type="dxa"/>
            <w:gridSpan w:val="9"/>
            <w:vAlign w:val="center"/>
          </w:tcPr>
          <w:p w14:paraId="5484650D">
            <w:pPr>
              <w:jc w:val="center"/>
            </w:pPr>
            <w:r>
              <w:rPr>
                <w:rFonts w:ascii="宋体" w:hAnsi="宋体" w:eastAsia="宋体"/>
                <w:sz w:val="24"/>
              </w:rPr>
              <w:t>项目支出绩效自评表</w:t>
            </w:r>
          </w:p>
        </w:tc>
      </w:tr>
      <w:tr w14:paraId="771CC7AA">
        <w:tblPrEx>
          <w:tblCellMar>
            <w:top w:w="0" w:type="dxa"/>
            <w:left w:w="108" w:type="dxa"/>
            <w:bottom w:w="0" w:type="dxa"/>
            <w:right w:w="108" w:type="dxa"/>
          </w:tblCellMar>
        </w:tblPrEx>
        <w:tc>
          <w:tcPr>
            <w:tcW w:w="9902" w:type="dxa"/>
            <w:gridSpan w:val="9"/>
            <w:vAlign w:val="center"/>
          </w:tcPr>
          <w:p w14:paraId="6D5B0F0C">
            <w:pPr>
              <w:jc w:val="center"/>
            </w:pPr>
            <w:r>
              <w:rPr>
                <w:rFonts w:ascii="宋体" w:hAnsi="宋体" w:eastAsia="宋体"/>
                <w:sz w:val="24"/>
              </w:rPr>
              <w:t>(2024年度)</w:t>
            </w:r>
          </w:p>
        </w:tc>
      </w:tr>
      <w:tr w14:paraId="234A52B8">
        <w:tblPrEx>
          <w:tblCellMar>
            <w:top w:w="0" w:type="dxa"/>
            <w:left w:w="108" w:type="dxa"/>
            <w:bottom w:w="0" w:type="dxa"/>
            <w:right w:w="108" w:type="dxa"/>
          </w:tblCellMar>
        </w:tblPrEx>
        <w:tc>
          <w:tcPr>
            <w:tcW w:w="1132" w:type="dxa"/>
            <w:tcBorders>
              <w:top w:val="single" w:color="auto" w:sz="10" w:space="0"/>
              <w:left w:val="single" w:color="auto" w:sz="10" w:space="0"/>
              <w:bottom w:val="single" w:color="auto" w:sz="10" w:space="0"/>
              <w:right w:val="single" w:color="auto" w:sz="10" w:space="0"/>
              <w:insideV w:val="single" w:sz="10" w:space="0"/>
            </w:tcBorders>
            <w:vAlign w:val="center"/>
          </w:tcPr>
          <w:p w14:paraId="40D28A03">
            <w:pPr>
              <w:jc w:val="center"/>
            </w:pPr>
            <w:r>
              <w:rPr>
                <w:rFonts w:ascii="宋体" w:hAnsi="宋体" w:eastAsia="宋体"/>
                <w:sz w:val="16"/>
              </w:rPr>
              <w:t>项目名称</w:t>
            </w:r>
          </w:p>
        </w:tc>
        <w:tc>
          <w:tcPr>
            <w:tcW w:w="877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973BD0C">
            <w:pPr>
              <w:jc w:val="center"/>
            </w:pPr>
            <w:r>
              <w:rPr>
                <w:rFonts w:ascii="宋体" w:hAnsi="宋体" w:eastAsia="宋体"/>
                <w:sz w:val="16"/>
              </w:rPr>
              <w:t>自治区基层政协补助费</w:t>
            </w:r>
          </w:p>
        </w:tc>
      </w:tr>
      <w:tr w14:paraId="30F7AD59">
        <w:tblPrEx>
          <w:tblCellMar>
            <w:top w:w="0" w:type="dxa"/>
            <w:left w:w="108" w:type="dxa"/>
            <w:bottom w:w="0" w:type="dxa"/>
            <w:right w:w="108" w:type="dxa"/>
          </w:tblCellMar>
        </w:tblPrEx>
        <w:tc>
          <w:tcPr>
            <w:tcW w:w="1132" w:type="dxa"/>
            <w:tcBorders>
              <w:top w:val="single" w:color="auto" w:sz="10" w:space="0"/>
              <w:left w:val="single" w:color="auto" w:sz="10" w:space="0"/>
              <w:bottom w:val="single" w:color="auto" w:sz="10" w:space="0"/>
              <w:right w:val="single" w:color="auto" w:sz="10" w:space="0"/>
              <w:insideV w:val="single" w:sz="10" w:space="0"/>
            </w:tcBorders>
            <w:vAlign w:val="center"/>
          </w:tcPr>
          <w:p w14:paraId="50FA5178">
            <w:pPr>
              <w:jc w:val="center"/>
            </w:pPr>
            <w:r>
              <w:rPr>
                <w:rFonts w:ascii="宋体" w:hAnsi="宋体" w:eastAsia="宋体"/>
                <w:sz w:val="16"/>
              </w:rPr>
              <w:t>主管部门</w:t>
            </w:r>
          </w:p>
        </w:tc>
        <w:tc>
          <w:tcPr>
            <w:tcW w:w="3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74042B">
            <w:pPr>
              <w:jc w:val="center"/>
            </w:pPr>
            <w:r>
              <w:rPr>
                <w:rFonts w:ascii="宋体" w:hAnsi="宋体" w:eastAsia="宋体"/>
                <w:sz w:val="16"/>
              </w:rPr>
              <w:t>政协民丰县委员会</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48BBA2D">
            <w:pPr>
              <w:jc w:val="center"/>
            </w:pPr>
            <w:r>
              <w:rPr>
                <w:rFonts w:ascii="宋体" w:hAnsi="宋体" w:eastAsia="宋体"/>
                <w:sz w:val="16"/>
              </w:rPr>
              <w:t>实施单位</w:t>
            </w:r>
          </w:p>
        </w:tc>
        <w:tc>
          <w:tcPr>
            <w:tcW w:w="45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A0D161">
            <w:pPr>
              <w:jc w:val="center"/>
            </w:pPr>
            <w:r>
              <w:rPr>
                <w:rFonts w:ascii="宋体" w:hAnsi="宋体" w:eastAsia="宋体"/>
                <w:sz w:val="16"/>
              </w:rPr>
              <w:t>中国人民政治协商会议民丰县委员会办公室</w:t>
            </w:r>
          </w:p>
        </w:tc>
      </w:tr>
      <w:tr w14:paraId="4DA76E62">
        <w:tblPrEx>
          <w:tblCellMar>
            <w:top w:w="0" w:type="dxa"/>
            <w:left w:w="108" w:type="dxa"/>
            <w:bottom w:w="0" w:type="dxa"/>
            <w:right w:w="108" w:type="dxa"/>
          </w:tblCellMar>
        </w:tblPrEx>
        <w:tc>
          <w:tcPr>
            <w:tcW w:w="11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B63B6">
            <w:pPr>
              <w:jc w:val="center"/>
            </w:pPr>
            <w:r>
              <w:rPr>
                <w:rFonts w:ascii="宋体" w:hAnsi="宋体" w:eastAsia="宋体"/>
                <w:sz w:val="16"/>
              </w:rPr>
              <w:t>项目资金 （万元）</w:t>
            </w:r>
          </w:p>
        </w:tc>
        <w:tc>
          <w:tcPr>
            <w:tcW w:w="2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5EF2D">
            <w:pPr>
              <w:jc w:val="center"/>
            </w:pP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C0BFEB9">
            <w:pPr>
              <w:jc w:val="center"/>
            </w:pPr>
            <w:r>
              <w:rPr>
                <w:rFonts w:ascii="宋体" w:hAnsi="宋体" w:eastAsia="宋体"/>
                <w:sz w:val="16"/>
              </w:rPr>
              <w:t>年初预算数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BA6DFE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079A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796B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67AF0">
            <w:pPr>
              <w:jc w:val="center"/>
            </w:pPr>
            <w:r>
              <w:rPr>
                <w:rFonts w:ascii="宋体" w:hAnsi="宋体" w:eastAsia="宋体"/>
                <w:sz w:val="16"/>
              </w:rPr>
              <w:t>执行率</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68B28794">
            <w:pPr>
              <w:jc w:val="center"/>
            </w:pPr>
            <w:r>
              <w:rPr>
                <w:rFonts w:ascii="宋体" w:hAnsi="宋体" w:eastAsia="宋体"/>
                <w:sz w:val="16"/>
              </w:rPr>
              <w:t>得分</w:t>
            </w:r>
          </w:p>
        </w:tc>
      </w:tr>
      <w:tr w14:paraId="49E17DD5">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13C26"/>
        </w:tc>
        <w:tc>
          <w:tcPr>
            <w:tcW w:w="2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AF076">
            <w:pPr>
              <w:jc w:val="center"/>
            </w:pPr>
            <w:r>
              <w:rPr>
                <w:rFonts w:ascii="宋体" w:hAnsi="宋体" w:eastAsia="宋体"/>
                <w:sz w:val="16"/>
              </w:rPr>
              <w:t>年度资金总额</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A43EFDF">
            <w:pPr>
              <w:jc w:val="center"/>
            </w:pPr>
            <w:r>
              <w:rPr>
                <w:rFonts w:ascii="宋体" w:hAnsi="宋体" w:eastAsia="宋体"/>
                <w:sz w:val="16"/>
              </w:rPr>
              <w:t>5.00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FFB8431">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3772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667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E12A2">
            <w:pPr>
              <w:jc w:val="center"/>
            </w:pPr>
            <w:r>
              <w:rPr>
                <w:rFonts w:ascii="宋体" w:hAnsi="宋体" w:eastAsia="宋体"/>
                <w:sz w:val="16"/>
              </w:rPr>
              <w:t xml:space="preserve">100.00% </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0F1B0D3C">
            <w:pPr>
              <w:jc w:val="center"/>
            </w:pPr>
            <w:r>
              <w:rPr>
                <w:rFonts w:ascii="宋体" w:hAnsi="宋体" w:eastAsia="宋体"/>
                <w:sz w:val="16"/>
              </w:rPr>
              <w:t>10.00分</w:t>
            </w:r>
          </w:p>
        </w:tc>
      </w:tr>
      <w:tr w14:paraId="40ADA26E">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CD991"/>
        </w:tc>
        <w:tc>
          <w:tcPr>
            <w:tcW w:w="2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5F783">
            <w:pPr>
              <w:jc w:val="center"/>
            </w:pPr>
            <w:r>
              <w:rPr>
                <w:rFonts w:ascii="宋体" w:hAnsi="宋体" w:eastAsia="宋体"/>
                <w:sz w:val="16"/>
              </w:rPr>
              <w:t>其中：当年财政拨款</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4D35AAE3">
            <w:pPr>
              <w:jc w:val="center"/>
            </w:pPr>
            <w:r>
              <w:rPr>
                <w:rFonts w:ascii="宋体" w:hAnsi="宋体" w:eastAsia="宋体"/>
                <w:sz w:val="16"/>
              </w:rPr>
              <w:t>5.00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2D2278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6FBB2">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5D4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48D2">
            <w:pPr>
              <w:jc w:val="center"/>
            </w:pPr>
            <w:r>
              <w:rPr>
                <w:rFonts w:ascii="宋体" w:hAnsi="宋体" w:eastAsia="宋体"/>
                <w:sz w:val="16"/>
              </w:rPr>
              <w:t>—</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0AD827F3">
            <w:pPr>
              <w:jc w:val="center"/>
            </w:pPr>
            <w:r>
              <w:rPr>
                <w:rFonts w:ascii="宋体" w:hAnsi="宋体" w:eastAsia="宋体"/>
                <w:sz w:val="16"/>
              </w:rPr>
              <w:t>—</w:t>
            </w:r>
          </w:p>
        </w:tc>
      </w:tr>
      <w:tr w14:paraId="06BE561B">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D41DE"/>
        </w:tc>
        <w:tc>
          <w:tcPr>
            <w:tcW w:w="2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B25C7">
            <w:pPr>
              <w:jc w:val="center"/>
            </w:pPr>
            <w:r>
              <w:rPr>
                <w:rFonts w:ascii="宋体" w:hAnsi="宋体" w:eastAsia="宋体"/>
                <w:sz w:val="16"/>
              </w:rPr>
              <w:t xml:space="preserve">      上年结转资金</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F4F0B95">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1E10A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7A2E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6C8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3A353">
            <w:pPr>
              <w:jc w:val="center"/>
            </w:pPr>
            <w:r>
              <w:rPr>
                <w:rFonts w:ascii="宋体" w:hAnsi="宋体" w:eastAsia="宋体"/>
                <w:sz w:val="16"/>
              </w:rPr>
              <w:t>—</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64D77D88">
            <w:pPr>
              <w:jc w:val="center"/>
            </w:pPr>
            <w:r>
              <w:rPr>
                <w:rFonts w:ascii="宋体" w:hAnsi="宋体" w:eastAsia="宋体"/>
                <w:sz w:val="16"/>
              </w:rPr>
              <w:t>—</w:t>
            </w:r>
          </w:p>
        </w:tc>
      </w:tr>
      <w:tr w14:paraId="6AE63524">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527BA"/>
        </w:tc>
        <w:tc>
          <w:tcPr>
            <w:tcW w:w="22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2E211">
            <w:pPr>
              <w:jc w:val="center"/>
            </w:pPr>
            <w:r>
              <w:rPr>
                <w:rFonts w:ascii="宋体" w:hAnsi="宋体" w:eastAsia="宋体"/>
                <w:sz w:val="16"/>
              </w:rPr>
              <w:t xml:space="preserve">  其他资金</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294DCC0">
            <w:pPr>
              <w:jc w:val="center"/>
            </w:pPr>
            <w:r>
              <w:rPr>
                <w:rFonts w:ascii="宋体" w:hAnsi="宋体" w:eastAsia="宋体"/>
                <w:sz w:val="16"/>
              </w:rPr>
              <w:t>0.00</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63C88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247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F7A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771B6">
            <w:pPr>
              <w:jc w:val="center"/>
            </w:pPr>
            <w:r>
              <w:rPr>
                <w:rFonts w:ascii="宋体" w:hAnsi="宋体" w:eastAsia="宋体"/>
                <w:sz w:val="16"/>
              </w:rPr>
              <w:t>—</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3C17A567">
            <w:pPr>
              <w:jc w:val="center"/>
            </w:pPr>
            <w:r>
              <w:rPr>
                <w:rFonts w:ascii="宋体" w:hAnsi="宋体" w:eastAsia="宋体"/>
                <w:sz w:val="16"/>
              </w:rPr>
              <w:t>—</w:t>
            </w:r>
          </w:p>
        </w:tc>
      </w:tr>
      <w:tr w14:paraId="3191DE5F">
        <w:tblPrEx>
          <w:tblCellMar>
            <w:top w:w="0" w:type="dxa"/>
            <w:left w:w="108" w:type="dxa"/>
            <w:bottom w:w="0" w:type="dxa"/>
            <w:right w:w="108" w:type="dxa"/>
          </w:tblCellMar>
        </w:tblPrEx>
        <w:tc>
          <w:tcPr>
            <w:tcW w:w="11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B42D4">
            <w:pPr>
              <w:jc w:val="center"/>
            </w:pPr>
            <w:r>
              <w:rPr>
                <w:rFonts w:ascii="宋体" w:hAnsi="宋体" w:eastAsia="宋体"/>
                <w:sz w:val="16"/>
              </w:rPr>
              <w:t>年度总体目标</w:t>
            </w:r>
          </w:p>
        </w:tc>
        <w:tc>
          <w:tcPr>
            <w:tcW w:w="3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1C8EFE">
            <w:pPr>
              <w:jc w:val="center"/>
            </w:pPr>
            <w:r>
              <w:rPr>
                <w:rFonts w:ascii="宋体" w:hAnsi="宋体" w:eastAsia="宋体"/>
                <w:sz w:val="16"/>
              </w:rPr>
              <w:t>预期目标</w:t>
            </w:r>
          </w:p>
        </w:tc>
        <w:tc>
          <w:tcPr>
            <w:tcW w:w="53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7F5B15">
            <w:pPr>
              <w:jc w:val="center"/>
            </w:pPr>
            <w:r>
              <w:rPr>
                <w:rFonts w:ascii="宋体" w:hAnsi="宋体" w:eastAsia="宋体"/>
                <w:sz w:val="16"/>
              </w:rPr>
              <w:t>实际完成情况</w:t>
            </w:r>
          </w:p>
        </w:tc>
      </w:tr>
      <w:tr w14:paraId="17AC3194">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0BA6A"/>
        </w:tc>
        <w:tc>
          <w:tcPr>
            <w:tcW w:w="339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974DE9">
            <w:pPr>
              <w:jc w:val="both"/>
            </w:pPr>
            <w:r>
              <w:rPr>
                <w:rFonts w:ascii="宋体" w:hAnsi="宋体" w:eastAsia="宋体"/>
                <w:sz w:val="16"/>
              </w:rPr>
              <w:t>根据和地财行</w:t>
            </w:r>
            <w:r>
              <w:rPr>
                <w:rFonts w:hint="eastAsia" w:ascii="宋体" w:hAnsi="宋体"/>
                <w:sz w:val="16"/>
                <w:lang w:eastAsia="zh-CN"/>
              </w:rPr>
              <w:t>〔2023〕42号</w:t>
            </w:r>
            <w:r>
              <w:rPr>
                <w:rFonts w:ascii="宋体" w:hAnsi="宋体" w:eastAsia="宋体"/>
                <w:sz w:val="16"/>
              </w:rPr>
              <w:t>文件要求，实施本项目。主要内容：购买视频会议服务系统1套，缴纳视频会议系统网络费全年，改善乡镇政协委员联络工作站14个，通过项目实施，有效保障基层政协事务正常开展。</w:t>
            </w:r>
          </w:p>
        </w:tc>
        <w:tc>
          <w:tcPr>
            <w:tcW w:w="537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B42D9D">
            <w:pPr>
              <w:jc w:val="both"/>
            </w:pPr>
            <w:r>
              <w:rPr>
                <w:rFonts w:hint="eastAsia" w:ascii="宋体" w:hAnsi="宋体"/>
                <w:sz w:val="16"/>
                <w:lang w:eastAsia="zh-CN"/>
              </w:rPr>
              <w:t>截至</w:t>
            </w:r>
            <w:r>
              <w:rPr>
                <w:rFonts w:ascii="宋体" w:hAnsi="宋体" w:eastAsia="宋体"/>
                <w:sz w:val="16"/>
              </w:rPr>
              <w:t>2024年12月底，项目已完成购买视频会议服务系统数量1套，缴纳视频会议系统网络费月数12个月，改善乡镇政协委员联络工作站数量14个；保障基层政协事务正常开展。</w:t>
            </w:r>
          </w:p>
        </w:tc>
      </w:tr>
      <w:tr w14:paraId="6253248D">
        <w:tblPrEx>
          <w:tblCellMar>
            <w:top w:w="0" w:type="dxa"/>
            <w:left w:w="108" w:type="dxa"/>
            <w:bottom w:w="0" w:type="dxa"/>
            <w:right w:w="108" w:type="dxa"/>
          </w:tblCellMar>
        </w:tblPrEx>
        <w:tc>
          <w:tcPr>
            <w:tcW w:w="1132" w:type="dxa"/>
            <w:tcBorders>
              <w:top w:val="single" w:color="auto" w:sz="10" w:space="0"/>
              <w:left w:val="single" w:color="auto" w:sz="10" w:space="0"/>
              <w:bottom w:val="single" w:color="auto" w:sz="10" w:space="0"/>
              <w:right w:val="single" w:color="auto" w:sz="10" w:space="0"/>
              <w:insideV w:val="single" w:sz="10" w:space="0"/>
            </w:tcBorders>
          </w:tcPr>
          <w:p w14:paraId="65700C13"/>
        </w:tc>
        <w:tc>
          <w:tcPr>
            <w:tcW w:w="1066" w:type="dxa"/>
            <w:tcBorders>
              <w:top w:val="single" w:color="auto" w:sz="10" w:space="0"/>
              <w:left w:val="single" w:color="auto" w:sz="10" w:space="0"/>
              <w:bottom w:val="single" w:color="auto" w:sz="10" w:space="0"/>
              <w:right w:val="single" w:color="auto" w:sz="10" w:space="0"/>
              <w:insideV w:val="single" w:sz="10" w:space="0"/>
            </w:tcBorders>
            <w:vAlign w:val="center"/>
          </w:tcPr>
          <w:p w14:paraId="70DF2D7A">
            <w:pPr>
              <w:jc w:val="center"/>
            </w:pPr>
            <w:r>
              <w:rPr>
                <w:rFonts w:ascii="宋体" w:hAnsi="宋体" w:eastAsia="宋体"/>
                <w:sz w:val="16"/>
              </w:rPr>
              <w:t>一级指标</w:t>
            </w:r>
          </w:p>
        </w:tc>
        <w:tc>
          <w:tcPr>
            <w:tcW w:w="1206" w:type="dxa"/>
            <w:tcBorders>
              <w:top w:val="single" w:color="auto" w:sz="10" w:space="0"/>
              <w:left w:val="single" w:color="auto" w:sz="10" w:space="0"/>
              <w:bottom w:val="single" w:color="auto" w:sz="10" w:space="0"/>
              <w:right w:val="single" w:color="auto" w:sz="10" w:space="0"/>
              <w:insideV w:val="single" w:sz="10" w:space="0"/>
            </w:tcBorders>
            <w:vAlign w:val="center"/>
          </w:tcPr>
          <w:p w14:paraId="35B24AEF">
            <w:pPr>
              <w:jc w:val="center"/>
            </w:pPr>
            <w:r>
              <w:rPr>
                <w:rFonts w:ascii="宋体" w:hAnsi="宋体" w:eastAsia="宋体"/>
                <w:sz w:val="16"/>
              </w:rPr>
              <w:t>二级指标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5F9A40E1">
            <w:pPr>
              <w:jc w:val="center"/>
            </w:pPr>
            <w:r>
              <w:rPr>
                <w:rFonts w:ascii="宋体" w:hAnsi="宋体" w:eastAsia="宋体"/>
                <w:sz w:val="16"/>
              </w:rPr>
              <w:t>三级指标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BD87B5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6DEC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BAF5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A7B94">
            <w:pPr>
              <w:jc w:val="center"/>
            </w:pPr>
            <w:r>
              <w:rPr>
                <w:rFonts w:ascii="宋体" w:hAnsi="宋体" w:eastAsia="宋体"/>
                <w:sz w:val="16"/>
              </w:rPr>
              <w:t>得分</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26E06F4E">
            <w:pPr>
              <w:jc w:val="center"/>
            </w:pPr>
            <w:r>
              <w:rPr>
                <w:rFonts w:ascii="宋体" w:hAnsi="宋体" w:eastAsia="宋体"/>
                <w:sz w:val="16"/>
              </w:rPr>
              <w:t>偏差原因分析及改进措施</w:t>
            </w:r>
          </w:p>
        </w:tc>
      </w:tr>
      <w:tr w14:paraId="6F1C51CF">
        <w:tblPrEx>
          <w:tblCellMar>
            <w:top w:w="0" w:type="dxa"/>
            <w:left w:w="108" w:type="dxa"/>
            <w:bottom w:w="0" w:type="dxa"/>
            <w:right w:w="108" w:type="dxa"/>
          </w:tblCellMar>
        </w:tblPrEx>
        <w:tc>
          <w:tcPr>
            <w:tcW w:w="11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25FE8">
            <w:pPr>
              <w:jc w:val="center"/>
            </w:pPr>
            <w:r>
              <w:rPr>
                <w:rFonts w:ascii="宋体" w:hAnsi="宋体" w:eastAsia="宋体"/>
                <w:sz w:val="16"/>
              </w:rPr>
              <w:t>年度绩效指标完成情况</w:t>
            </w:r>
          </w:p>
        </w:tc>
        <w:tc>
          <w:tcPr>
            <w:tcW w:w="106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38C30">
            <w:pPr>
              <w:jc w:val="center"/>
            </w:pPr>
            <w:r>
              <w:rPr>
                <w:rFonts w:ascii="宋体" w:hAnsi="宋体" w:eastAsia="宋体"/>
                <w:sz w:val="16"/>
              </w:rPr>
              <w:t>产出指标</w:t>
            </w:r>
          </w:p>
        </w:tc>
        <w:tc>
          <w:tcPr>
            <w:tcW w:w="12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91A06">
            <w:pPr>
              <w:jc w:val="center"/>
            </w:pPr>
            <w:r>
              <w:rPr>
                <w:rFonts w:ascii="宋体" w:hAnsi="宋体" w:eastAsia="宋体"/>
                <w:sz w:val="16"/>
              </w:rPr>
              <w:t>数量指标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5A3DA54A">
            <w:pPr>
              <w:jc w:val="center"/>
            </w:pPr>
            <w:r>
              <w:rPr>
                <w:rFonts w:ascii="宋体" w:hAnsi="宋体" w:eastAsia="宋体"/>
                <w:sz w:val="16"/>
              </w:rPr>
              <w:t>购买视频会议服务系统数量</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9A213A5">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C4754">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093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E1F28">
            <w:pPr>
              <w:jc w:val="center"/>
            </w:pPr>
            <w:r>
              <w:rPr>
                <w:rFonts w:ascii="宋体" w:hAnsi="宋体" w:eastAsia="宋体"/>
                <w:sz w:val="16"/>
              </w:rPr>
              <w:t>10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0A2CA2C0">
            <w:pPr>
              <w:jc w:val="center"/>
            </w:pPr>
          </w:p>
        </w:tc>
      </w:tr>
      <w:tr w14:paraId="77E69981">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86DD5"/>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48A61EB1"/>
        </w:tc>
        <w:tc>
          <w:tcPr>
            <w:tcW w:w="1206" w:type="dxa"/>
            <w:vMerge w:val="continue"/>
            <w:tcBorders>
              <w:top w:val="single" w:color="auto" w:sz="10" w:space="0"/>
              <w:left w:val="single" w:color="auto" w:sz="10" w:space="0"/>
              <w:bottom w:val="single" w:color="auto" w:sz="10" w:space="0"/>
              <w:right w:val="single" w:color="auto" w:sz="10" w:space="0"/>
              <w:insideV w:val="single" w:sz="10" w:space="0"/>
            </w:tcBorders>
          </w:tcPr>
          <w:p w14:paraId="7898D889"/>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7DC47DA5">
            <w:pPr>
              <w:jc w:val="center"/>
            </w:pPr>
            <w:r>
              <w:rPr>
                <w:rFonts w:ascii="宋体" w:hAnsi="宋体" w:eastAsia="宋体"/>
                <w:sz w:val="16"/>
              </w:rPr>
              <w:t>缴纳视频会议系统网络费月数</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4F90503">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9D40B">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2E1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730D9">
            <w:pPr>
              <w:jc w:val="center"/>
            </w:pPr>
            <w:r>
              <w:rPr>
                <w:rFonts w:ascii="宋体" w:hAnsi="宋体" w:eastAsia="宋体"/>
                <w:sz w:val="16"/>
              </w:rPr>
              <w:t>10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0687BA8A">
            <w:pPr>
              <w:jc w:val="center"/>
            </w:pPr>
          </w:p>
        </w:tc>
      </w:tr>
      <w:tr w14:paraId="125649B4">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2D0AD"/>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41A15418"/>
        </w:tc>
        <w:tc>
          <w:tcPr>
            <w:tcW w:w="1206" w:type="dxa"/>
            <w:vMerge w:val="continue"/>
            <w:tcBorders>
              <w:top w:val="single" w:color="auto" w:sz="10" w:space="0"/>
              <w:left w:val="single" w:color="auto" w:sz="10" w:space="0"/>
              <w:bottom w:val="single" w:color="auto" w:sz="10" w:space="0"/>
              <w:right w:val="single" w:color="auto" w:sz="10" w:space="0"/>
              <w:insideV w:val="single" w:sz="10" w:space="0"/>
            </w:tcBorders>
          </w:tcPr>
          <w:p w14:paraId="328300D7"/>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1F98A179">
            <w:pPr>
              <w:jc w:val="center"/>
            </w:pPr>
            <w:r>
              <w:rPr>
                <w:rFonts w:ascii="宋体" w:hAnsi="宋体" w:eastAsia="宋体"/>
                <w:sz w:val="16"/>
              </w:rPr>
              <w:t>改善乡镇政协委员联络工作站数量</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51FBFA80">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37837">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648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83119">
            <w:pPr>
              <w:jc w:val="center"/>
            </w:pPr>
            <w:r>
              <w:rPr>
                <w:rFonts w:ascii="宋体" w:hAnsi="宋体" w:eastAsia="宋体"/>
                <w:sz w:val="16"/>
              </w:rPr>
              <w:t>10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18C7F3B5">
            <w:pPr>
              <w:jc w:val="center"/>
            </w:pPr>
          </w:p>
        </w:tc>
      </w:tr>
      <w:tr w14:paraId="64C98593">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D6BC7"/>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6C93948A"/>
        </w:tc>
        <w:tc>
          <w:tcPr>
            <w:tcW w:w="1206" w:type="dxa"/>
            <w:tcBorders>
              <w:top w:val="single" w:color="auto" w:sz="10" w:space="0"/>
              <w:left w:val="single" w:color="auto" w:sz="10" w:space="0"/>
              <w:bottom w:val="single" w:color="auto" w:sz="10" w:space="0"/>
              <w:right w:val="single" w:color="auto" w:sz="10" w:space="0"/>
              <w:insideV w:val="single" w:sz="10" w:space="0"/>
            </w:tcBorders>
            <w:vAlign w:val="center"/>
          </w:tcPr>
          <w:p w14:paraId="05E401D8">
            <w:pPr>
              <w:jc w:val="center"/>
            </w:pPr>
            <w:r>
              <w:rPr>
                <w:rFonts w:ascii="宋体" w:hAnsi="宋体" w:eastAsia="宋体"/>
                <w:sz w:val="16"/>
              </w:rPr>
              <w:t>质量指标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09BD66D3">
            <w:pPr>
              <w:jc w:val="center"/>
            </w:pPr>
            <w:r>
              <w:rPr>
                <w:rFonts w:ascii="宋体" w:hAnsi="宋体" w:eastAsia="宋体"/>
                <w:sz w:val="16"/>
              </w:rPr>
              <w:t>系统故障率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49A2717">
            <w:pPr>
              <w:jc w:val="center"/>
            </w:pPr>
            <w:r>
              <w:rPr>
                <w:rFonts w:ascii="宋体" w:hAnsi="宋体" w:eastAsia="宋体"/>
                <w:sz w:val="16"/>
              </w:rPr>
              <w:t>&lt;=3%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BE2A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AA3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A6A61">
            <w:pPr>
              <w:jc w:val="center"/>
            </w:pPr>
            <w:r>
              <w:rPr>
                <w:rFonts w:ascii="宋体" w:hAnsi="宋体" w:eastAsia="宋体"/>
                <w:sz w:val="16"/>
              </w:rPr>
              <w:t>10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3BB9C016">
            <w:pPr>
              <w:jc w:val="center"/>
            </w:pPr>
          </w:p>
        </w:tc>
      </w:tr>
      <w:tr w14:paraId="398BA219">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1ECE1"/>
        </w:tc>
        <w:tc>
          <w:tcPr>
            <w:tcW w:w="1066" w:type="dxa"/>
            <w:vMerge w:val="continue"/>
            <w:tcBorders>
              <w:top w:val="single" w:color="auto" w:sz="10" w:space="0"/>
              <w:left w:val="single" w:color="auto" w:sz="10" w:space="0"/>
              <w:bottom w:val="single" w:color="auto" w:sz="10" w:space="0"/>
              <w:right w:val="single" w:color="auto" w:sz="10" w:space="0"/>
              <w:insideV w:val="single" w:sz="10" w:space="0"/>
            </w:tcBorders>
          </w:tcPr>
          <w:p w14:paraId="493C61B2"/>
        </w:tc>
        <w:tc>
          <w:tcPr>
            <w:tcW w:w="1206" w:type="dxa"/>
            <w:tcBorders>
              <w:top w:val="single" w:color="auto" w:sz="10" w:space="0"/>
              <w:left w:val="single" w:color="auto" w:sz="10" w:space="0"/>
              <w:bottom w:val="single" w:color="auto" w:sz="10" w:space="0"/>
              <w:right w:val="single" w:color="auto" w:sz="10" w:space="0"/>
              <w:insideV w:val="single" w:sz="10" w:space="0"/>
            </w:tcBorders>
            <w:vAlign w:val="center"/>
          </w:tcPr>
          <w:p w14:paraId="4CA11C71">
            <w:pPr>
              <w:jc w:val="center"/>
            </w:pPr>
            <w:r>
              <w:rPr>
                <w:rFonts w:ascii="宋体" w:hAnsi="宋体" w:eastAsia="宋体"/>
                <w:sz w:val="16"/>
              </w:rPr>
              <w:t>时效指标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6E345E34">
            <w:pPr>
              <w:jc w:val="center"/>
            </w:pPr>
            <w:r>
              <w:rPr>
                <w:rFonts w:ascii="宋体" w:hAnsi="宋体" w:eastAsia="宋体"/>
                <w:sz w:val="16"/>
              </w:rPr>
              <w:t>资金支付及时率</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256E9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F37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48D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2D947">
            <w:pPr>
              <w:jc w:val="center"/>
            </w:pPr>
            <w:r>
              <w:rPr>
                <w:rFonts w:ascii="宋体" w:hAnsi="宋体" w:eastAsia="宋体"/>
                <w:sz w:val="16"/>
              </w:rPr>
              <w:t>10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486451B3">
            <w:pPr>
              <w:jc w:val="center"/>
            </w:pPr>
          </w:p>
        </w:tc>
      </w:tr>
      <w:tr w14:paraId="536AC9E6">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5DDC1"/>
        </w:tc>
        <w:tc>
          <w:tcPr>
            <w:tcW w:w="1066" w:type="dxa"/>
            <w:tcBorders>
              <w:top w:val="single" w:color="auto" w:sz="10" w:space="0"/>
              <w:left w:val="single" w:color="auto" w:sz="10" w:space="0"/>
              <w:bottom w:val="single" w:color="auto" w:sz="10" w:space="0"/>
              <w:right w:val="single" w:color="auto" w:sz="10" w:space="0"/>
              <w:insideV w:val="single" w:sz="10" w:space="0"/>
            </w:tcBorders>
            <w:vAlign w:val="center"/>
          </w:tcPr>
          <w:p w14:paraId="674C6DE6">
            <w:pPr>
              <w:jc w:val="center"/>
            </w:pPr>
            <w:r>
              <w:rPr>
                <w:rFonts w:ascii="宋体" w:hAnsi="宋体" w:eastAsia="宋体"/>
                <w:sz w:val="16"/>
              </w:rPr>
              <w:t>效益指标</w:t>
            </w:r>
          </w:p>
        </w:tc>
        <w:tc>
          <w:tcPr>
            <w:tcW w:w="1206" w:type="dxa"/>
            <w:tcBorders>
              <w:top w:val="single" w:color="auto" w:sz="10" w:space="0"/>
              <w:left w:val="single" w:color="auto" w:sz="10" w:space="0"/>
              <w:bottom w:val="single" w:color="auto" w:sz="10" w:space="0"/>
              <w:right w:val="single" w:color="auto" w:sz="10" w:space="0"/>
              <w:insideV w:val="single" w:sz="10" w:space="0"/>
            </w:tcBorders>
            <w:vAlign w:val="center"/>
          </w:tcPr>
          <w:p w14:paraId="044C595A">
            <w:pPr>
              <w:jc w:val="center"/>
            </w:pPr>
            <w:r>
              <w:rPr>
                <w:rFonts w:ascii="宋体" w:hAnsi="宋体" w:eastAsia="宋体"/>
                <w:sz w:val="16"/>
              </w:rPr>
              <w:t>社会效益指标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321A648A">
            <w:pPr>
              <w:jc w:val="center"/>
            </w:pPr>
            <w:r>
              <w:rPr>
                <w:rFonts w:ascii="宋体" w:hAnsi="宋体" w:eastAsia="宋体"/>
                <w:sz w:val="16"/>
              </w:rPr>
              <w:t>保障基层政协事务正常开展</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1575BE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B6DDA">
            <w:pPr>
              <w:jc w:val="center"/>
            </w:pPr>
            <w:r>
              <w:rPr>
                <w:rFonts w:ascii="宋体" w:hAnsi="宋体" w:eastAsia="宋体"/>
                <w:sz w:val="16"/>
              </w:rPr>
              <w:t>基本达到目标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F9C4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8937F">
            <w:pPr>
              <w:jc w:val="center"/>
            </w:pPr>
            <w:r>
              <w:rPr>
                <w:rFonts w:ascii="宋体" w:hAnsi="宋体" w:eastAsia="宋体"/>
                <w:sz w:val="16"/>
              </w:rPr>
              <w:t>30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60CB56AC">
            <w:pPr>
              <w:jc w:val="center"/>
            </w:pPr>
          </w:p>
        </w:tc>
      </w:tr>
      <w:tr w14:paraId="0A344BE4">
        <w:tblPrEx>
          <w:tblCellMar>
            <w:top w:w="0" w:type="dxa"/>
            <w:left w:w="108" w:type="dxa"/>
            <w:bottom w:w="0" w:type="dxa"/>
            <w:right w:w="108" w:type="dxa"/>
          </w:tblCellMar>
        </w:tblPrEx>
        <w:tc>
          <w:tcPr>
            <w:tcW w:w="11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F140C"/>
        </w:tc>
        <w:tc>
          <w:tcPr>
            <w:tcW w:w="1066" w:type="dxa"/>
            <w:tcBorders>
              <w:top w:val="single" w:color="auto" w:sz="10" w:space="0"/>
              <w:left w:val="single" w:color="auto" w:sz="10" w:space="0"/>
              <w:bottom w:val="single" w:color="auto" w:sz="10" w:space="0"/>
              <w:right w:val="single" w:color="auto" w:sz="10" w:space="0"/>
              <w:insideV w:val="single" w:sz="10" w:space="0"/>
            </w:tcBorders>
            <w:vAlign w:val="center"/>
          </w:tcPr>
          <w:p w14:paraId="32240F7A">
            <w:pPr>
              <w:jc w:val="center"/>
            </w:pPr>
            <w:r>
              <w:rPr>
                <w:rFonts w:ascii="宋体" w:hAnsi="宋体" w:eastAsia="宋体"/>
                <w:sz w:val="16"/>
              </w:rPr>
              <w:t>满意度指标</w:t>
            </w:r>
          </w:p>
        </w:tc>
        <w:tc>
          <w:tcPr>
            <w:tcW w:w="1206" w:type="dxa"/>
            <w:tcBorders>
              <w:top w:val="single" w:color="auto" w:sz="10" w:space="0"/>
              <w:left w:val="single" w:color="auto" w:sz="10" w:space="0"/>
              <w:bottom w:val="single" w:color="auto" w:sz="10" w:space="0"/>
              <w:right w:val="single" w:color="auto" w:sz="10" w:space="0"/>
              <w:insideV w:val="single" w:sz="10" w:space="0"/>
            </w:tcBorders>
            <w:vAlign w:val="center"/>
          </w:tcPr>
          <w:p w14:paraId="03E8AD28">
            <w:pPr>
              <w:jc w:val="center"/>
            </w:pPr>
            <w:r>
              <w:rPr>
                <w:rFonts w:ascii="宋体" w:hAnsi="宋体" w:eastAsia="宋体"/>
                <w:sz w:val="16"/>
              </w:rPr>
              <w:t>满意度指标</w:t>
            </w:r>
          </w:p>
        </w:tc>
        <w:tc>
          <w:tcPr>
            <w:tcW w:w="1126" w:type="dxa"/>
            <w:tcBorders>
              <w:top w:val="single" w:color="auto" w:sz="10" w:space="0"/>
              <w:left w:val="single" w:color="auto" w:sz="10" w:space="0"/>
              <w:bottom w:val="single" w:color="auto" w:sz="10" w:space="0"/>
              <w:right w:val="single" w:color="auto" w:sz="10" w:space="0"/>
              <w:insideV w:val="single" w:sz="10" w:space="0"/>
            </w:tcBorders>
            <w:vAlign w:val="center"/>
          </w:tcPr>
          <w:p w14:paraId="7A30A5E6">
            <w:pPr>
              <w:jc w:val="center"/>
            </w:pPr>
            <w:r>
              <w:rPr>
                <w:rFonts w:ascii="宋体" w:hAnsi="宋体" w:eastAsia="宋体"/>
                <w:sz w:val="16"/>
              </w:rPr>
              <w:t>政协委员的满意度</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745113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0C3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08E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FF643">
            <w:pPr>
              <w:jc w:val="center"/>
            </w:pPr>
            <w:r>
              <w:rPr>
                <w:rFonts w:ascii="宋体" w:hAnsi="宋体" w:eastAsia="宋体"/>
                <w:sz w:val="16"/>
              </w:rPr>
              <w:t>10</w:t>
            </w:r>
          </w:p>
        </w:tc>
        <w:tc>
          <w:tcPr>
            <w:tcW w:w="1583" w:type="dxa"/>
            <w:tcBorders>
              <w:top w:val="single" w:color="auto" w:sz="10" w:space="0"/>
              <w:left w:val="single" w:color="auto" w:sz="10" w:space="0"/>
              <w:bottom w:val="single" w:color="auto" w:sz="10" w:space="0"/>
              <w:right w:val="single" w:color="auto" w:sz="10" w:space="0"/>
              <w:insideV w:val="single" w:sz="10" w:space="0"/>
            </w:tcBorders>
            <w:vAlign w:val="center"/>
          </w:tcPr>
          <w:p w14:paraId="6BE517A0">
            <w:pPr>
              <w:jc w:val="center"/>
            </w:pPr>
          </w:p>
        </w:tc>
      </w:tr>
      <w:tr w14:paraId="1B0584B1">
        <w:tblPrEx>
          <w:tblCellMar>
            <w:top w:w="0" w:type="dxa"/>
            <w:left w:w="108" w:type="dxa"/>
            <w:bottom w:w="0" w:type="dxa"/>
            <w:right w:w="108" w:type="dxa"/>
          </w:tblCellMar>
        </w:tblPrEx>
        <w:tc>
          <w:tcPr>
            <w:tcW w:w="537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25597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4054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4BC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0F089">
            <w:pPr>
              <w:jc w:val="center"/>
            </w:pPr>
            <w:r>
              <w:rPr>
                <w:rFonts w:ascii="宋体" w:hAnsi="宋体" w:eastAsia="宋体"/>
                <w:sz w:val="16"/>
              </w:rPr>
              <w:t>100分</w:t>
            </w:r>
          </w:p>
        </w:tc>
        <w:tc>
          <w:tcPr>
            <w:tcW w:w="1583" w:type="dxa"/>
            <w:tcBorders>
              <w:top w:val="single" w:color="auto" w:sz="10" w:space="0"/>
              <w:left w:val="single" w:color="auto" w:sz="10" w:space="0"/>
              <w:bottom w:val="single" w:color="auto" w:sz="10" w:space="0"/>
              <w:right w:val="single" w:color="auto" w:sz="10" w:space="0"/>
              <w:insideV w:val="single" w:sz="10" w:space="0"/>
            </w:tcBorders>
          </w:tcPr>
          <w:p w14:paraId="31069132"/>
        </w:tc>
      </w:tr>
    </w:tbl>
    <w:p w14:paraId="58B34C80">
      <w:r>
        <w:br w:type="page"/>
      </w:r>
    </w:p>
    <w:p w14:paraId="49706200">
      <w:pPr>
        <w:spacing w:line="640" w:lineRule="exact"/>
        <w:ind w:firstLine="640"/>
        <w:jc w:val="both"/>
        <w:outlineLvl w:val="2"/>
      </w:pPr>
      <w:r>
        <w:rPr>
          <w:rFonts w:ascii="黑体" w:hAnsi="黑体" w:eastAsia="黑体"/>
          <w:sz w:val="32"/>
        </w:rPr>
        <w:t>十二、其他需说明的事项</w:t>
      </w:r>
    </w:p>
    <w:p w14:paraId="7C9F62F5">
      <w:pPr>
        <w:spacing w:line="580" w:lineRule="exact"/>
        <w:ind w:firstLine="640"/>
        <w:jc w:val="both"/>
      </w:pPr>
      <w:r>
        <w:rPr>
          <w:rFonts w:ascii="仿宋_GB2312" w:hAnsi="仿宋_GB2312" w:eastAsia="仿宋_GB2312"/>
          <w:b w:val="0"/>
          <w:sz w:val="32"/>
        </w:rPr>
        <w:t>本单位无其他需说明的事项。</w:t>
      </w:r>
    </w:p>
    <w:p w14:paraId="26F4F1FE">
      <w:r>
        <w:br w:type="page"/>
      </w:r>
    </w:p>
    <w:p w14:paraId="630B45B4">
      <w:pPr>
        <w:spacing w:line="240" w:lineRule="auto"/>
        <w:jc w:val="center"/>
        <w:outlineLvl w:val="1"/>
      </w:pPr>
      <w:r>
        <w:rPr>
          <w:rFonts w:ascii="黑体" w:hAnsi="黑体" w:eastAsia="黑体"/>
          <w:sz w:val="32"/>
        </w:rPr>
        <w:t>第三部分 专业名词解释</w:t>
      </w:r>
    </w:p>
    <w:p w14:paraId="0326B9F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053689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4DE23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A0D31E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EF056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E3986D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A2B84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778D0F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D239D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991FFB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74025F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B1E10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122FC9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085F0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9628F0">
      <w:r>
        <w:br w:type="page"/>
      </w:r>
    </w:p>
    <w:p w14:paraId="13C3222F">
      <w:pPr>
        <w:spacing w:line="240" w:lineRule="auto"/>
        <w:jc w:val="center"/>
        <w:outlineLvl w:val="1"/>
      </w:pPr>
      <w:r>
        <w:rPr>
          <w:rFonts w:ascii="黑体" w:hAnsi="黑体" w:eastAsia="黑体"/>
          <w:sz w:val="32"/>
        </w:rPr>
        <w:t>第四部分 部门决算报表（见附表）</w:t>
      </w:r>
    </w:p>
    <w:p w14:paraId="000D95DA">
      <w:pPr>
        <w:spacing w:line="240" w:lineRule="auto"/>
        <w:ind w:firstLine="640"/>
        <w:jc w:val="both"/>
      </w:pPr>
      <w:r>
        <w:rPr>
          <w:rFonts w:ascii="仿宋_GB2312" w:hAnsi="仿宋_GB2312" w:eastAsia="仿宋_GB2312"/>
          <w:b w:val="0"/>
          <w:sz w:val="32"/>
        </w:rPr>
        <w:t>一、《收入支出决算总表》</w:t>
      </w:r>
    </w:p>
    <w:p w14:paraId="400468A2">
      <w:pPr>
        <w:spacing w:line="240" w:lineRule="auto"/>
        <w:ind w:firstLine="640"/>
        <w:jc w:val="both"/>
      </w:pPr>
      <w:r>
        <w:rPr>
          <w:rFonts w:ascii="仿宋_GB2312" w:hAnsi="仿宋_GB2312" w:eastAsia="仿宋_GB2312"/>
          <w:b w:val="0"/>
          <w:sz w:val="32"/>
        </w:rPr>
        <w:t>二、《收入决算表》</w:t>
      </w:r>
    </w:p>
    <w:p w14:paraId="3871B4FA">
      <w:pPr>
        <w:spacing w:line="240" w:lineRule="auto"/>
        <w:ind w:firstLine="640"/>
        <w:jc w:val="both"/>
      </w:pPr>
      <w:r>
        <w:rPr>
          <w:rFonts w:ascii="仿宋_GB2312" w:hAnsi="仿宋_GB2312" w:eastAsia="仿宋_GB2312"/>
          <w:b w:val="0"/>
          <w:sz w:val="32"/>
        </w:rPr>
        <w:t>三、《支出决算表》</w:t>
      </w:r>
    </w:p>
    <w:p w14:paraId="04BF6D37">
      <w:pPr>
        <w:spacing w:line="240" w:lineRule="auto"/>
        <w:ind w:firstLine="640"/>
        <w:jc w:val="both"/>
      </w:pPr>
      <w:r>
        <w:rPr>
          <w:rFonts w:ascii="仿宋_GB2312" w:hAnsi="仿宋_GB2312" w:eastAsia="仿宋_GB2312"/>
          <w:b w:val="0"/>
          <w:sz w:val="32"/>
        </w:rPr>
        <w:t>四、《财政拨款收入支出决算总表》</w:t>
      </w:r>
    </w:p>
    <w:p w14:paraId="0DCE936F">
      <w:pPr>
        <w:spacing w:line="240" w:lineRule="auto"/>
        <w:ind w:firstLine="640"/>
        <w:jc w:val="both"/>
      </w:pPr>
      <w:r>
        <w:rPr>
          <w:rFonts w:ascii="仿宋_GB2312" w:hAnsi="仿宋_GB2312" w:eastAsia="仿宋_GB2312"/>
          <w:b w:val="0"/>
          <w:sz w:val="32"/>
        </w:rPr>
        <w:t>五、《一般公共预算财政拨款支出决算表》</w:t>
      </w:r>
    </w:p>
    <w:p w14:paraId="64149FC2">
      <w:pPr>
        <w:spacing w:line="240" w:lineRule="auto"/>
        <w:ind w:firstLine="640"/>
        <w:jc w:val="both"/>
      </w:pPr>
      <w:r>
        <w:rPr>
          <w:rFonts w:ascii="仿宋_GB2312" w:hAnsi="仿宋_GB2312" w:eastAsia="仿宋_GB2312"/>
          <w:b w:val="0"/>
          <w:sz w:val="32"/>
        </w:rPr>
        <w:t>六、《一般公共预算财政拨款基本支出决算表》</w:t>
      </w:r>
    </w:p>
    <w:p w14:paraId="78EFAB6F">
      <w:pPr>
        <w:spacing w:line="240" w:lineRule="auto"/>
        <w:ind w:firstLine="640"/>
        <w:jc w:val="both"/>
      </w:pPr>
      <w:r>
        <w:rPr>
          <w:rFonts w:ascii="仿宋_GB2312" w:hAnsi="仿宋_GB2312" w:eastAsia="仿宋_GB2312"/>
          <w:b w:val="0"/>
          <w:sz w:val="32"/>
        </w:rPr>
        <w:t>七、《政府性基金预算财政拨款收入支出决算表》</w:t>
      </w:r>
    </w:p>
    <w:p w14:paraId="6321BE07">
      <w:pPr>
        <w:spacing w:line="240" w:lineRule="auto"/>
        <w:ind w:firstLine="640"/>
        <w:jc w:val="both"/>
      </w:pPr>
      <w:r>
        <w:rPr>
          <w:rFonts w:ascii="仿宋_GB2312" w:hAnsi="仿宋_GB2312" w:eastAsia="仿宋_GB2312"/>
          <w:b w:val="0"/>
          <w:sz w:val="32"/>
        </w:rPr>
        <w:t>八、《国有资本经营预算财政拨款收入支出决算表》</w:t>
      </w:r>
    </w:p>
    <w:p w14:paraId="207B4751">
      <w:pPr>
        <w:spacing w:line="240" w:lineRule="auto"/>
        <w:ind w:firstLine="640"/>
        <w:jc w:val="both"/>
      </w:pPr>
      <w:r>
        <w:rPr>
          <w:rFonts w:ascii="仿宋_GB2312" w:hAnsi="仿宋_GB2312" w:eastAsia="仿宋_GB2312"/>
          <w:b w:val="0"/>
          <w:sz w:val="32"/>
        </w:rPr>
        <w:t>九、《财政拨款“三公”经费支出决算表》</w:t>
      </w:r>
    </w:p>
    <w:p w14:paraId="2EF762B4">
      <w:pPr>
        <w:spacing w:line="240" w:lineRule="auto"/>
        <w:ind w:firstLine="640"/>
        <w:jc w:val="both"/>
      </w:pPr>
    </w:p>
    <w:p w14:paraId="33BD88C1">
      <w:pPr>
        <w:spacing w:line="240" w:lineRule="auto"/>
        <w:ind w:firstLine="640"/>
        <w:jc w:val="both"/>
      </w:pPr>
    </w:p>
    <w:p w14:paraId="465ABE3B">
      <w:pPr>
        <w:spacing w:line="240" w:lineRule="auto"/>
        <w:ind w:firstLine="640"/>
        <w:jc w:val="both"/>
      </w:pPr>
    </w:p>
    <w:p w14:paraId="4A720D3A">
      <w:pPr>
        <w:spacing w:line="240" w:lineRule="auto"/>
        <w:ind w:firstLine="640"/>
        <w:jc w:val="both"/>
      </w:pPr>
    </w:p>
    <w:p w14:paraId="3F90C0B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0E00599"/>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955FB7"/>
    <w:rsid w:val="6CA7198F"/>
    <w:rsid w:val="6D8919A8"/>
    <w:rsid w:val="6E0F7A08"/>
    <w:rsid w:val="6E801ABC"/>
    <w:rsid w:val="70A0168B"/>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5182</Words>
  <Characters>5895</Characters>
  <Lines>0</Lines>
  <Paragraphs>0</Paragraphs>
  <TotalTime>4</TotalTime>
  <ScaleCrop>false</ScaleCrop>
  <LinksUpToDate>false</LinksUpToDate>
  <CharactersWithSpaces>5903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2025-09-25T04:08:48Z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