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中共民丰县委员会网络安全和信息化委员会办公室2024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B37685D">
      <w:r>
        <w:br w:type="page"/>
      </w:r>
    </w:p>
    <w:p w14:paraId="132C6022">
      <w:pPr>
        <w:spacing w:line="640" w:lineRule="exact"/>
        <w:jc w:val="center"/>
        <w:outlineLvl w:val="1"/>
      </w:pPr>
      <w:r>
        <w:rPr>
          <w:rFonts w:ascii="黑体" w:hAnsi="黑体" w:eastAsia="黑体"/>
          <w:sz w:val="32"/>
        </w:rPr>
        <w:t>第一部分 单位概况</w:t>
      </w:r>
    </w:p>
    <w:p w14:paraId="34C93513">
      <w:pPr>
        <w:spacing w:line="640" w:lineRule="exact"/>
        <w:ind w:firstLine="640"/>
        <w:jc w:val="both"/>
        <w:outlineLvl w:val="2"/>
      </w:pPr>
      <w:r>
        <w:rPr>
          <w:rFonts w:ascii="黑体" w:hAnsi="黑体" w:eastAsia="黑体"/>
          <w:sz w:val="32"/>
        </w:rPr>
        <w:t>一、主要职能</w:t>
      </w:r>
    </w:p>
    <w:p w14:paraId="777A7475">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执行自治区、地委、县委有关网络安全和信息化工作的方针政策及决策部署；负责处理县委网络安全和信息化办公室日常事务工作；统筹协调涉及我县政治、经济、文化、社会等各领域网络安全和信息化方面的问题。</w:t>
      </w:r>
    </w:p>
    <w:p w14:paraId="19349C30">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研究制定全县网络安全和信息化发展规划、政策和相关制度，统筹推进全县网络安全和信息化建设工作。</w:t>
      </w:r>
    </w:p>
    <w:p w14:paraId="48EF7E15">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负责全县各类网站、论坛、微博、微信公众号、新闻客户端等互联网信息内容的监督管理，协同有关部门查处违法违规网站和网络违法犯罪活动。</w:t>
      </w:r>
    </w:p>
    <w:p w14:paraId="3B7C145F">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负责网上舆论的引导和管控，维护互联网意识形态安全；承担网络舆情监测、搜集、研判和信息报送等工作。</w:t>
      </w:r>
    </w:p>
    <w:p w14:paraId="21661BF3">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负责网站转载新闻稿源的管理，组织开展网络宣传和网上评论工作。</w:t>
      </w:r>
    </w:p>
    <w:p w14:paraId="11EE7F5E">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推动网络文明建设，培育发展、联系服务互联网相关社会组织，指导互联网行业自律，推进网站党建工作。</w:t>
      </w:r>
    </w:p>
    <w:p w14:paraId="463DDD36">
      <w:pPr>
        <w:spacing w:line="640" w:lineRule="exact"/>
        <w:ind w:firstLine="640"/>
        <w:jc w:val="both"/>
        <w:outlineLvl w:val="2"/>
      </w:pPr>
      <w:r>
        <w:rPr>
          <w:rFonts w:ascii="黑体" w:hAnsi="黑体" w:eastAsia="黑体"/>
          <w:sz w:val="32"/>
        </w:rPr>
        <w:t>二、机构设置及人员情况</w:t>
      </w:r>
    </w:p>
    <w:p w14:paraId="58999DFC">
      <w:pPr>
        <w:spacing w:line="580" w:lineRule="exact"/>
        <w:ind w:firstLine="640"/>
        <w:jc w:val="both"/>
      </w:pPr>
      <w:r>
        <w:rPr>
          <w:rFonts w:ascii="仿宋_GB2312" w:hAnsi="仿宋_GB2312" w:eastAsia="仿宋_GB2312"/>
          <w:sz w:val="32"/>
        </w:rPr>
        <w:t>中共民丰县委员会网络安全和信息化委员会办公室2024年度，实有人数18人，其中：在职人员18人，增加1人；离休人员0人，增加0人；退休人员0人,增加0人。</w:t>
      </w:r>
    </w:p>
    <w:p w14:paraId="394D9554">
      <w:pPr>
        <w:spacing w:line="580" w:lineRule="exact"/>
        <w:ind w:firstLine="640"/>
        <w:jc w:val="both"/>
      </w:pPr>
      <w:r>
        <w:rPr>
          <w:rFonts w:ascii="仿宋_GB2312" w:hAnsi="仿宋_GB2312" w:eastAsia="仿宋_GB2312"/>
          <w:sz w:val="32"/>
        </w:rPr>
        <w:t>中共民丰县委员会网络安全和信息化委员会办公室无下属预算单位，下设4个科室，分别是：综合科、联合管控科、联合保障科、联合传播科。</w:t>
      </w:r>
    </w:p>
    <w:p w14:paraId="6E6B0856">
      <w:r>
        <w:br w:type="page"/>
      </w:r>
    </w:p>
    <w:p w14:paraId="55E9023C">
      <w:pPr>
        <w:spacing w:line="240" w:lineRule="auto"/>
        <w:jc w:val="center"/>
        <w:outlineLvl w:val="1"/>
      </w:pPr>
      <w:r>
        <w:rPr>
          <w:rFonts w:ascii="黑体" w:hAnsi="黑体" w:eastAsia="黑体"/>
          <w:sz w:val="32"/>
        </w:rPr>
        <w:t>第二部分 部门决算情况说明</w:t>
      </w:r>
    </w:p>
    <w:p w14:paraId="4DE351EE">
      <w:pPr>
        <w:spacing w:line="640" w:lineRule="exact"/>
        <w:ind w:firstLine="640"/>
        <w:jc w:val="both"/>
        <w:outlineLvl w:val="2"/>
      </w:pPr>
      <w:r>
        <w:rPr>
          <w:rFonts w:ascii="黑体" w:hAnsi="黑体" w:eastAsia="黑体"/>
          <w:sz w:val="32"/>
        </w:rPr>
        <w:t>一、收入支出决算总体情况说明</w:t>
      </w:r>
    </w:p>
    <w:p w14:paraId="136BA7D4">
      <w:pPr>
        <w:spacing w:line="580" w:lineRule="exact"/>
        <w:ind w:firstLine="640"/>
        <w:jc w:val="both"/>
      </w:pPr>
      <w:r>
        <w:rPr>
          <w:rFonts w:ascii="仿宋_GB2312" w:hAnsi="仿宋_GB2312" w:eastAsia="仿宋_GB2312"/>
          <w:b/>
          <w:sz w:val="32"/>
        </w:rPr>
        <w:t>2024年度收入总计359.68万元，</w:t>
      </w:r>
      <w:r>
        <w:rPr>
          <w:rFonts w:ascii="仿宋_GB2312" w:hAnsi="仿宋_GB2312" w:eastAsia="仿宋_GB2312"/>
          <w:b w:val="0"/>
          <w:sz w:val="32"/>
        </w:rPr>
        <w:t>其中：本年收入合计359.68万元，使用非财政拨款结余（含专用结余）0.00万元，年初结转和结余0.00万元。</w:t>
      </w:r>
    </w:p>
    <w:p w14:paraId="28721756">
      <w:pPr>
        <w:spacing w:line="580" w:lineRule="exact"/>
        <w:ind w:firstLine="640"/>
        <w:jc w:val="both"/>
      </w:pPr>
      <w:r>
        <w:rPr>
          <w:rFonts w:ascii="仿宋_GB2312" w:hAnsi="仿宋_GB2312" w:eastAsia="仿宋_GB2312"/>
          <w:b/>
          <w:sz w:val="32"/>
        </w:rPr>
        <w:t>2024年度支出总计359.68万元，</w:t>
      </w:r>
      <w:r>
        <w:rPr>
          <w:rFonts w:ascii="仿宋_GB2312" w:hAnsi="仿宋_GB2312" w:eastAsia="仿宋_GB2312"/>
          <w:b w:val="0"/>
          <w:sz w:val="32"/>
        </w:rPr>
        <w:t>其中：本年支出合计359.68万元，结余分配0.00万元，年末结转和结余0.00万元。</w:t>
      </w:r>
    </w:p>
    <w:p w14:paraId="6B278511">
      <w:pPr>
        <w:spacing w:line="580" w:lineRule="exact"/>
        <w:ind w:firstLine="640"/>
        <w:jc w:val="both"/>
      </w:pPr>
      <w:r>
        <w:rPr>
          <w:rFonts w:ascii="仿宋_GB2312" w:hAnsi="仿宋_GB2312" w:eastAsia="仿宋_GB2312"/>
          <w:b w:val="0"/>
          <w:sz w:val="32"/>
        </w:rPr>
        <w:t>收入支出总体与上年相比，增加71.17万元，增长24.67%，主要原因是：1.本年在职人员工资调增，社保、公积金基数调增，人员经费增加；2.本年因工作需要，增加采购舆情监测的系统费用；3.本年增加财政存量资金，用于专线网络租费、安全等级保护项目。</w:t>
      </w:r>
    </w:p>
    <w:p w14:paraId="6507EEB3">
      <w:pPr>
        <w:spacing w:line="640" w:lineRule="exact"/>
        <w:ind w:firstLine="640"/>
        <w:jc w:val="both"/>
        <w:outlineLvl w:val="2"/>
      </w:pPr>
      <w:r>
        <w:rPr>
          <w:rFonts w:ascii="黑体" w:hAnsi="黑体" w:eastAsia="黑体"/>
          <w:sz w:val="32"/>
        </w:rPr>
        <w:t>二、收入决算情况说明</w:t>
      </w:r>
    </w:p>
    <w:p w14:paraId="7AC64D28">
      <w:pPr>
        <w:spacing w:line="580" w:lineRule="exact"/>
        <w:ind w:firstLine="640"/>
        <w:jc w:val="both"/>
      </w:pPr>
      <w:r>
        <w:rPr>
          <w:rFonts w:ascii="仿宋_GB2312" w:hAnsi="仿宋_GB2312" w:eastAsia="仿宋_GB2312"/>
          <w:b/>
          <w:sz w:val="32"/>
        </w:rPr>
        <w:t>本年收入359.68万元，</w:t>
      </w:r>
      <w:r>
        <w:rPr>
          <w:rFonts w:ascii="仿宋_GB2312" w:hAnsi="仿宋_GB2312" w:eastAsia="仿宋_GB2312"/>
          <w:b w:val="0"/>
          <w:sz w:val="32"/>
        </w:rPr>
        <w:t>其中：财政拨款收入349.38万元，占97.14%；上级补助收入0.00万元，占0.00%；事业收入0.00万元，占0.00%；经营收入0.00万元，占0.00%；附属单位上缴收入0.00万元，占0.00%；其他收入10.30万元，占2.86%。</w:t>
      </w:r>
    </w:p>
    <w:p w14:paraId="2E60F06D">
      <w:pPr>
        <w:spacing w:line="640" w:lineRule="exact"/>
        <w:ind w:firstLine="640"/>
        <w:jc w:val="both"/>
        <w:outlineLvl w:val="2"/>
      </w:pPr>
      <w:r>
        <w:rPr>
          <w:rFonts w:ascii="黑体" w:hAnsi="黑体" w:eastAsia="黑体"/>
          <w:sz w:val="32"/>
        </w:rPr>
        <w:t>三、支出决算情况说明</w:t>
      </w:r>
    </w:p>
    <w:p w14:paraId="013A5D11">
      <w:pPr>
        <w:spacing w:line="580" w:lineRule="exact"/>
        <w:ind w:firstLine="640"/>
        <w:jc w:val="both"/>
      </w:pPr>
      <w:r>
        <w:rPr>
          <w:rFonts w:ascii="仿宋_GB2312" w:hAnsi="仿宋_GB2312" w:eastAsia="仿宋_GB2312"/>
          <w:b/>
          <w:sz w:val="32"/>
        </w:rPr>
        <w:t>本年支出359.68万元，</w:t>
      </w:r>
      <w:r>
        <w:rPr>
          <w:rFonts w:ascii="仿宋_GB2312" w:hAnsi="仿宋_GB2312" w:eastAsia="仿宋_GB2312"/>
          <w:b w:val="0"/>
          <w:sz w:val="32"/>
        </w:rPr>
        <w:t>其中：基本支出359.68万元，占100.00%；项目支出0.00万元，占0.00%；上缴上级支出0.00万元，占0.00%；经营支出0.00万元，占0.00%；对附属单位补助支出0.00万元，占0.00%。</w:t>
      </w:r>
    </w:p>
    <w:p w14:paraId="13172C00">
      <w:pPr>
        <w:spacing w:line="640" w:lineRule="exact"/>
        <w:ind w:firstLine="640"/>
        <w:jc w:val="both"/>
        <w:outlineLvl w:val="2"/>
      </w:pPr>
      <w:r>
        <w:rPr>
          <w:rFonts w:ascii="黑体" w:hAnsi="黑体" w:eastAsia="黑体"/>
          <w:sz w:val="32"/>
        </w:rPr>
        <w:t>四、财政拨款收入支出决算总体情况说明</w:t>
      </w:r>
    </w:p>
    <w:p w14:paraId="6221B27E">
      <w:pPr>
        <w:spacing w:line="580" w:lineRule="exact"/>
        <w:ind w:firstLine="640"/>
        <w:jc w:val="both"/>
      </w:pPr>
      <w:r>
        <w:rPr>
          <w:rFonts w:ascii="仿宋_GB2312" w:hAnsi="仿宋_GB2312" w:eastAsia="仿宋_GB2312"/>
          <w:b/>
          <w:sz w:val="32"/>
        </w:rPr>
        <w:t>2024年度财政拨款收入总计349.38万元，</w:t>
      </w:r>
      <w:r>
        <w:rPr>
          <w:rFonts w:ascii="仿宋_GB2312" w:hAnsi="仿宋_GB2312" w:eastAsia="仿宋_GB2312"/>
          <w:b w:val="0"/>
          <w:sz w:val="32"/>
        </w:rPr>
        <w:t>其中：年初财政拨款结转和结余0.00万元，本年财政拨款收入349.38万元。</w:t>
      </w:r>
      <w:r>
        <w:rPr>
          <w:rFonts w:ascii="仿宋_GB2312" w:hAnsi="仿宋_GB2312" w:eastAsia="仿宋_GB2312"/>
          <w:b/>
          <w:sz w:val="32"/>
        </w:rPr>
        <w:t>财政拨款支出总计349.38万元，</w:t>
      </w:r>
      <w:r>
        <w:rPr>
          <w:rFonts w:ascii="仿宋_GB2312" w:hAnsi="仿宋_GB2312" w:eastAsia="仿宋_GB2312"/>
          <w:b w:val="0"/>
          <w:sz w:val="32"/>
        </w:rPr>
        <w:t>其中：年末财政拨款结转和结余0.00万元，本年财政拨款支出349.38万元。</w:t>
      </w:r>
    </w:p>
    <w:p w14:paraId="6740DB1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增加60.87万元，增长21.10%，主要原因是：1.本年在职人员工资调增，社保、公积金基数调增，人员经费增加；2.本年因工作需要，增加采购舆情监测的系统费用。</w:t>
      </w:r>
      <w:r>
        <w:rPr>
          <w:rFonts w:ascii="仿宋_GB2312" w:hAnsi="仿宋_GB2312" w:eastAsia="仿宋_GB2312"/>
          <w:b/>
          <w:sz w:val="32"/>
        </w:rPr>
        <w:t>与年初预算相比，</w:t>
      </w:r>
      <w:r>
        <w:rPr>
          <w:rFonts w:ascii="仿宋_GB2312" w:hAnsi="仿宋_GB2312" w:eastAsia="仿宋_GB2312"/>
          <w:b w:val="0"/>
          <w:sz w:val="32"/>
        </w:rPr>
        <w:t>年初预算数338.89万元，决算数349.38万元，预决算差异率3.10%，主要原因是：1.年中追加购买舆情监测系统的费用，导致预决算存在差异；2.年中追加人员工资、社保、公积金基数调增部分资金，导致预决算存在差异。</w:t>
      </w:r>
    </w:p>
    <w:p w14:paraId="139492F2">
      <w:pPr>
        <w:spacing w:line="640" w:lineRule="exact"/>
        <w:ind w:firstLine="640"/>
        <w:jc w:val="both"/>
        <w:outlineLvl w:val="2"/>
      </w:pPr>
      <w:r>
        <w:rPr>
          <w:rFonts w:ascii="黑体" w:hAnsi="黑体" w:eastAsia="黑体"/>
          <w:sz w:val="32"/>
        </w:rPr>
        <w:t>五、一般公共预算财政拨款支出决算情况说明</w:t>
      </w:r>
    </w:p>
    <w:p w14:paraId="3024F2FC">
      <w:pPr>
        <w:spacing w:line="640" w:lineRule="exact"/>
        <w:ind w:firstLine="640"/>
        <w:jc w:val="both"/>
        <w:outlineLvl w:val="3"/>
      </w:pPr>
      <w:r>
        <w:rPr>
          <w:rFonts w:ascii="楷体_GB2312" w:hAnsi="楷体_GB2312" w:eastAsia="楷体_GB2312"/>
          <w:b/>
          <w:sz w:val="32"/>
        </w:rPr>
        <w:t>（一）一般公共预算财政拨款支出决算总体情况</w:t>
      </w:r>
    </w:p>
    <w:p w14:paraId="0A9AB06A">
      <w:pPr>
        <w:spacing w:line="580" w:lineRule="exact"/>
        <w:ind w:firstLine="640"/>
        <w:jc w:val="both"/>
      </w:pPr>
      <w:r>
        <w:rPr>
          <w:rFonts w:ascii="仿宋_GB2312" w:hAnsi="仿宋_GB2312" w:eastAsia="仿宋_GB2312"/>
          <w:b/>
          <w:sz w:val="32"/>
        </w:rPr>
        <w:t>2024年度一般公共预算财政拨款支出349.38万元，</w:t>
      </w:r>
      <w:r>
        <w:rPr>
          <w:rFonts w:ascii="仿宋_GB2312" w:hAnsi="仿宋_GB2312" w:eastAsia="仿宋_GB2312"/>
          <w:b w:val="0"/>
          <w:sz w:val="32"/>
        </w:rPr>
        <w:t>占本年支出合计的97.14%。</w:t>
      </w:r>
      <w:r>
        <w:rPr>
          <w:rFonts w:ascii="仿宋_GB2312" w:hAnsi="仿宋_GB2312" w:eastAsia="仿宋_GB2312"/>
          <w:b/>
          <w:sz w:val="32"/>
        </w:rPr>
        <w:t>与上年相比，</w:t>
      </w:r>
      <w:r>
        <w:rPr>
          <w:rFonts w:ascii="仿宋_GB2312" w:hAnsi="仿宋_GB2312" w:eastAsia="仿宋_GB2312"/>
          <w:b w:val="0"/>
          <w:sz w:val="32"/>
        </w:rPr>
        <w:t>增加60.87万元，增长21.10%，主要原因是：1.本年在职人员工资调增，社保、公积金基数调增，人员经费增加；2.本年因工作需要，增加采购舆情监测的系统费用。</w:t>
      </w:r>
      <w:r>
        <w:rPr>
          <w:rFonts w:ascii="仿宋_GB2312" w:hAnsi="仿宋_GB2312" w:eastAsia="仿宋_GB2312"/>
          <w:b/>
          <w:sz w:val="32"/>
        </w:rPr>
        <w:t>与年初预算相比,</w:t>
      </w:r>
      <w:r>
        <w:rPr>
          <w:rFonts w:ascii="仿宋_GB2312" w:hAnsi="仿宋_GB2312" w:eastAsia="仿宋_GB2312"/>
          <w:b w:val="0"/>
          <w:sz w:val="32"/>
        </w:rPr>
        <w:t>年初预算数338.89万元，决算数349.38万元，预决算差异率3.10%，主要原因是：1.年中追加购买舆情监测系统的费用，导致预决算存在差异；2.年中追加人员工资、社保、公积金基数调增部分资金，导致预决算存在差异。</w:t>
      </w:r>
    </w:p>
    <w:p w14:paraId="73933D5C">
      <w:pPr>
        <w:spacing w:line="640" w:lineRule="exact"/>
        <w:ind w:firstLine="640"/>
        <w:jc w:val="both"/>
        <w:outlineLvl w:val="3"/>
      </w:pPr>
      <w:r>
        <w:rPr>
          <w:rFonts w:ascii="楷体_GB2312" w:hAnsi="楷体_GB2312" w:eastAsia="楷体_GB2312"/>
          <w:b/>
          <w:sz w:val="32"/>
        </w:rPr>
        <w:t>（二）一般公共预算财政拨款支出决算结构情况</w:t>
      </w:r>
    </w:p>
    <w:p w14:paraId="56E7E133">
      <w:pPr>
        <w:spacing w:line="580" w:lineRule="exact"/>
        <w:ind w:firstLine="640"/>
        <w:jc w:val="both"/>
      </w:pPr>
      <w:r>
        <w:rPr>
          <w:rFonts w:ascii="仿宋_GB2312" w:hAnsi="仿宋_GB2312" w:eastAsia="仿宋_GB2312"/>
          <w:b w:val="0"/>
          <w:sz w:val="32"/>
        </w:rPr>
        <w:t>1.一般公共服务支出(类)272.03万元,占77.86%。</w:t>
      </w:r>
    </w:p>
    <w:p w14:paraId="66EC09F2">
      <w:pPr>
        <w:spacing w:line="580" w:lineRule="exact"/>
        <w:ind w:firstLine="640"/>
        <w:jc w:val="both"/>
      </w:pPr>
      <w:r>
        <w:rPr>
          <w:rFonts w:ascii="仿宋_GB2312" w:hAnsi="仿宋_GB2312" w:eastAsia="仿宋_GB2312"/>
          <w:b w:val="0"/>
          <w:sz w:val="32"/>
        </w:rPr>
        <w:t>2.社会保障和就业支出(类)35.65万元,占10.20%。</w:t>
      </w:r>
    </w:p>
    <w:p w14:paraId="01B21A86">
      <w:pPr>
        <w:spacing w:line="580" w:lineRule="exact"/>
        <w:ind w:firstLine="640"/>
        <w:jc w:val="both"/>
      </w:pPr>
      <w:r>
        <w:rPr>
          <w:rFonts w:ascii="仿宋_GB2312" w:hAnsi="仿宋_GB2312" w:eastAsia="仿宋_GB2312"/>
          <w:b w:val="0"/>
          <w:sz w:val="32"/>
        </w:rPr>
        <w:t>3.卫生健康支出(类)17.30万元,占4.95%。</w:t>
      </w:r>
    </w:p>
    <w:p w14:paraId="41A9AF1E">
      <w:pPr>
        <w:spacing w:line="580" w:lineRule="exact"/>
        <w:ind w:firstLine="640"/>
        <w:jc w:val="both"/>
      </w:pPr>
      <w:r>
        <w:rPr>
          <w:rFonts w:ascii="仿宋_GB2312" w:hAnsi="仿宋_GB2312" w:eastAsia="仿宋_GB2312"/>
          <w:b w:val="0"/>
          <w:sz w:val="32"/>
        </w:rPr>
        <w:t>4.住房保障支出(类)24.39万元,占6.98%。</w:t>
      </w:r>
    </w:p>
    <w:p w14:paraId="48DB4E92">
      <w:pPr>
        <w:spacing w:line="640" w:lineRule="exact"/>
        <w:ind w:firstLine="640"/>
        <w:jc w:val="both"/>
        <w:outlineLvl w:val="3"/>
      </w:pPr>
      <w:r>
        <w:rPr>
          <w:rFonts w:ascii="楷体_GB2312" w:hAnsi="楷体_GB2312" w:eastAsia="楷体_GB2312"/>
          <w:b/>
          <w:sz w:val="32"/>
        </w:rPr>
        <w:t>（三）一般公共预算财政拨款支出决算具体情况</w:t>
      </w:r>
    </w:p>
    <w:p w14:paraId="3B44C949">
      <w:pPr>
        <w:spacing w:line="580" w:lineRule="exact"/>
        <w:ind w:firstLine="640"/>
        <w:jc w:val="both"/>
      </w:pPr>
      <w:r>
        <w:rPr>
          <w:rFonts w:ascii="仿宋_GB2312" w:hAnsi="仿宋_GB2312" w:eastAsia="仿宋_GB2312"/>
          <w:b w:val="0"/>
          <w:sz w:val="32"/>
        </w:rPr>
        <w:t>1.一般公共服务支出(类)网信事务(款)行政运行(项):支出决算数为272.03万元，比上年决算增加25.09万元，增长10.16%,主要原因是：1.本年在职人员工资调增，导致相关人员经费较上年有所增加；2.本年因工作需要，增加采购舆情监测的系统费用。</w:t>
      </w:r>
    </w:p>
    <w:p w14:paraId="6CA4AD4F">
      <w:pPr>
        <w:spacing w:line="580" w:lineRule="exact"/>
        <w:ind w:firstLine="640"/>
        <w:jc w:val="both"/>
      </w:pPr>
      <w:r>
        <w:rPr>
          <w:rFonts w:ascii="仿宋_GB2312" w:hAnsi="仿宋_GB2312" w:eastAsia="仿宋_GB2312"/>
          <w:b w:val="0"/>
          <w:sz w:val="32"/>
        </w:rPr>
        <w:t>2.一般公共服务支出(类)网信事务(款)其他网信事务支出(项):支出决算数为0.00万元，比上年决算减少16.76万元，下降100.00%,主要原因是：本年网信指挥中心建设项目已于2023年支付完成，本年无此项经费。</w:t>
      </w:r>
    </w:p>
    <w:p w14:paraId="78CF5DD8">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31.69万元，比上年决算增加6.88万元，增长27.73%,主要原因是：本年在职人员工资基数调增，养老缴费基数上涨，相应支出增加。</w:t>
      </w:r>
    </w:p>
    <w:p w14:paraId="14149183">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3.96万元，比上年决算增加3.96万元，增长100.00%,主要原因是：2024年10月份开始缴纳在职职工职业年金单位部分，导致经费支出增加。</w:t>
      </w:r>
    </w:p>
    <w:p w14:paraId="111C22BB">
      <w:pPr>
        <w:spacing w:line="580" w:lineRule="exact"/>
        <w:ind w:firstLine="640"/>
        <w:jc w:val="both"/>
      </w:pPr>
      <w:r>
        <w:rPr>
          <w:rFonts w:ascii="仿宋_GB2312" w:hAnsi="仿宋_GB2312" w:eastAsia="仿宋_GB2312"/>
          <w:b w:val="0"/>
          <w:sz w:val="32"/>
        </w:rPr>
        <w:t>5.卫生健康支出(类)行政事业单位医疗(款)行政单位医疗(项):支出决算数为12.87万元，比上年决算增加12.87万元，增长100.00%,主要原因是：本年功能科目调整，行政单位医疗支出上年度在主科目列支，本年单独列支，导致经费较上年增加。</w:t>
      </w:r>
    </w:p>
    <w:p w14:paraId="61DBD75E">
      <w:pPr>
        <w:spacing w:line="580" w:lineRule="exact"/>
        <w:ind w:firstLine="640"/>
        <w:jc w:val="both"/>
      </w:pPr>
      <w:r>
        <w:rPr>
          <w:rFonts w:ascii="仿宋_GB2312" w:hAnsi="仿宋_GB2312" w:eastAsia="仿宋_GB2312"/>
          <w:b w:val="0"/>
          <w:sz w:val="32"/>
        </w:rPr>
        <w:t>6.卫生健康支出(类)行政事业单位医疗(款)公务员医疗补助(项):支出决算数为3.23万元，比上年决算增加3.23万元，增长100.00%,主要原因是：本年功能科目调整，公务员医疗补助上年度在主科目列支，本年单独列支，导致经费较上年增加。</w:t>
      </w:r>
    </w:p>
    <w:p w14:paraId="5C07FF00">
      <w:pPr>
        <w:spacing w:line="580" w:lineRule="exact"/>
        <w:ind w:firstLine="640"/>
        <w:jc w:val="both"/>
      </w:pPr>
      <w:r>
        <w:rPr>
          <w:rFonts w:ascii="仿宋_GB2312" w:hAnsi="仿宋_GB2312" w:eastAsia="仿宋_GB2312"/>
          <w:b w:val="0"/>
          <w:sz w:val="32"/>
        </w:rPr>
        <w:t>7.卫生健康支出(类)行政事业单位医疗(款)其他行政事业单位医疗支出(项):支出决算数为1.20万元，比上年决算增加1.20万元，增长100.00%,主要原因是：本年功能科目调整，职工大病，工伤，失业保险支出上年度在主科目列支，本年单独列支，导致经费较上年增加。</w:t>
      </w:r>
    </w:p>
    <w:p w14:paraId="3094B5F5">
      <w:pPr>
        <w:spacing w:line="580" w:lineRule="exact"/>
        <w:ind w:firstLine="640"/>
        <w:jc w:val="both"/>
      </w:pPr>
      <w:r>
        <w:rPr>
          <w:rFonts w:ascii="仿宋_GB2312" w:hAnsi="仿宋_GB2312" w:eastAsia="仿宋_GB2312"/>
          <w:b w:val="0"/>
          <w:sz w:val="32"/>
        </w:rPr>
        <w:t>8.住房保障支出(类)住房改革支出(款)住房公积金(项):支出决算数为24.39万元，比上年决算增加24.39万元，增长100.00%,主要原因是：本年功能科目调整，住房公积金上年度在主科目列支，本年单独列支，导致经费较上年增加。</w:t>
      </w:r>
    </w:p>
    <w:p w14:paraId="30508FB1">
      <w:pPr>
        <w:spacing w:line="640" w:lineRule="exact"/>
        <w:ind w:firstLine="640"/>
        <w:jc w:val="both"/>
        <w:outlineLvl w:val="2"/>
      </w:pPr>
      <w:r>
        <w:rPr>
          <w:rFonts w:ascii="黑体" w:hAnsi="黑体" w:eastAsia="黑体"/>
          <w:sz w:val="32"/>
        </w:rPr>
        <w:t>六、一般公共预算财政拨款基本支出决算情况说明</w:t>
      </w:r>
    </w:p>
    <w:p w14:paraId="3D93AF12">
      <w:pPr>
        <w:spacing w:line="580" w:lineRule="exact"/>
        <w:ind w:firstLine="640"/>
        <w:jc w:val="both"/>
      </w:pPr>
      <w:r>
        <w:rPr>
          <w:rFonts w:ascii="仿宋_GB2312" w:hAnsi="仿宋_GB2312" w:eastAsia="仿宋_GB2312"/>
          <w:b w:val="0"/>
          <w:sz w:val="32"/>
        </w:rPr>
        <w:t>2024年度一般公共预算财政拨款基本支出349.38万元，其中：</w:t>
      </w:r>
      <w:r>
        <w:rPr>
          <w:rFonts w:ascii="仿宋_GB2312" w:hAnsi="仿宋_GB2312" w:eastAsia="仿宋_GB2312"/>
          <w:b/>
          <w:sz w:val="32"/>
        </w:rPr>
        <w:t>人员经费315.79万元，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w:t>
      </w:r>
    </w:p>
    <w:p w14:paraId="15FAE0FB">
      <w:pPr>
        <w:spacing w:line="580" w:lineRule="exact"/>
        <w:ind w:firstLine="640"/>
        <w:jc w:val="both"/>
      </w:pPr>
      <w:r>
        <w:rPr>
          <w:rFonts w:ascii="仿宋_GB2312" w:hAnsi="仿宋_GB2312" w:eastAsia="仿宋_GB2312"/>
          <w:b/>
          <w:sz w:val="32"/>
        </w:rPr>
        <w:t>公用经费33.59万元，</w:t>
      </w:r>
      <w:r>
        <w:rPr>
          <w:rFonts w:ascii="仿宋_GB2312" w:hAnsi="仿宋_GB2312" w:eastAsia="仿宋_GB2312"/>
          <w:b w:val="0"/>
          <w:sz w:val="32"/>
        </w:rPr>
        <w:t>包括：办公费、水费、电费、邮电费、差旅费、劳务费、委托业务费。</w:t>
      </w:r>
    </w:p>
    <w:p w14:paraId="29EE8612">
      <w:pPr>
        <w:spacing w:line="640" w:lineRule="exact"/>
        <w:ind w:firstLine="640"/>
        <w:jc w:val="both"/>
        <w:outlineLvl w:val="2"/>
      </w:pPr>
      <w:r>
        <w:rPr>
          <w:rFonts w:ascii="黑体" w:hAnsi="黑体" w:eastAsia="黑体"/>
          <w:sz w:val="32"/>
        </w:rPr>
        <w:t>七、政府性基金预算财政拨款收入支出决算情况说明</w:t>
      </w:r>
    </w:p>
    <w:p w14:paraId="4FFCFF2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1F56C38">
      <w:pPr>
        <w:spacing w:line="640" w:lineRule="exact"/>
        <w:ind w:firstLine="640"/>
        <w:jc w:val="both"/>
        <w:outlineLvl w:val="2"/>
      </w:pPr>
      <w:r>
        <w:rPr>
          <w:rFonts w:ascii="黑体" w:hAnsi="黑体" w:eastAsia="黑体"/>
          <w:sz w:val="32"/>
        </w:rPr>
        <w:t>八、国有资本经营预算财政拨款收入支出决算情况说明</w:t>
      </w:r>
    </w:p>
    <w:p w14:paraId="410CDF8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DAD4DFF">
      <w:pPr>
        <w:spacing w:line="640" w:lineRule="exact"/>
        <w:ind w:firstLine="640"/>
        <w:jc w:val="both"/>
        <w:outlineLvl w:val="2"/>
      </w:pPr>
      <w:r>
        <w:rPr>
          <w:rFonts w:ascii="黑体" w:hAnsi="黑体" w:eastAsia="黑体"/>
          <w:sz w:val="32"/>
        </w:rPr>
        <w:t>九、财政拨款“三公”经费支出决算情况说明</w:t>
      </w:r>
    </w:p>
    <w:p w14:paraId="53A3398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35D31FF">
      <w:pPr>
        <w:spacing w:line="580" w:lineRule="exact"/>
        <w:ind w:firstLine="640"/>
        <w:jc w:val="both"/>
      </w:pPr>
      <w:r>
        <w:rPr>
          <w:rFonts w:ascii="仿宋_GB2312" w:hAnsi="仿宋_GB2312" w:eastAsia="仿宋_GB2312"/>
          <w:b/>
          <w:sz w:val="32"/>
        </w:rPr>
        <w:t>具体情况如下：</w:t>
      </w:r>
    </w:p>
    <w:p w14:paraId="52FDEFB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EF4FAA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4B865B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67FBD2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60A8129">
      <w:pPr>
        <w:spacing w:line="640" w:lineRule="exact"/>
        <w:ind w:firstLine="640"/>
        <w:jc w:val="both"/>
        <w:outlineLvl w:val="2"/>
      </w:pPr>
      <w:r>
        <w:rPr>
          <w:rFonts w:ascii="黑体" w:hAnsi="黑体" w:eastAsia="黑体"/>
          <w:sz w:val="32"/>
        </w:rPr>
        <w:t>十、其他重要事项的情况说明</w:t>
      </w:r>
    </w:p>
    <w:p w14:paraId="5EE6A69D">
      <w:pPr>
        <w:spacing w:line="640" w:lineRule="exact"/>
        <w:ind w:firstLine="640"/>
        <w:jc w:val="both"/>
        <w:outlineLvl w:val="3"/>
      </w:pPr>
      <w:r>
        <w:rPr>
          <w:rFonts w:ascii="楷体_GB2312" w:hAnsi="楷体_GB2312" w:eastAsia="楷体_GB2312"/>
          <w:b/>
          <w:sz w:val="32"/>
        </w:rPr>
        <w:t>（一）机关运行经费及公用经费支出情况</w:t>
      </w:r>
    </w:p>
    <w:p w14:paraId="1C5214E6">
      <w:pPr>
        <w:spacing w:line="580" w:lineRule="exact"/>
        <w:ind w:firstLine="640"/>
        <w:jc w:val="both"/>
      </w:pPr>
      <w:r>
        <w:rPr>
          <w:rFonts w:ascii="仿宋_GB2312" w:hAnsi="仿宋_GB2312" w:eastAsia="仿宋_GB2312"/>
          <w:b w:val="0"/>
          <w:sz w:val="32"/>
        </w:rPr>
        <w:t>2024年度中共民丰县委员会网络安全和信息化委员会办公室（行政单位和参照公务员法管理事业单位）机关运行经费支出33.59万元，比上年增加23.72万元，增长240.32%，主要原因是：本年因工作需要，增加采购舆情监测系统经费，委托业务费增加，导致机关运行经费支出增加。</w:t>
      </w:r>
    </w:p>
    <w:p w14:paraId="700C7288">
      <w:pPr>
        <w:spacing w:line="640" w:lineRule="exact"/>
        <w:ind w:firstLine="640"/>
        <w:jc w:val="both"/>
        <w:outlineLvl w:val="3"/>
      </w:pPr>
      <w:r>
        <w:rPr>
          <w:rFonts w:ascii="楷体_GB2312" w:hAnsi="楷体_GB2312" w:eastAsia="楷体_GB2312"/>
          <w:b/>
          <w:sz w:val="32"/>
        </w:rPr>
        <w:t>（二）政府采购情况</w:t>
      </w:r>
    </w:p>
    <w:p w14:paraId="10357BE3">
      <w:pPr>
        <w:spacing w:line="580" w:lineRule="exact"/>
        <w:ind w:firstLine="640"/>
        <w:jc w:val="both"/>
      </w:pPr>
      <w:r>
        <w:rPr>
          <w:rFonts w:ascii="仿宋_GB2312" w:hAnsi="仿宋_GB2312" w:eastAsia="仿宋_GB2312"/>
          <w:b w:val="0"/>
          <w:sz w:val="32"/>
        </w:rPr>
        <w:t>2024年度政府采购支出总额43.19万元，其中：政府采购货物支出8.56万元、政府采购工程支出0.00万元、政府采购服务支出34.63万元。</w:t>
      </w:r>
    </w:p>
    <w:p w14:paraId="2AA8CAC2">
      <w:pPr>
        <w:spacing w:line="580" w:lineRule="exact"/>
        <w:ind w:firstLine="640"/>
        <w:jc w:val="both"/>
      </w:pPr>
      <w:r>
        <w:rPr>
          <w:rFonts w:ascii="仿宋_GB2312" w:hAnsi="仿宋_GB2312" w:eastAsia="仿宋_GB2312"/>
          <w:b w:val="0"/>
          <w:sz w:val="32"/>
        </w:rPr>
        <w:t>授予中小企业合同金额43.19万元，占政府采购支出总额的100.00%，其中：授予小微企业合同金额43.19万元，占政府采购支出总额的100.00%。</w:t>
      </w:r>
    </w:p>
    <w:p w14:paraId="4E1A52B3">
      <w:pPr>
        <w:spacing w:line="640" w:lineRule="exact"/>
        <w:ind w:firstLine="640"/>
        <w:jc w:val="both"/>
        <w:outlineLvl w:val="3"/>
      </w:pPr>
      <w:r>
        <w:rPr>
          <w:rFonts w:ascii="楷体_GB2312" w:hAnsi="楷体_GB2312" w:eastAsia="楷体_GB2312"/>
          <w:b/>
          <w:sz w:val="32"/>
        </w:rPr>
        <w:t>（三）国有资产占用情况说明</w:t>
      </w:r>
    </w:p>
    <w:p w14:paraId="5DC82436">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2F387F4">
      <w:pPr>
        <w:spacing w:line="640" w:lineRule="exact"/>
        <w:ind w:firstLine="640"/>
        <w:jc w:val="both"/>
        <w:outlineLvl w:val="2"/>
      </w:pPr>
      <w:r>
        <w:rPr>
          <w:rFonts w:ascii="黑体" w:hAnsi="黑体" w:eastAsia="黑体"/>
          <w:sz w:val="32"/>
        </w:rPr>
        <w:t>十一、预算绩效的情况说明</w:t>
      </w:r>
    </w:p>
    <w:p w14:paraId="4AABFFA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359.68万元，实际执行总额359.68万元；预算绩效评价项目1个，全年预算数2.10万元，全年执行数2.08万元。预算绩效管理取得的成效：一是优化资金配置，资金执行率提升至95%，网络舆情监测、网络安全保障等关键领域效能增强；二是强化成本管控，实现“花钱必问效”；三是完善评价机制，将绩效结果与预算安排挂钩，推动资金使用更精准、高效，为全县网信事业高质量发展提供有力保障。发现的问题及原因：一是资金执行进度不均衡，存在</w:t>
      </w:r>
      <w:r>
        <w:rPr>
          <w:rFonts w:hint="eastAsia" w:ascii="仿宋_GB2312" w:hAnsi="仿宋_GB2312" w:eastAsia="仿宋_GB2312"/>
          <w:b w:val="0"/>
          <w:sz w:val="32"/>
          <w:lang w:eastAsia="zh-CN"/>
        </w:rPr>
        <w:t>“</w:t>
      </w:r>
      <w:r>
        <w:rPr>
          <w:rFonts w:ascii="仿宋_GB2312" w:hAnsi="仿宋_GB2312" w:eastAsia="仿宋_GB2312"/>
          <w:b w:val="0"/>
          <w:sz w:val="32"/>
        </w:rPr>
        <w:t>前松后紧</w:t>
      </w:r>
      <w:r>
        <w:rPr>
          <w:rFonts w:hint="eastAsia" w:ascii="仿宋_GB2312" w:hAnsi="仿宋_GB2312" w:eastAsia="仿宋_GB2312"/>
          <w:b w:val="0"/>
          <w:sz w:val="32"/>
          <w:lang w:eastAsia="zh-CN"/>
        </w:rPr>
        <w:t>”</w:t>
      </w:r>
      <w:r>
        <w:rPr>
          <w:rFonts w:ascii="仿宋_GB2312" w:hAnsi="仿宋_GB2312" w:eastAsia="仿宋_GB2312"/>
          <w:b w:val="0"/>
          <w:sz w:val="32"/>
        </w:rPr>
        <w:t>现象；二是绩效评价结果运用不充分，激励约束作用未充分发挥。主要原因包括：绩效管理意识不强，部门协同不足，专业人才缺乏，以及动态监控机制不够健全，需进一步强化全过程绩效管理。下一步改进措施：一是完善绩效目标管理，科学设定量化指标，确保与重点工作精准匹配；二是优化评价体系，细化考核标准，增强可操作性；三是强化过程监控，定期开展绩效评估，动态调整资金使用；四是加强结果应用，将评价结果与预算安排挂钩，提升资金效益；五是开展培训指导，提升人员专业水平，推动绩效管理规范化、精细化。具体附整体支出绩效自评表，项目支出绩效自评表和评价报告。</w:t>
      </w:r>
    </w:p>
    <w:p w14:paraId="12432AB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E74CD09">
        <w:tblPrEx>
          <w:tblCellMar>
            <w:top w:w="0" w:type="dxa"/>
            <w:left w:w="108" w:type="dxa"/>
            <w:bottom w:w="0" w:type="dxa"/>
            <w:right w:w="108" w:type="dxa"/>
          </w:tblCellMar>
        </w:tblPrEx>
        <w:tc>
          <w:tcPr>
            <w:tcW w:w="8847" w:type="dxa"/>
            <w:gridSpan w:val="9"/>
            <w:vAlign w:val="center"/>
          </w:tcPr>
          <w:p w14:paraId="1C219E54">
            <w:pPr>
              <w:jc w:val="center"/>
            </w:pPr>
            <w:r>
              <w:rPr>
                <w:rFonts w:ascii="宋体" w:hAnsi="宋体" w:eastAsia="宋体"/>
                <w:sz w:val="24"/>
              </w:rPr>
              <w:t>单位整体支出绩效自评表</w:t>
            </w:r>
          </w:p>
        </w:tc>
      </w:tr>
      <w:tr w14:paraId="04A1A03C">
        <w:tblPrEx>
          <w:tblCellMar>
            <w:top w:w="0" w:type="dxa"/>
            <w:left w:w="108" w:type="dxa"/>
            <w:bottom w:w="0" w:type="dxa"/>
            <w:right w:w="108" w:type="dxa"/>
          </w:tblCellMar>
        </w:tblPrEx>
        <w:tc>
          <w:tcPr>
            <w:tcW w:w="8847" w:type="dxa"/>
            <w:gridSpan w:val="9"/>
            <w:vAlign w:val="center"/>
          </w:tcPr>
          <w:p w14:paraId="6A993C8A">
            <w:pPr>
              <w:jc w:val="center"/>
            </w:pPr>
            <w:r>
              <w:rPr>
                <w:rFonts w:ascii="宋体" w:hAnsi="宋体" w:eastAsia="宋体"/>
                <w:sz w:val="24"/>
              </w:rPr>
              <w:t>（2024年度）</w:t>
            </w:r>
          </w:p>
        </w:tc>
      </w:tr>
      <w:tr w14:paraId="1D7C041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AE81C">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09D5C44">
            <w:pPr>
              <w:jc w:val="center"/>
            </w:pPr>
            <w:r>
              <w:rPr>
                <w:rFonts w:ascii="宋体" w:hAnsi="宋体" w:eastAsia="宋体"/>
                <w:sz w:val="16"/>
              </w:rPr>
              <w:t>中共民丰县委员会网络安全和信息化委员会办公室</w:t>
            </w:r>
          </w:p>
        </w:tc>
      </w:tr>
      <w:tr w14:paraId="4ADC14C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8ECD6">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9BF7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0FFD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1E75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5F7E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30DF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5899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D18FA">
            <w:pPr>
              <w:jc w:val="center"/>
            </w:pPr>
            <w:r>
              <w:rPr>
                <w:rFonts w:ascii="宋体" w:hAnsi="宋体" w:eastAsia="宋体"/>
                <w:sz w:val="16"/>
              </w:rPr>
              <w:t>得分</w:t>
            </w:r>
          </w:p>
        </w:tc>
      </w:tr>
      <w:tr w14:paraId="47A653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88410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0FBF8B">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B5565">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E1E2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697F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3AFE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C99A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925C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2A3D4">
            <w:pPr>
              <w:jc w:val="center"/>
            </w:pPr>
            <w:r>
              <w:rPr>
                <w:rFonts w:ascii="宋体" w:hAnsi="宋体" w:eastAsia="宋体"/>
                <w:sz w:val="16"/>
              </w:rPr>
              <w:t>-</w:t>
            </w:r>
          </w:p>
        </w:tc>
      </w:tr>
      <w:tr w14:paraId="64CECC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20CE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6024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B354F">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59E0C">
            <w:pPr>
              <w:jc w:val="center"/>
            </w:pPr>
            <w:r>
              <w:rPr>
                <w:rFonts w:ascii="宋体" w:hAnsi="宋体" w:eastAsia="宋体"/>
                <w:sz w:val="16"/>
              </w:rPr>
              <w:t>291.13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C2AA8">
            <w:pPr>
              <w:jc w:val="center"/>
            </w:pPr>
            <w:r>
              <w:rPr>
                <w:rFonts w:ascii="宋体" w:hAnsi="宋体" w:eastAsia="宋体"/>
                <w:sz w:val="16"/>
              </w:rPr>
              <w:t>359.68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CFFBC">
            <w:pPr>
              <w:jc w:val="center"/>
            </w:pPr>
            <w:r>
              <w:rPr>
                <w:rFonts w:ascii="宋体" w:hAnsi="宋体" w:eastAsia="宋体"/>
                <w:sz w:val="16"/>
              </w:rPr>
              <w:t>359.68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9825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FA0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D181B">
            <w:pPr>
              <w:jc w:val="center"/>
            </w:pPr>
            <w:r>
              <w:rPr>
                <w:rFonts w:ascii="宋体" w:hAnsi="宋体" w:eastAsia="宋体"/>
                <w:sz w:val="16"/>
              </w:rPr>
              <w:t>-</w:t>
            </w:r>
          </w:p>
        </w:tc>
      </w:tr>
      <w:tr w14:paraId="34192C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8E8A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CED8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ACD3A">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0C68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0A4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67D6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4D94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F21C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F242A">
            <w:pPr>
              <w:jc w:val="center"/>
            </w:pPr>
            <w:r>
              <w:rPr>
                <w:rFonts w:ascii="宋体" w:hAnsi="宋体" w:eastAsia="宋体"/>
                <w:sz w:val="16"/>
              </w:rPr>
              <w:t>-</w:t>
            </w:r>
          </w:p>
        </w:tc>
      </w:tr>
      <w:tr w14:paraId="226CA5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AC0D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3029B">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0AE9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DD6C4">
            <w:pPr>
              <w:jc w:val="center"/>
            </w:pPr>
            <w:r>
              <w:rPr>
                <w:rFonts w:ascii="宋体" w:hAnsi="宋体" w:eastAsia="宋体"/>
                <w:sz w:val="16"/>
              </w:rPr>
              <w:t>291.13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BB484">
            <w:pPr>
              <w:jc w:val="center"/>
            </w:pPr>
            <w:r>
              <w:rPr>
                <w:rFonts w:ascii="宋体" w:hAnsi="宋体" w:eastAsia="宋体"/>
                <w:sz w:val="16"/>
              </w:rPr>
              <w:t>359.68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6346C">
            <w:pPr>
              <w:jc w:val="center"/>
            </w:pPr>
            <w:r>
              <w:rPr>
                <w:rFonts w:ascii="宋体" w:hAnsi="宋体" w:eastAsia="宋体"/>
                <w:sz w:val="16"/>
              </w:rPr>
              <w:t>359.68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6A79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58BC4">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13102">
            <w:pPr>
              <w:jc w:val="center"/>
            </w:pPr>
            <w:r>
              <w:rPr>
                <w:rFonts w:ascii="宋体" w:hAnsi="宋体" w:eastAsia="宋体"/>
                <w:sz w:val="16"/>
              </w:rPr>
              <w:t>10</w:t>
            </w:r>
          </w:p>
        </w:tc>
      </w:tr>
      <w:tr w14:paraId="312FE41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59AA4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FAC73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457B35">
            <w:pPr>
              <w:jc w:val="center"/>
            </w:pPr>
            <w:r>
              <w:rPr>
                <w:rFonts w:ascii="宋体" w:hAnsi="宋体" w:eastAsia="宋体"/>
                <w:sz w:val="16"/>
              </w:rPr>
              <w:t>实际完成情况</w:t>
            </w:r>
          </w:p>
        </w:tc>
      </w:tr>
      <w:tr w14:paraId="6DF0E5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EE7C5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A0897D">
            <w:pPr>
              <w:jc w:val="both"/>
            </w:pPr>
            <w:r>
              <w:rPr>
                <w:rFonts w:ascii="宋体" w:hAnsi="宋体" w:eastAsia="宋体"/>
                <w:sz w:val="16"/>
              </w:rPr>
              <w:t>目标1：保障本单位的在职人员的基本支出，保证单位基本业务的正常开展。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目标2：负责全县互联网信息内容管理，统筹协调组织互联网宣传管理和舆论引导工作，统筹协调全县网络安全保障体系建设和可信体系建设。组织走访企业网站4次，“网络安全宣传周”海报、宣传4次。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目标3：保障网信办日常工作运行正常，进一步推进网信办各项工作有序开展，做好属地负面信息监测，确保属地网络安全可控，提高工作效率。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目标4：提高全民广泛参与网络安全宣传教育活动，提升社会面网络安全意识和防护技能，确保属地网络绝对安全。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9DCAAF">
            <w:pPr>
              <w:jc w:val="both"/>
            </w:pPr>
            <w:r>
              <w:rPr>
                <w:rFonts w:ascii="宋体" w:hAnsi="宋体" w:eastAsia="宋体"/>
                <w:sz w:val="16"/>
              </w:rPr>
              <w:t>完成开展365次网上评论工作开展互联网宣传工作，12次关键信息基础设施检查，网络信息举报量9000条，24次互联网党建工作，网络宣传准确率达100%、网络评论质量达标率95%。加强网络管控，做好网信安全工作。保障单位能够协调组织互联网宣传管理和舆论引导工作，维护互联网意识形态安全，组织开展网上评论工作，确保网络运行安全，做到净化网络空间。</w:t>
            </w:r>
          </w:p>
        </w:tc>
      </w:tr>
      <w:tr w14:paraId="60CA8A6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3B49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AE9FF">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4920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41B83">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8AD9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F7D0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26A57">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E1528">
            <w:pPr>
              <w:jc w:val="center"/>
            </w:pPr>
            <w:r>
              <w:rPr>
                <w:rFonts w:ascii="宋体" w:hAnsi="宋体" w:eastAsia="宋体"/>
                <w:sz w:val="16"/>
              </w:rPr>
              <w:t>得分</w:t>
            </w:r>
          </w:p>
        </w:tc>
      </w:tr>
      <w:tr w14:paraId="1227BE4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5150B">
            <w:pPr>
              <w:jc w:val="center"/>
            </w:pPr>
            <w:r>
              <w:rPr>
                <w:rFonts w:ascii="宋体" w:hAnsi="宋体" w:eastAsia="宋体"/>
                <w:sz w:val="16"/>
              </w:rPr>
              <w:t>运行成本</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21D5D">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2AAB0">
            <w:pPr>
              <w:jc w:val="center"/>
            </w:pPr>
            <w:r>
              <w:rPr>
                <w:rFonts w:hint="eastAsia" w:ascii="宋体" w:hAnsi="宋体"/>
                <w:sz w:val="16"/>
                <w:lang w:eastAsia="zh-CN"/>
              </w:rPr>
              <w:t>“三公”经费</w:t>
            </w:r>
            <w:r>
              <w:rPr>
                <w:rFonts w:ascii="宋体" w:hAnsi="宋体" w:eastAsia="宋体"/>
                <w:sz w:val="16"/>
              </w:rPr>
              <w:t>控制率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43D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CD4C6">
            <w:pPr>
              <w:jc w:val="center"/>
            </w:pPr>
            <w:bookmarkStart w:id="0" w:name="_GoBack"/>
            <w:r>
              <w:rPr>
                <w:rFonts w:ascii="宋体" w:hAnsi="宋体" w:eastAsia="宋体"/>
                <w:sz w:val="16"/>
              </w:rPr>
              <w:t>中央</w:t>
            </w:r>
            <w:bookmarkEnd w:id="0"/>
            <w:r>
              <w:rPr>
                <w:rFonts w:ascii="宋体" w:hAnsi="宋体" w:eastAsia="宋体"/>
                <w:sz w:val="16"/>
              </w:rPr>
              <w:t>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D3F5E">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37D9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B9B49">
            <w:pPr>
              <w:jc w:val="center"/>
            </w:pPr>
            <w:r>
              <w:rPr>
                <w:rFonts w:ascii="宋体" w:hAnsi="宋体" w:eastAsia="宋体"/>
                <w:sz w:val="16"/>
              </w:rPr>
              <w:t>13</w:t>
            </w:r>
          </w:p>
        </w:tc>
      </w:tr>
      <w:tr w14:paraId="59529D7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8BF82">
            <w:pPr>
              <w:jc w:val="center"/>
            </w:pPr>
            <w:r>
              <w:rPr>
                <w:rFonts w:ascii="宋体" w:hAnsi="宋体" w:eastAsia="宋体"/>
                <w:sz w:val="16"/>
              </w:rPr>
              <w:t>履职效能</w:t>
            </w: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AF1E5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08393">
            <w:pPr>
              <w:jc w:val="center"/>
            </w:pPr>
            <w:r>
              <w:rPr>
                <w:rFonts w:ascii="宋体" w:hAnsi="宋体" w:eastAsia="宋体"/>
                <w:sz w:val="16"/>
              </w:rPr>
              <w:t>“网络安全宣传周”海报、宣传次数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802E8">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070B6">
            <w:pPr>
              <w:jc w:val="center"/>
            </w:pPr>
            <w:r>
              <w:rPr>
                <w:rFonts w:ascii="宋体" w:hAnsi="宋体" w:eastAsia="宋体"/>
                <w:sz w:val="16"/>
              </w:rPr>
              <w:t>年度计划（年度考核要求）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79B47">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9E3E8">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D5F7A">
            <w:pPr>
              <w:jc w:val="center"/>
            </w:pPr>
            <w:r>
              <w:rPr>
                <w:rFonts w:ascii="宋体" w:hAnsi="宋体" w:eastAsia="宋体"/>
                <w:sz w:val="16"/>
              </w:rPr>
              <w:t>13</w:t>
            </w:r>
          </w:p>
        </w:tc>
      </w:tr>
      <w:tr w14:paraId="4C4BD5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D427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FEF23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FC46B">
            <w:pPr>
              <w:jc w:val="center"/>
            </w:pPr>
            <w:r>
              <w:rPr>
                <w:rFonts w:ascii="宋体" w:hAnsi="宋体" w:eastAsia="宋体"/>
                <w:sz w:val="16"/>
              </w:rPr>
              <w:t>走访企业网站次数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5BBA2">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04230">
            <w:pPr>
              <w:jc w:val="center"/>
            </w:pPr>
            <w:r>
              <w:rPr>
                <w:rFonts w:ascii="宋体" w:hAnsi="宋体" w:eastAsia="宋体"/>
                <w:sz w:val="16"/>
              </w:rPr>
              <w:t>年度计划（年度考核要求）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CD757">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D29DB">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F0C49">
            <w:pPr>
              <w:jc w:val="center"/>
            </w:pPr>
            <w:r>
              <w:rPr>
                <w:rFonts w:ascii="宋体" w:hAnsi="宋体" w:eastAsia="宋体"/>
                <w:sz w:val="16"/>
              </w:rPr>
              <w:t>13</w:t>
            </w:r>
          </w:p>
        </w:tc>
      </w:tr>
      <w:tr w14:paraId="40F457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BA95B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659C51">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952A8">
            <w:pPr>
              <w:jc w:val="center"/>
            </w:pPr>
            <w:r>
              <w:rPr>
                <w:rFonts w:ascii="宋体" w:hAnsi="宋体" w:eastAsia="宋体"/>
                <w:sz w:val="16"/>
              </w:rPr>
              <w:t>组织网军、网评员培训覆盖率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67C4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F20FE">
            <w:pPr>
              <w:jc w:val="center"/>
            </w:pPr>
            <w:r>
              <w:rPr>
                <w:rFonts w:ascii="宋体" w:hAnsi="宋体" w:eastAsia="宋体"/>
                <w:sz w:val="16"/>
              </w:rPr>
              <w:t>年度计划（年度考核要求）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02C28">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D081C">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489F2">
            <w:pPr>
              <w:jc w:val="center"/>
            </w:pPr>
            <w:r>
              <w:rPr>
                <w:rFonts w:ascii="宋体" w:hAnsi="宋体" w:eastAsia="宋体"/>
                <w:sz w:val="16"/>
              </w:rPr>
              <w:t>13</w:t>
            </w:r>
          </w:p>
        </w:tc>
      </w:tr>
      <w:tr w14:paraId="3C42BB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731E0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15577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DD2B1">
            <w:pPr>
              <w:jc w:val="center"/>
            </w:pPr>
            <w:r>
              <w:rPr>
                <w:rFonts w:ascii="宋体" w:hAnsi="宋体" w:eastAsia="宋体"/>
                <w:sz w:val="16"/>
              </w:rPr>
              <w:t>网络信息举报处置率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DAFA4">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BD16F">
            <w:pPr>
              <w:jc w:val="center"/>
            </w:pPr>
            <w:r>
              <w:rPr>
                <w:rFonts w:ascii="宋体" w:hAnsi="宋体" w:eastAsia="宋体"/>
                <w:sz w:val="16"/>
              </w:rPr>
              <w:t>年度计划（年度考核要求）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60A6E">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8A539">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39644">
            <w:pPr>
              <w:jc w:val="center"/>
            </w:pPr>
            <w:r>
              <w:rPr>
                <w:rFonts w:ascii="宋体" w:hAnsi="宋体" w:eastAsia="宋体"/>
                <w:sz w:val="16"/>
              </w:rPr>
              <w:t>13</w:t>
            </w:r>
          </w:p>
        </w:tc>
      </w:tr>
      <w:tr w14:paraId="5EAA54E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61088A">
            <w:pPr>
              <w:jc w:val="center"/>
            </w:pPr>
            <w:r>
              <w:rPr>
                <w:rFonts w:ascii="宋体" w:hAnsi="宋体" w:eastAsia="宋体"/>
                <w:sz w:val="16"/>
              </w:rPr>
              <w:t>社会效益</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BD126A">
            <w:pPr>
              <w:jc w:val="center"/>
            </w:pPr>
            <w:r>
              <w:rPr>
                <w:rFonts w:ascii="宋体" w:hAnsi="宋体" w:eastAsia="宋体"/>
                <w:sz w:val="16"/>
              </w:rPr>
              <w:t>效益指标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66762">
            <w:pPr>
              <w:jc w:val="center"/>
            </w:pPr>
            <w:r>
              <w:rPr>
                <w:rFonts w:ascii="宋体" w:hAnsi="宋体" w:eastAsia="宋体"/>
                <w:sz w:val="16"/>
              </w:rPr>
              <w:t>提高网络安全普法宣传力度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7CAC2">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AA3CB">
            <w:pPr>
              <w:jc w:val="center"/>
            </w:pPr>
            <w:r>
              <w:rPr>
                <w:rFonts w:ascii="宋体" w:hAnsi="宋体" w:eastAsia="宋体"/>
                <w:sz w:val="16"/>
              </w:rPr>
              <w:t>年度计划（年度考核要求）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3066C">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7A97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DB64E">
            <w:pPr>
              <w:jc w:val="center"/>
            </w:pPr>
            <w:r>
              <w:rPr>
                <w:rFonts w:ascii="宋体" w:hAnsi="宋体" w:eastAsia="宋体"/>
                <w:sz w:val="16"/>
              </w:rPr>
              <w:t>13</w:t>
            </w:r>
          </w:p>
        </w:tc>
      </w:tr>
      <w:tr w14:paraId="617E86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4CE7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18EB3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A57F8">
            <w:pPr>
              <w:jc w:val="center"/>
            </w:pPr>
            <w:r>
              <w:rPr>
                <w:rFonts w:ascii="宋体" w:hAnsi="宋体" w:eastAsia="宋体"/>
                <w:sz w:val="16"/>
              </w:rPr>
              <w:t>提高全民广泛参与网络安全宣传教育活动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BE3B3">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5470E">
            <w:pPr>
              <w:jc w:val="center"/>
            </w:pPr>
            <w:r>
              <w:rPr>
                <w:rFonts w:ascii="宋体" w:hAnsi="宋体" w:eastAsia="宋体"/>
                <w:sz w:val="16"/>
              </w:rPr>
              <w:t>年度计划（年度考核要求）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390AC">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4CCD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E91C2">
            <w:pPr>
              <w:jc w:val="center"/>
            </w:pPr>
            <w:r>
              <w:rPr>
                <w:rFonts w:ascii="宋体" w:hAnsi="宋体" w:eastAsia="宋体"/>
                <w:sz w:val="16"/>
              </w:rPr>
              <w:t>12</w:t>
            </w:r>
          </w:p>
        </w:tc>
      </w:tr>
    </w:tbl>
    <w:p w14:paraId="39B8D2D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8561EC7">
        <w:tblPrEx>
          <w:tblCellMar>
            <w:top w:w="0" w:type="dxa"/>
            <w:left w:w="108" w:type="dxa"/>
            <w:bottom w:w="0" w:type="dxa"/>
            <w:right w:w="108" w:type="dxa"/>
          </w:tblCellMar>
        </w:tblPrEx>
        <w:tc>
          <w:tcPr>
            <w:tcW w:w="8847" w:type="dxa"/>
            <w:gridSpan w:val="9"/>
            <w:vAlign w:val="center"/>
          </w:tcPr>
          <w:p w14:paraId="2485D792">
            <w:pPr>
              <w:jc w:val="center"/>
            </w:pPr>
            <w:r>
              <w:rPr>
                <w:rFonts w:ascii="宋体" w:hAnsi="宋体" w:eastAsia="宋体"/>
                <w:sz w:val="24"/>
              </w:rPr>
              <w:t>项目支出绩效自评表</w:t>
            </w:r>
          </w:p>
        </w:tc>
      </w:tr>
      <w:tr w14:paraId="33078181">
        <w:tblPrEx>
          <w:tblCellMar>
            <w:top w:w="0" w:type="dxa"/>
            <w:left w:w="108" w:type="dxa"/>
            <w:bottom w:w="0" w:type="dxa"/>
            <w:right w:w="108" w:type="dxa"/>
          </w:tblCellMar>
        </w:tblPrEx>
        <w:tc>
          <w:tcPr>
            <w:tcW w:w="8847" w:type="dxa"/>
            <w:gridSpan w:val="9"/>
            <w:vAlign w:val="center"/>
          </w:tcPr>
          <w:p w14:paraId="3D0ADE21">
            <w:pPr>
              <w:jc w:val="center"/>
            </w:pPr>
            <w:r>
              <w:rPr>
                <w:rFonts w:ascii="宋体" w:hAnsi="宋体" w:eastAsia="宋体"/>
                <w:sz w:val="24"/>
              </w:rPr>
              <w:t>(2024年度)</w:t>
            </w:r>
          </w:p>
        </w:tc>
      </w:tr>
      <w:tr w14:paraId="3223484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E5D4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9E33ADA">
            <w:pPr>
              <w:jc w:val="center"/>
            </w:pPr>
            <w:r>
              <w:rPr>
                <w:rFonts w:ascii="宋体" w:hAnsi="宋体" w:eastAsia="宋体"/>
                <w:sz w:val="16"/>
              </w:rPr>
              <w:t>2024年网信办互联网网络链路租费</w:t>
            </w:r>
          </w:p>
        </w:tc>
      </w:tr>
      <w:tr w14:paraId="660E7F1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71D5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979409">
            <w:pPr>
              <w:jc w:val="center"/>
            </w:pPr>
            <w:r>
              <w:rPr>
                <w:rFonts w:ascii="宋体" w:hAnsi="宋体" w:eastAsia="宋体"/>
                <w:sz w:val="16"/>
              </w:rPr>
              <w:t>中共民丰县委网络安全和信息化工作委员会办公室</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A062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7958F3">
            <w:pPr>
              <w:jc w:val="center"/>
            </w:pPr>
            <w:r>
              <w:rPr>
                <w:rFonts w:ascii="宋体" w:hAnsi="宋体" w:eastAsia="宋体"/>
                <w:sz w:val="16"/>
              </w:rPr>
              <w:t>中共民丰县委员会网络安全和信息化委员会办公室</w:t>
            </w:r>
          </w:p>
        </w:tc>
      </w:tr>
      <w:tr w14:paraId="19AF6DC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BEA65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888D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8E39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2320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2584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7E5A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9973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AD933">
            <w:pPr>
              <w:jc w:val="center"/>
            </w:pPr>
            <w:r>
              <w:rPr>
                <w:rFonts w:ascii="宋体" w:hAnsi="宋体" w:eastAsia="宋体"/>
                <w:sz w:val="16"/>
              </w:rPr>
              <w:t>得分</w:t>
            </w:r>
          </w:p>
        </w:tc>
      </w:tr>
      <w:tr w14:paraId="38AC0E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8E97D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27C9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5A3B7">
            <w:pPr>
              <w:jc w:val="center"/>
            </w:pPr>
            <w:r>
              <w:rPr>
                <w:rFonts w:ascii="宋体" w:hAnsi="宋体" w:eastAsia="宋体"/>
                <w:sz w:val="16"/>
              </w:rPr>
              <w:t>2.10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B2594">
            <w:pPr>
              <w:jc w:val="center"/>
            </w:pPr>
            <w:r>
              <w:rPr>
                <w:rFonts w:ascii="宋体" w:hAnsi="宋体" w:eastAsia="宋体"/>
                <w:sz w:val="16"/>
              </w:rPr>
              <w:t>2.10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F74E7">
            <w:pPr>
              <w:jc w:val="center"/>
            </w:pPr>
            <w:r>
              <w:rPr>
                <w:rFonts w:ascii="宋体" w:hAnsi="宋体" w:eastAsia="宋体"/>
                <w:sz w:val="16"/>
              </w:rPr>
              <w:t>2.08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CC0A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CD198">
            <w:pPr>
              <w:jc w:val="center"/>
            </w:pPr>
            <w:r>
              <w:rPr>
                <w:rFonts w:ascii="宋体" w:hAnsi="宋体" w:eastAsia="宋体"/>
                <w:sz w:val="16"/>
              </w:rPr>
              <w:t xml:space="preserve">99.05%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9DAB7">
            <w:pPr>
              <w:jc w:val="center"/>
            </w:pPr>
            <w:r>
              <w:rPr>
                <w:rFonts w:ascii="宋体" w:hAnsi="宋体" w:eastAsia="宋体"/>
                <w:sz w:val="16"/>
              </w:rPr>
              <w:t>10.00分</w:t>
            </w:r>
          </w:p>
        </w:tc>
      </w:tr>
      <w:tr w14:paraId="4342D2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2BB37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3D99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104C2">
            <w:pPr>
              <w:jc w:val="center"/>
            </w:pPr>
            <w:r>
              <w:rPr>
                <w:rFonts w:ascii="宋体" w:hAnsi="宋体" w:eastAsia="宋体"/>
                <w:sz w:val="16"/>
              </w:rPr>
              <w:t>2.10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91BAB">
            <w:pPr>
              <w:jc w:val="center"/>
            </w:pPr>
            <w:r>
              <w:rPr>
                <w:rFonts w:ascii="宋体" w:hAnsi="宋体" w:eastAsia="宋体"/>
                <w:sz w:val="16"/>
              </w:rPr>
              <w:t>2.10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24261">
            <w:pPr>
              <w:jc w:val="center"/>
            </w:pPr>
            <w:r>
              <w:rPr>
                <w:rFonts w:ascii="宋体" w:hAnsi="宋体" w:eastAsia="宋体"/>
                <w:sz w:val="16"/>
              </w:rPr>
              <w:t>2.08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3DF6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4F81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12106">
            <w:pPr>
              <w:jc w:val="center"/>
            </w:pPr>
            <w:r>
              <w:rPr>
                <w:rFonts w:ascii="宋体" w:hAnsi="宋体" w:eastAsia="宋体"/>
                <w:sz w:val="16"/>
              </w:rPr>
              <w:t>—</w:t>
            </w:r>
          </w:p>
        </w:tc>
      </w:tr>
      <w:tr w14:paraId="7F4737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D8C9F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21D7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9382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3F1C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E751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D355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84E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57ECB">
            <w:pPr>
              <w:jc w:val="center"/>
            </w:pPr>
            <w:r>
              <w:rPr>
                <w:rFonts w:ascii="宋体" w:hAnsi="宋体" w:eastAsia="宋体"/>
                <w:sz w:val="16"/>
              </w:rPr>
              <w:t>—</w:t>
            </w:r>
          </w:p>
        </w:tc>
      </w:tr>
      <w:tr w14:paraId="62F8A1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BDDB6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62A4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13B9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E274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11F2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589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EA00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65DEB">
            <w:pPr>
              <w:jc w:val="center"/>
            </w:pPr>
            <w:r>
              <w:rPr>
                <w:rFonts w:ascii="宋体" w:hAnsi="宋体" w:eastAsia="宋体"/>
                <w:sz w:val="16"/>
              </w:rPr>
              <w:t>—</w:t>
            </w:r>
          </w:p>
        </w:tc>
      </w:tr>
      <w:tr w14:paraId="0C6BD3B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E3675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51BDC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F32059">
            <w:pPr>
              <w:jc w:val="center"/>
            </w:pPr>
            <w:r>
              <w:rPr>
                <w:rFonts w:ascii="宋体" w:hAnsi="宋体" w:eastAsia="宋体"/>
                <w:sz w:val="16"/>
              </w:rPr>
              <w:t>实际完成情况</w:t>
            </w:r>
          </w:p>
        </w:tc>
      </w:tr>
      <w:tr w14:paraId="44025D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1C1DB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7A8564">
            <w:pPr>
              <w:jc w:val="both"/>
            </w:pPr>
            <w:r>
              <w:rPr>
                <w:rFonts w:ascii="宋体" w:hAnsi="宋体" w:eastAsia="宋体"/>
                <w:sz w:val="16"/>
              </w:rPr>
              <w:t>本项目总投资2.1万元，主要用于支付2024年全年互联网网络专项费用，在30分钟之内及时发现上报网络舆情，保障互联网网络安全。通过项目实施，做好网络舆情监测、搜集、研判和信息报送等工作的同时做好网上正能传播，使网络正能量的文化内涵不至于失去时代感和亲近感，从而提高全县网民网络安全意识，引导全县网民依法上网、文明上网。</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D51788">
            <w:pPr>
              <w:jc w:val="both"/>
            </w:pPr>
            <w:r>
              <w:rPr>
                <w:rFonts w:ascii="宋体" w:hAnsi="宋体" w:eastAsia="宋体"/>
                <w:sz w:val="16"/>
              </w:rPr>
              <w:t>截至目前，该项目已完成开展培训次数4次，917视频专线服务期限1年。通过项目实施，网络安全事件发生率较上年较低，提高内保、安防工作。</w:t>
            </w:r>
          </w:p>
        </w:tc>
      </w:tr>
      <w:tr w14:paraId="216DD88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A7DD5A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0EC6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E5F5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CCFE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37AD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18D1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BCDB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7E28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A604B">
            <w:pPr>
              <w:jc w:val="center"/>
            </w:pPr>
            <w:r>
              <w:rPr>
                <w:rFonts w:ascii="宋体" w:hAnsi="宋体" w:eastAsia="宋体"/>
                <w:sz w:val="16"/>
              </w:rPr>
              <w:t>偏差原因分析及改进措施</w:t>
            </w:r>
          </w:p>
        </w:tc>
      </w:tr>
      <w:tr w14:paraId="485EBE6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A1FEC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20BD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F49CB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0B012">
            <w:pPr>
              <w:jc w:val="center"/>
            </w:pPr>
            <w:r>
              <w:rPr>
                <w:rFonts w:ascii="宋体" w:hAnsi="宋体" w:eastAsia="宋体"/>
                <w:sz w:val="16"/>
              </w:rPr>
              <w:t>开展互联网网络安全培训次数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6BF0D">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3619E">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0B68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4806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D7921">
            <w:pPr>
              <w:jc w:val="center"/>
            </w:pPr>
          </w:p>
        </w:tc>
      </w:tr>
      <w:tr w14:paraId="69B30A30">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E6C5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D8CC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B0C0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8D9AB">
            <w:pPr>
              <w:jc w:val="center"/>
            </w:pPr>
            <w:r>
              <w:rPr>
                <w:rFonts w:ascii="宋体" w:hAnsi="宋体" w:eastAsia="宋体"/>
                <w:sz w:val="16"/>
              </w:rPr>
              <w:t>服务期限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05D18">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8FD72">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2CD2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44C6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6F8E9">
            <w:pPr>
              <w:jc w:val="center"/>
            </w:pPr>
          </w:p>
        </w:tc>
      </w:tr>
      <w:tr w14:paraId="4B134D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96AA1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2D37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6FA4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46C8A">
            <w:pPr>
              <w:jc w:val="center"/>
            </w:pPr>
            <w:r>
              <w:rPr>
                <w:rFonts w:ascii="宋体" w:hAnsi="宋体" w:eastAsia="宋体"/>
                <w:sz w:val="16"/>
              </w:rPr>
              <w:t>互联网网络专线使用安全率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44A5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9B45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F22C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386D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49B4A">
            <w:pPr>
              <w:jc w:val="center"/>
            </w:pPr>
          </w:p>
        </w:tc>
      </w:tr>
      <w:tr w14:paraId="3AE2E4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321F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A9687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1D906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D6473">
            <w:pPr>
              <w:jc w:val="center"/>
            </w:pPr>
            <w:r>
              <w:rPr>
                <w:rFonts w:ascii="宋体" w:hAnsi="宋体" w:eastAsia="宋体"/>
                <w:sz w:val="16"/>
              </w:rPr>
              <w:t>互联网网络运行维修响应时间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9B39D">
            <w:pPr>
              <w:jc w:val="center"/>
            </w:pPr>
            <w:r>
              <w:rPr>
                <w:rFonts w:ascii="宋体" w:hAnsi="宋体" w:eastAsia="宋体"/>
                <w:sz w:val="16"/>
              </w:rPr>
              <w:t>&lt;=30分钟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B1B97">
            <w:pPr>
              <w:jc w:val="center"/>
            </w:pPr>
            <w:r>
              <w:rPr>
                <w:rFonts w:ascii="宋体" w:hAnsi="宋体" w:eastAsia="宋体"/>
                <w:sz w:val="16"/>
              </w:rPr>
              <w:t>=30分钟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9DCB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EA52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1E2B9">
            <w:pPr>
              <w:jc w:val="center"/>
            </w:pPr>
          </w:p>
        </w:tc>
      </w:tr>
      <w:tr w14:paraId="413131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92B60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39E0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AE44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CB005">
            <w:pPr>
              <w:jc w:val="center"/>
            </w:pPr>
            <w:r>
              <w:rPr>
                <w:rFonts w:ascii="宋体" w:hAnsi="宋体" w:eastAsia="宋体"/>
                <w:sz w:val="16"/>
              </w:rPr>
              <w:t>报送网络舆情时间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6D13B">
            <w:pPr>
              <w:jc w:val="center"/>
            </w:pPr>
            <w:r>
              <w:rPr>
                <w:rFonts w:ascii="宋体" w:hAnsi="宋体" w:eastAsia="宋体"/>
                <w:sz w:val="16"/>
              </w:rPr>
              <w:t>&lt;=30分钟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E3193">
            <w:pPr>
              <w:jc w:val="center"/>
            </w:pPr>
            <w:r>
              <w:rPr>
                <w:rFonts w:ascii="宋体" w:hAnsi="宋体" w:eastAsia="宋体"/>
                <w:sz w:val="16"/>
              </w:rPr>
              <w:t>=30分钟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DCFA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806D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E4AF7">
            <w:pPr>
              <w:jc w:val="center"/>
            </w:pPr>
          </w:p>
        </w:tc>
      </w:tr>
      <w:tr w14:paraId="070C31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BE230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746D62">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137660">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8DAB6">
            <w:pPr>
              <w:jc w:val="center"/>
            </w:pPr>
            <w:r>
              <w:rPr>
                <w:rFonts w:ascii="宋体" w:hAnsi="宋体" w:eastAsia="宋体"/>
                <w:sz w:val="16"/>
              </w:rPr>
              <w:t>互联网专线网络服务费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EC20C">
            <w:pPr>
              <w:jc w:val="center"/>
            </w:pPr>
            <w:r>
              <w:rPr>
                <w:rFonts w:ascii="宋体" w:hAnsi="宋体" w:eastAsia="宋体"/>
                <w:sz w:val="16"/>
              </w:rPr>
              <w:t>&lt;=9000元/年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900F8">
            <w:pPr>
              <w:jc w:val="center"/>
            </w:pPr>
            <w:r>
              <w:rPr>
                <w:rFonts w:ascii="宋体" w:hAnsi="宋体" w:eastAsia="宋体"/>
                <w:sz w:val="16"/>
              </w:rPr>
              <w:t>=9000元/年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45A2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44A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DF03D">
            <w:pPr>
              <w:jc w:val="center"/>
            </w:pPr>
          </w:p>
        </w:tc>
      </w:tr>
      <w:tr w14:paraId="21618A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8A91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CD97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EC28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E9232">
            <w:pPr>
              <w:jc w:val="center"/>
            </w:pPr>
            <w:r>
              <w:rPr>
                <w:rFonts w:ascii="宋体" w:hAnsi="宋体" w:eastAsia="宋体"/>
                <w:sz w:val="16"/>
              </w:rPr>
              <w:t>办理工作卡费用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7943F">
            <w:pPr>
              <w:jc w:val="center"/>
            </w:pPr>
            <w:r>
              <w:rPr>
                <w:rFonts w:ascii="宋体" w:hAnsi="宋体" w:eastAsia="宋体"/>
                <w:sz w:val="16"/>
              </w:rPr>
              <w:t>&lt;=11760元/年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1C5B2">
            <w:pPr>
              <w:jc w:val="center"/>
            </w:pPr>
            <w:r>
              <w:rPr>
                <w:rFonts w:ascii="宋体" w:hAnsi="宋体" w:eastAsia="宋体"/>
                <w:sz w:val="16"/>
              </w:rPr>
              <w:t>=11760元/年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11D4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7AE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7E2B3">
            <w:pPr>
              <w:jc w:val="center"/>
            </w:pPr>
          </w:p>
        </w:tc>
      </w:tr>
      <w:tr w14:paraId="684DD4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F11A2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57292">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74386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E8484">
            <w:pPr>
              <w:jc w:val="center"/>
            </w:pPr>
            <w:r>
              <w:rPr>
                <w:rFonts w:ascii="宋体" w:hAnsi="宋体" w:eastAsia="宋体"/>
                <w:sz w:val="16"/>
              </w:rPr>
              <w:t>网络安全事件发生率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15211">
            <w:pPr>
              <w:jc w:val="center"/>
            </w:pPr>
            <w:r>
              <w:rPr>
                <w:rFonts w:ascii="宋体" w:hAnsi="宋体" w:eastAsia="宋体"/>
                <w:sz w:val="16"/>
              </w:rPr>
              <w:t>较上年较低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5CCF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9828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3E0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E6778">
            <w:pPr>
              <w:jc w:val="center"/>
            </w:pPr>
          </w:p>
        </w:tc>
      </w:tr>
      <w:tr w14:paraId="21050C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6689B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98E5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C9B5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9884D">
            <w:pPr>
              <w:jc w:val="center"/>
            </w:pPr>
            <w:r>
              <w:rPr>
                <w:rFonts w:ascii="宋体" w:hAnsi="宋体" w:eastAsia="宋体"/>
                <w:sz w:val="16"/>
              </w:rPr>
              <w:t>提高全县网民网络安全意识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0AE5F">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3C8F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B3EB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009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2A8F0">
            <w:pPr>
              <w:jc w:val="center"/>
            </w:pPr>
          </w:p>
        </w:tc>
      </w:tr>
      <w:tr w14:paraId="1F13BD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F7D3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30F5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B182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F02A7">
            <w:pPr>
              <w:jc w:val="center"/>
            </w:pPr>
            <w:r>
              <w:rPr>
                <w:rFonts w:ascii="宋体" w:hAnsi="宋体" w:eastAsia="宋体"/>
                <w:sz w:val="16"/>
              </w:rPr>
              <w:t>受益单位满意度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FC8A3">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8094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4C41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3FCD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CDE25">
            <w:pPr>
              <w:jc w:val="center"/>
            </w:pPr>
          </w:p>
        </w:tc>
      </w:tr>
      <w:tr w14:paraId="330387E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FCA18B">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997B9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C1FB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335C2">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ED060C8"/>
        </w:tc>
      </w:tr>
    </w:tbl>
    <w:p w14:paraId="05AEFE00">
      <w:r>
        <w:br w:type="page"/>
      </w:r>
    </w:p>
    <w:p w14:paraId="1F678343">
      <w:pPr>
        <w:spacing w:line="640" w:lineRule="exact"/>
        <w:ind w:firstLine="640"/>
        <w:jc w:val="both"/>
        <w:outlineLvl w:val="2"/>
      </w:pPr>
      <w:r>
        <w:rPr>
          <w:rFonts w:ascii="黑体" w:hAnsi="黑体" w:eastAsia="黑体"/>
          <w:sz w:val="32"/>
        </w:rPr>
        <w:t>十二、其他需说明的事项</w:t>
      </w:r>
    </w:p>
    <w:p w14:paraId="569A84E8">
      <w:pPr>
        <w:spacing w:line="580" w:lineRule="exact"/>
        <w:ind w:firstLine="640"/>
        <w:jc w:val="both"/>
      </w:pPr>
      <w:r>
        <w:rPr>
          <w:rFonts w:ascii="仿宋_GB2312" w:hAnsi="仿宋_GB2312" w:eastAsia="仿宋_GB2312"/>
          <w:b w:val="0"/>
          <w:sz w:val="32"/>
        </w:rPr>
        <w:t>本单位无其他需说明的事项。</w:t>
      </w:r>
    </w:p>
    <w:p w14:paraId="7ADFE3B7">
      <w:r>
        <w:br w:type="page"/>
      </w:r>
    </w:p>
    <w:p w14:paraId="323514BE">
      <w:pPr>
        <w:spacing w:line="240" w:lineRule="auto"/>
        <w:jc w:val="center"/>
        <w:outlineLvl w:val="1"/>
      </w:pPr>
      <w:r>
        <w:rPr>
          <w:rFonts w:ascii="黑体" w:hAnsi="黑体" w:eastAsia="黑体"/>
          <w:sz w:val="32"/>
        </w:rPr>
        <w:t>第三部分 专业名词解释</w:t>
      </w:r>
    </w:p>
    <w:p w14:paraId="3DDEE0F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6FEF8C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A01A9E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16335E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668E24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F8773F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5124D4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A94E5D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1ED779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06079C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29BEBA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7A4AC1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E7BCCF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443140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3C4361D">
      <w:r>
        <w:br w:type="page"/>
      </w:r>
    </w:p>
    <w:p w14:paraId="0DEF9F0A">
      <w:pPr>
        <w:spacing w:line="240" w:lineRule="auto"/>
        <w:jc w:val="center"/>
        <w:outlineLvl w:val="1"/>
      </w:pPr>
      <w:r>
        <w:rPr>
          <w:rFonts w:ascii="黑体" w:hAnsi="黑体" w:eastAsia="黑体"/>
          <w:sz w:val="32"/>
        </w:rPr>
        <w:t>第四部分 部门决算报表（见附表）</w:t>
      </w:r>
    </w:p>
    <w:p w14:paraId="70C518F3">
      <w:pPr>
        <w:spacing w:line="240" w:lineRule="auto"/>
        <w:ind w:firstLine="640"/>
        <w:jc w:val="both"/>
      </w:pPr>
      <w:r>
        <w:rPr>
          <w:rFonts w:ascii="仿宋_GB2312" w:hAnsi="仿宋_GB2312" w:eastAsia="仿宋_GB2312"/>
          <w:b w:val="0"/>
          <w:sz w:val="32"/>
        </w:rPr>
        <w:t>一、《收入支出决算总表》</w:t>
      </w:r>
    </w:p>
    <w:p w14:paraId="5B4BEA35">
      <w:pPr>
        <w:spacing w:line="240" w:lineRule="auto"/>
        <w:ind w:firstLine="640"/>
        <w:jc w:val="both"/>
      </w:pPr>
      <w:r>
        <w:rPr>
          <w:rFonts w:ascii="仿宋_GB2312" w:hAnsi="仿宋_GB2312" w:eastAsia="仿宋_GB2312"/>
          <w:b w:val="0"/>
          <w:sz w:val="32"/>
        </w:rPr>
        <w:t>二、《收入决算表》</w:t>
      </w:r>
    </w:p>
    <w:p w14:paraId="3413D900">
      <w:pPr>
        <w:spacing w:line="240" w:lineRule="auto"/>
        <w:ind w:firstLine="640"/>
        <w:jc w:val="both"/>
      </w:pPr>
      <w:r>
        <w:rPr>
          <w:rFonts w:ascii="仿宋_GB2312" w:hAnsi="仿宋_GB2312" w:eastAsia="仿宋_GB2312"/>
          <w:b w:val="0"/>
          <w:sz w:val="32"/>
        </w:rPr>
        <w:t>三、《支出决算表》</w:t>
      </w:r>
    </w:p>
    <w:p w14:paraId="1410A0EC">
      <w:pPr>
        <w:spacing w:line="240" w:lineRule="auto"/>
        <w:ind w:firstLine="640"/>
        <w:jc w:val="both"/>
      </w:pPr>
      <w:r>
        <w:rPr>
          <w:rFonts w:ascii="仿宋_GB2312" w:hAnsi="仿宋_GB2312" w:eastAsia="仿宋_GB2312"/>
          <w:b w:val="0"/>
          <w:sz w:val="32"/>
        </w:rPr>
        <w:t>四、《财政拨款收入支出决算总表》</w:t>
      </w:r>
    </w:p>
    <w:p w14:paraId="6ECD9DE5">
      <w:pPr>
        <w:spacing w:line="240" w:lineRule="auto"/>
        <w:ind w:firstLine="640"/>
        <w:jc w:val="both"/>
      </w:pPr>
      <w:r>
        <w:rPr>
          <w:rFonts w:ascii="仿宋_GB2312" w:hAnsi="仿宋_GB2312" w:eastAsia="仿宋_GB2312"/>
          <w:b w:val="0"/>
          <w:sz w:val="32"/>
        </w:rPr>
        <w:t>五、《一般公共预算财政拨款支出决算表》</w:t>
      </w:r>
    </w:p>
    <w:p w14:paraId="76C83041">
      <w:pPr>
        <w:spacing w:line="240" w:lineRule="auto"/>
        <w:ind w:firstLine="640"/>
        <w:jc w:val="both"/>
      </w:pPr>
      <w:r>
        <w:rPr>
          <w:rFonts w:ascii="仿宋_GB2312" w:hAnsi="仿宋_GB2312" w:eastAsia="仿宋_GB2312"/>
          <w:b w:val="0"/>
          <w:sz w:val="32"/>
        </w:rPr>
        <w:t>六、《一般公共预算财政拨款基本支出决算表》</w:t>
      </w:r>
    </w:p>
    <w:p w14:paraId="3F1BE277">
      <w:pPr>
        <w:spacing w:line="240" w:lineRule="auto"/>
        <w:ind w:firstLine="640"/>
        <w:jc w:val="both"/>
      </w:pPr>
      <w:r>
        <w:rPr>
          <w:rFonts w:ascii="仿宋_GB2312" w:hAnsi="仿宋_GB2312" w:eastAsia="仿宋_GB2312"/>
          <w:b w:val="0"/>
          <w:sz w:val="32"/>
        </w:rPr>
        <w:t>七、《政府性基金预算财政拨款收入支出决算表》</w:t>
      </w:r>
    </w:p>
    <w:p w14:paraId="7649AE76">
      <w:pPr>
        <w:spacing w:line="240" w:lineRule="auto"/>
        <w:ind w:firstLine="640"/>
        <w:jc w:val="both"/>
      </w:pPr>
      <w:r>
        <w:rPr>
          <w:rFonts w:ascii="仿宋_GB2312" w:hAnsi="仿宋_GB2312" w:eastAsia="仿宋_GB2312"/>
          <w:b w:val="0"/>
          <w:sz w:val="32"/>
        </w:rPr>
        <w:t>八、《国有资本经营预算财政拨款收入支出决算表》</w:t>
      </w:r>
    </w:p>
    <w:p w14:paraId="301C67A8">
      <w:pPr>
        <w:spacing w:line="240" w:lineRule="auto"/>
        <w:ind w:firstLine="640"/>
        <w:jc w:val="both"/>
      </w:pPr>
      <w:r>
        <w:rPr>
          <w:rFonts w:ascii="仿宋_GB2312" w:hAnsi="仿宋_GB2312" w:eastAsia="仿宋_GB2312"/>
          <w:b w:val="0"/>
          <w:sz w:val="32"/>
        </w:rPr>
        <w:t>九、《财政拨款“三公”经费支出决算表》</w:t>
      </w:r>
    </w:p>
    <w:p w14:paraId="060062D9">
      <w:pPr>
        <w:spacing w:line="240" w:lineRule="auto"/>
        <w:ind w:firstLine="640"/>
        <w:jc w:val="both"/>
      </w:pPr>
    </w:p>
    <w:p w14:paraId="3B0B6DA2">
      <w:pPr>
        <w:spacing w:line="240" w:lineRule="auto"/>
        <w:ind w:firstLine="640"/>
        <w:jc w:val="both"/>
      </w:pPr>
    </w:p>
    <w:p w14:paraId="067F44B1">
      <w:pPr>
        <w:spacing w:line="240" w:lineRule="auto"/>
        <w:ind w:firstLine="640"/>
        <w:jc w:val="both"/>
      </w:pPr>
    </w:p>
    <w:p w14:paraId="5EE9DFD8">
      <w:pPr>
        <w:spacing w:line="240" w:lineRule="auto"/>
        <w:ind w:firstLine="640"/>
        <w:jc w:val="both"/>
      </w:pPr>
    </w:p>
    <w:p w14:paraId="08BB518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085353"/>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5561</Words>
  <Characters>6312</Characters>
  <Lines>0</Lines>
  <Paragraphs>0</Paragraphs>
  <TotalTime>2</TotalTime>
  <ScaleCrop>false</ScaleCrop>
  <LinksUpToDate>false</LinksUpToDate>
  <CharactersWithSpaces>6320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2025-09-24T11:21:25Z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