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7FC621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中共民丰县委员会社会工作部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9A5DF56">
      <w:r>
        <w:br w:type="page"/>
      </w:r>
    </w:p>
    <w:p w14:paraId="160C66C0">
      <w:pPr>
        <w:spacing w:line="640" w:lineRule="exact"/>
        <w:jc w:val="center"/>
        <w:outlineLvl w:val="1"/>
      </w:pPr>
      <w:r>
        <w:rPr>
          <w:rFonts w:ascii="黑体" w:hAnsi="黑体" w:eastAsia="黑体"/>
          <w:sz w:val="32"/>
        </w:rPr>
        <w:t>第一部分 单位概况</w:t>
      </w:r>
    </w:p>
    <w:p w14:paraId="61AB5D0E">
      <w:pPr>
        <w:spacing w:line="640" w:lineRule="exact"/>
        <w:ind w:firstLine="640"/>
        <w:jc w:val="both"/>
        <w:outlineLvl w:val="2"/>
      </w:pPr>
      <w:r>
        <w:rPr>
          <w:rFonts w:ascii="黑体" w:hAnsi="黑体" w:eastAsia="黑体"/>
          <w:sz w:val="32"/>
        </w:rPr>
        <w:t>一、主要职能</w:t>
      </w:r>
    </w:p>
    <w:p w14:paraId="150CA6A7">
      <w:pPr>
        <w:spacing w:line="580" w:lineRule="exact"/>
        <w:ind w:firstLine="640"/>
        <w:jc w:val="both"/>
      </w:pPr>
      <w:r>
        <w:rPr>
          <w:rFonts w:ascii="仿宋_GB2312" w:hAnsi="仿宋_GB2312" w:eastAsia="仿宋_GB2312"/>
          <w:sz w:val="32"/>
        </w:rPr>
        <w:t>（1）统筹规划与政策制定。贯彻落实上级关于社会工作、基层治理的方针政策，结合本县实际制定相关规划、政策和实施方案；统筹协调全县社会工作发展，明确各部门、乡镇（街道）在社会工作中的职责分工。</w:t>
      </w:r>
    </w:p>
    <w:p w14:paraId="76661AB8">
      <w:pPr>
        <w:spacing w:line="580" w:lineRule="exact"/>
        <w:ind w:firstLine="640"/>
        <w:jc w:val="both"/>
      </w:pPr>
      <w:r>
        <w:rPr>
          <w:rFonts w:ascii="仿宋_GB2312" w:hAnsi="仿宋_GB2312" w:eastAsia="仿宋_GB2312"/>
          <w:sz w:val="32"/>
        </w:rPr>
        <w:t>（2）基层治理协调。协调推进城乡社区治理，指导社区居委会、村委会等基层群众性自治组织建设，提升基层自治能力；参与协调基层矛盾纠纷化解，推动完善基层治理体系，促进基层治理精细化。</w:t>
      </w:r>
    </w:p>
    <w:p w14:paraId="65EBBFA1">
      <w:pPr>
        <w:spacing w:line="580" w:lineRule="exact"/>
        <w:ind w:firstLine="640"/>
        <w:jc w:val="both"/>
      </w:pPr>
      <w:r>
        <w:rPr>
          <w:rFonts w:ascii="仿宋_GB2312" w:hAnsi="仿宋_GB2312" w:eastAsia="仿宋_GB2312"/>
          <w:sz w:val="32"/>
        </w:rPr>
        <w:t>（3）社会工作队伍建设。指导社会工作人才队伍培养、引进和管理，组织开展社会工作者职业培训、资格认证等工作；推动社会工作服务机构发展，规范社会工作服务标准，提升专业服务水平。</w:t>
      </w:r>
    </w:p>
    <w:p w14:paraId="1A4552E7">
      <w:pPr>
        <w:spacing w:line="580" w:lineRule="exact"/>
        <w:ind w:firstLine="640"/>
        <w:jc w:val="both"/>
      </w:pPr>
      <w:r>
        <w:rPr>
          <w:rFonts w:ascii="仿宋_GB2312" w:hAnsi="仿宋_GB2312" w:eastAsia="仿宋_GB2312"/>
          <w:sz w:val="32"/>
        </w:rPr>
        <w:t>（4）志愿服务管理。统筹规划全县志愿服务工作，指导志愿服务组织建设和规范化运作；协调开展重大活动、应急救援等志愿服务，推动志愿服务资源整合和共享。</w:t>
      </w:r>
    </w:p>
    <w:p w14:paraId="06073639">
      <w:pPr>
        <w:spacing w:line="640" w:lineRule="exact"/>
        <w:ind w:firstLine="640"/>
        <w:jc w:val="both"/>
        <w:outlineLvl w:val="2"/>
      </w:pPr>
      <w:r>
        <w:rPr>
          <w:rFonts w:ascii="黑体" w:hAnsi="黑体" w:eastAsia="黑体"/>
          <w:sz w:val="32"/>
        </w:rPr>
        <w:t>二、机构设置及人员情况</w:t>
      </w:r>
    </w:p>
    <w:p w14:paraId="0286C4F4">
      <w:pPr>
        <w:spacing w:line="580" w:lineRule="exact"/>
        <w:ind w:firstLine="640"/>
        <w:jc w:val="both"/>
      </w:pPr>
      <w:r>
        <w:rPr>
          <w:rFonts w:ascii="仿宋_GB2312" w:hAnsi="仿宋_GB2312" w:eastAsia="仿宋_GB2312"/>
          <w:sz w:val="32"/>
        </w:rPr>
        <w:t>中共民丰县委员会社会工作部2024年度，实有人数11人，其中：在职人员10人，增加10人；离休人员0人，增加0人；退休人员1人,增加1人。</w:t>
      </w:r>
    </w:p>
    <w:p w14:paraId="18604740">
      <w:pPr>
        <w:spacing w:line="580" w:lineRule="exact"/>
        <w:ind w:firstLine="640"/>
        <w:jc w:val="both"/>
      </w:pPr>
      <w:r>
        <w:rPr>
          <w:rFonts w:ascii="仿宋_GB2312" w:hAnsi="仿宋_GB2312" w:eastAsia="仿宋_GB2312"/>
          <w:sz w:val="32"/>
        </w:rPr>
        <w:t>中共民丰县委员会社会工作部无下属预算单位，下设5个科室，分别是：综合办公室、财务室、基层治理科室、志愿服务科室、三新科室。</w:t>
      </w:r>
    </w:p>
    <w:p w14:paraId="2A29F88C">
      <w:r>
        <w:br w:type="page"/>
      </w:r>
    </w:p>
    <w:p w14:paraId="3F6E4E9B">
      <w:pPr>
        <w:spacing w:line="240" w:lineRule="auto"/>
        <w:jc w:val="center"/>
        <w:outlineLvl w:val="1"/>
      </w:pPr>
      <w:r>
        <w:rPr>
          <w:rFonts w:ascii="黑体" w:hAnsi="黑体" w:eastAsia="黑体"/>
          <w:sz w:val="32"/>
        </w:rPr>
        <w:t>第二部分 部门决算情况说明</w:t>
      </w:r>
    </w:p>
    <w:p w14:paraId="6342AF0A">
      <w:pPr>
        <w:spacing w:line="640" w:lineRule="exact"/>
        <w:ind w:firstLine="640"/>
        <w:jc w:val="both"/>
        <w:outlineLvl w:val="2"/>
      </w:pPr>
      <w:r>
        <w:rPr>
          <w:rFonts w:ascii="黑体" w:hAnsi="黑体" w:eastAsia="黑体"/>
          <w:sz w:val="32"/>
        </w:rPr>
        <w:t>一、收入支出决算总体情况说明</w:t>
      </w:r>
    </w:p>
    <w:p w14:paraId="0242FC3E">
      <w:pPr>
        <w:spacing w:line="580" w:lineRule="exact"/>
        <w:ind w:firstLine="640"/>
        <w:jc w:val="both"/>
      </w:pPr>
      <w:r>
        <w:rPr>
          <w:rFonts w:ascii="仿宋_GB2312" w:hAnsi="仿宋_GB2312" w:eastAsia="仿宋_GB2312"/>
          <w:b/>
          <w:sz w:val="32"/>
        </w:rPr>
        <w:t>2024年度收入总计116.96万元，</w:t>
      </w:r>
      <w:r>
        <w:rPr>
          <w:rFonts w:ascii="仿宋_GB2312" w:hAnsi="仿宋_GB2312" w:eastAsia="仿宋_GB2312"/>
          <w:b w:val="0"/>
          <w:sz w:val="32"/>
        </w:rPr>
        <w:t>其中：本年收入合计116.96万元，使用非财政拨款结余（含专用结余）0.00万元，年初结转和结余0.00万元。</w:t>
      </w:r>
    </w:p>
    <w:p w14:paraId="7DC54A5B">
      <w:pPr>
        <w:spacing w:line="580" w:lineRule="exact"/>
        <w:ind w:firstLine="640"/>
        <w:jc w:val="both"/>
      </w:pPr>
      <w:r>
        <w:rPr>
          <w:rFonts w:ascii="仿宋_GB2312" w:hAnsi="仿宋_GB2312" w:eastAsia="仿宋_GB2312"/>
          <w:b/>
          <w:sz w:val="32"/>
        </w:rPr>
        <w:t>2024年度支出总计116.96万元，</w:t>
      </w:r>
      <w:r>
        <w:rPr>
          <w:rFonts w:ascii="仿宋_GB2312" w:hAnsi="仿宋_GB2312" w:eastAsia="仿宋_GB2312"/>
          <w:b w:val="0"/>
          <w:sz w:val="32"/>
        </w:rPr>
        <w:t>其中：本年支出合计116.96万元，结余分配0.00万元，年末结转和结余0.00万元。</w:t>
      </w:r>
    </w:p>
    <w:p w14:paraId="2D27D6D9">
      <w:pPr>
        <w:spacing w:line="580" w:lineRule="exact"/>
        <w:ind w:firstLine="640"/>
        <w:jc w:val="both"/>
      </w:pPr>
      <w:r>
        <w:rPr>
          <w:rFonts w:ascii="仿宋_GB2312" w:hAnsi="仿宋_GB2312" w:eastAsia="仿宋_GB2312"/>
          <w:b w:val="0"/>
          <w:sz w:val="32"/>
        </w:rPr>
        <w:t>收入支出总体与上年相比，增加116.96万元，增长100.00%，主要原因是：本单位为2024年新成立单位，无上年对比数。</w:t>
      </w:r>
    </w:p>
    <w:p w14:paraId="6C2BC12F">
      <w:pPr>
        <w:spacing w:line="640" w:lineRule="exact"/>
        <w:ind w:firstLine="640"/>
        <w:jc w:val="both"/>
        <w:outlineLvl w:val="2"/>
      </w:pPr>
      <w:r>
        <w:rPr>
          <w:rFonts w:ascii="黑体" w:hAnsi="黑体" w:eastAsia="黑体"/>
          <w:sz w:val="32"/>
        </w:rPr>
        <w:t>二、收入决算情况说明</w:t>
      </w:r>
    </w:p>
    <w:p w14:paraId="2B7D9FAC">
      <w:pPr>
        <w:spacing w:line="580" w:lineRule="exact"/>
        <w:ind w:firstLine="640"/>
        <w:jc w:val="both"/>
      </w:pPr>
      <w:r>
        <w:rPr>
          <w:rFonts w:ascii="仿宋_GB2312" w:hAnsi="仿宋_GB2312" w:eastAsia="仿宋_GB2312"/>
          <w:b/>
          <w:sz w:val="32"/>
        </w:rPr>
        <w:t>本年收入116.96万元，</w:t>
      </w:r>
      <w:r>
        <w:rPr>
          <w:rFonts w:ascii="仿宋_GB2312" w:hAnsi="仿宋_GB2312" w:eastAsia="仿宋_GB2312"/>
          <w:b w:val="0"/>
          <w:sz w:val="32"/>
        </w:rPr>
        <w:t>其中：财政拨款收入111.24万元，占95.11%；上级补助收入0.00万元，占0.00%；事业收入0.00万元，占0.00%；经营收入0.00万元，占0.00%；附属单位上缴收入0.00万元，占0.00%；其他收入5.72万元，占4.89%。</w:t>
      </w:r>
    </w:p>
    <w:p w14:paraId="18816FC2">
      <w:pPr>
        <w:spacing w:line="640" w:lineRule="exact"/>
        <w:ind w:firstLine="640"/>
        <w:jc w:val="both"/>
        <w:outlineLvl w:val="2"/>
      </w:pPr>
      <w:r>
        <w:rPr>
          <w:rFonts w:ascii="黑体" w:hAnsi="黑体" w:eastAsia="黑体"/>
          <w:sz w:val="32"/>
        </w:rPr>
        <w:t>三、支出决算情况说明</w:t>
      </w:r>
    </w:p>
    <w:p w14:paraId="22678B40">
      <w:pPr>
        <w:spacing w:line="580" w:lineRule="exact"/>
        <w:ind w:firstLine="640"/>
        <w:jc w:val="both"/>
      </w:pPr>
      <w:r>
        <w:rPr>
          <w:rFonts w:ascii="仿宋_GB2312" w:hAnsi="仿宋_GB2312" w:eastAsia="仿宋_GB2312"/>
          <w:b/>
          <w:sz w:val="32"/>
        </w:rPr>
        <w:t>本年支出116.96万元，</w:t>
      </w:r>
      <w:r>
        <w:rPr>
          <w:rFonts w:ascii="仿宋_GB2312" w:hAnsi="仿宋_GB2312" w:eastAsia="仿宋_GB2312"/>
          <w:b w:val="0"/>
          <w:sz w:val="32"/>
        </w:rPr>
        <w:t>其中：基本支出116.96万元，占100.00%；项目支出0.00万元，占0.00%；上缴上级支出0.00万元，占0.00%；经营支出0.00万元，占0.00%；对附属单位补助支出0.00万元，占0.00%。</w:t>
      </w:r>
    </w:p>
    <w:p w14:paraId="78273B56">
      <w:pPr>
        <w:spacing w:line="640" w:lineRule="exact"/>
        <w:ind w:firstLine="640"/>
        <w:jc w:val="both"/>
        <w:outlineLvl w:val="2"/>
      </w:pPr>
      <w:r>
        <w:rPr>
          <w:rFonts w:ascii="黑体" w:hAnsi="黑体" w:eastAsia="黑体"/>
          <w:sz w:val="32"/>
        </w:rPr>
        <w:t>四、财政拨款收入支出决算总体情况说明</w:t>
      </w:r>
    </w:p>
    <w:p w14:paraId="7852073C">
      <w:pPr>
        <w:spacing w:line="580" w:lineRule="exact"/>
        <w:ind w:firstLine="640"/>
        <w:jc w:val="both"/>
      </w:pPr>
      <w:r>
        <w:rPr>
          <w:rFonts w:ascii="仿宋_GB2312" w:hAnsi="仿宋_GB2312" w:eastAsia="仿宋_GB2312"/>
          <w:b/>
          <w:sz w:val="32"/>
        </w:rPr>
        <w:t>2024年度财政拨款收入总计111.24万元，</w:t>
      </w:r>
      <w:r>
        <w:rPr>
          <w:rFonts w:ascii="仿宋_GB2312" w:hAnsi="仿宋_GB2312" w:eastAsia="仿宋_GB2312"/>
          <w:b w:val="0"/>
          <w:sz w:val="32"/>
        </w:rPr>
        <w:t>其中：年初财政拨款结转和结余0.00万元，本年财政拨款收入111.24万元。</w:t>
      </w:r>
      <w:r>
        <w:rPr>
          <w:rFonts w:ascii="仿宋_GB2312" w:hAnsi="仿宋_GB2312" w:eastAsia="仿宋_GB2312"/>
          <w:b/>
          <w:sz w:val="32"/>
        </w:rPr>
        <w:t>财政拨款支出总计111.24万元，</w:t>
      </w:r>
      <w:r>
        <w:rPr>
          <w:rFonts w:ascii="仿宋_GB2312" w:hAnsi="仿宋_GB2312" w:eastAsia="仿宋_GB2312"/>
          <w:b w:val="0"/>
          <w:sz w:val="32"/>
        </w:rPr>
        <w:t>其中：年末财政拨款结转和结余0.00万元，本年财政拨款支出111.24万元。</w:t>
      </w:r>
    </w:p>
    <w:p w14:paraId="78C0795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增加111.24万元，增长100.00%，主要原因是：本单位为2024年新成立单位，无上年对比数。</w:t>
      </w:r>
      <w:r>
        <w:rPr>
          <w:rFonts w:ascii="仿宋_GB2312" w:hAnsi="仿宋_GB2312" w:eastAsia="仿宋_GB2312"/>
          <w:b/>
          <w:sz w:val="32"/>
        </w:rPr>
        <w:t>与年初预算相比，</w:t>
      </w:r>
      <w:r>
        <w:rPr>
          <w:rFonts w:ascii="仿宋_GB2312" w:hAnsi="仿宋_GB2312" w:eastAsia="仿宋_GB2312"/>
          <w:b w:val="0"/>
          <w:sz w:val="32"/>
        </w:rPr>
        <w:t>年初预算数0.00万元，决算数111.24万元，预决算差异率100.00%，主要原因是：本单位为2024年新成立单位，年中追加相关人员经费等，导致预决算存在差异。</w:t>
      </w:r>
    </w:p>
    <w:p w14:paraId="5BC48EC8">
      <w:pPr>
        <w:spacing w:line="640" w:lineRule="exact"/>
        <w:ind w:firstLine="640"/>
        <w:jc w:val="both"/>
        <w:outlineLvl w:val="2"/>
      </w:pPr>
      <w:r>
        <w:rPr>
          <w:rFonts w:ascii="黑体" w:hAnsi="黑体" w:eastAsia="黑体"/>
          <w:sz w:val="32"/>
        </w:rPr>
        <w:t>五、一般公共预算财政拨款支出决算情况说明</w:t>
      </w:r>
    </w:p>
    <w:p w14:paraId="20829622">
      <w:pPr>
        <w:spacing w:line="640" w:lineRule="exact"/>
        <w:ind w:firstLine="640"/>
        <w:jc w:val="both"/>
        <w:outlineLvl w:val="3"/>
      </w:pPr>
      <w:r>
        <w:rPr>
          <w:rFonts w:ascii="楷体_GB2312" w:hAnsi="楷体_GB2312" w:eastAsia="楷体_GB2312"/>
          <w:b/>
          <w:sz w:val="32"/>
        </w:rPr>
        <w:t>（一）一般公共预算财政拨款支出决算总体情况</w:t>
      </w:r>
    </w:p>
    <w:p w14:paraId="4E269708">
      <w:pPr>
        <w:spacing w:line="580" w:lineRule="exact"/>
        <w:ind w:firstLine="640"/>
        <w:jc w:val="both"/>
      </w:pPr>
      <w:r>
        <w:rPr>
          <w:rFonts w:ascii="仿宋_GB2312" w:hAnsi="仿宋_GB2312" w:eastAsia="仿宋_GB2312"/>
          <w:b/>
          <w:sz w:val="32"/>
        </w:rPr>
        <w:t>2024年度一般公共预算财政拨款支出111.24万元，</w:t>
      </w:r>
      <w:r>
        <w:rPr>
          <w:rFonts w:ascii="仿宋_GB2312" w:hAnsi="仿宋_GB2312" w:eastAsia="仿宋_GB2312"/>
          <w:b w:val="0"/>
          <w:sz w:val="32"/>
        </w:rPr>
        <w:t>占本年支出合计的95.11%。</w:t>
      </w:r>
      <w:r>
        <w:rPr>
          <w:rFonts w:ascii="仿宋_GB2312" w:hAnsi="仿宋_GB2312" w:eastAsia="仿宋_GB2312"/>
          <w:b/>
          <w:sz w:val="32"/>
        </w:rPr>
        <w:t>与上年相比，</w:t>
      </w:r>
      <w:r>
        <w:rPr>
          <w:rFonts w:ascii="仿宋_GB2312" w:hAnsi="仿宋_GB2312" w:eastAsia="仿宋_GB2312"/>
          <w:b w:val="0"/>
          <w:sz w:val="32"/>
        </w:rPr>
        <w:t>增加111.24万元，增长100.00%，主要原因是：本单位为2024年新成立单位，无上年对比数。</w:t>
      </w:r>
      <w:r>
        <w:rPr>
          <w:rFonts w:ascii="仿宋_GB2312" w:hAnsi="仿宋_GB2312" w:eastAsia="仿宋_GB2312"/>
          <w:b/>
          <w:sz w:val="32"/>
        </w:rPr>
        <w:t>与年初预算相比,</w:t>
      </w:r>
      <w:r>
        <w:rPr>
          <w:rFonts w:ascii="仿宋_GB2312" w:hAnsi="仿宋_GB2312" w:eastAsia="仿宋_GB2312"/>
          <w:b w:val="0"/>
          <w:sz w:val="32"/>
        </w:rPr>
        <w:t>年初预算数0.00万元，决算数111.24万元，预决算差异率100.00%，主要原因是：本单位为2024年新成立单位，年中追加相关人员经费等，导致预决算存在差异。</w:t>
      </w:r>
    </w:p>
    <w:p w14:paraId="2D0AD92B">
      <w:pPr>
        <w:spacing w:line="640" w:lineRule="exact"/>
        <w:ind w:firstLine="640"/>
        <w:jc w:val="both"/>
        <w:outlineLvl w:val="3"/>
      </w:pPr>
      <w:r>
        <w:rPr>
          <w:rFonts w:ascii="楷体_GB2312" w:hAnsi="楷体_GB2312" w:eastAsia="楷体_GB2312"/>
          <w:b/>
          <w:sz w:val="32"/>
        </w:rPr>
        <w:t>（二）一般公共预算财政拨款支出决算结构情况</w:t>
      </w:r>
    </w:p>
    <w:p w14:paraId="21AD6494">
      <w:pPr>
        <w:spacing w:line="580" w:lineRule="exact"/>
        <w:ind w:firstLine="640"/>
        <w:jc w:val="both"/>
      </w:pPr>
      <w:r>
        <w:rPr>
          <w:rFonts w:ascii="仿宋_GB2312" w:hAnsi="仿宋_GB2312" w:eastAsia="仿宋_GB2312"/>
          <w:b w:val="0"/>
          <w:sz w:val="32"/>
        </w:rPr>
        <w:t>1.一般公共服务支出(类)87.00万元,占78.21%。</w:t>
      </w:r>
    </w:p>
    <w:p w14:paraId="5EF7B817">
      <w:pPr>
        <w:spacing w:line="580" w:lineRule="exact"/>
        <w:ind w:firstLine="640"/>
        <w:jc w:val="both"/>
      </w:pPr>
      <w:r>
        <w:rPr>
          <w:rFonts w:ascii="仿宋_GB2312" w:hAnsi="仿宋_GB2312" w:eastAsia="仿宋_GB2312"/>
          <w:b w:val="0"/>
          <w:sz w:val="32"/>
        </w:rPr>
        <w:t>2.社会保障和就业支出(类)12.40万元,占11.15%。</w:t>
      </w:r>
    </w:p>
    <w:p w14:paraId="722FD062">
      <w:pPr>
        <w:spacing w:line="580" w:lineRule="exact"/>
        <w:ind w:firstLine="640"/>
        <w:jc w:val="both"/>
      </w:pPr>
      <w:r>
        <w:rPr>
          <w:rFonts w:ascii="仿宋_GB2312" w:hAnsi="仿宋_GB2312" w:eastAsia="仿宋_GB2312"/>
          <w:b w:val="0"/>
          <w:sz w:val="32"/>
        </w:rPr>
        <w:t>3.卫生健康支出(类)4.81万元,占4.32%。</w:t>
      </w:r>
    </w:p>
    <w:p w14:paraId="3C5B66E2">
      <w:pPr>
        <w:spacing w:line="580" w:lineRule="exact"/>
        <w:ind w:firstLine="640"/>
        <w:jc w:val="both"/>
      </w:pPr>
      <w:r>
        <w:rPr>
          <w:rFonts w:ascii="仿宋_GB2312" w:hAnsi="仿宋_GB2312" w:eastAsia="仿宋_GB2312"/>
          <w:b w:val="0"/>
          <w:sz w:val="32"/>
        </w:rPr>
        <w:t>4.住房保障支出(类)7.03万元,占6.32%。</w:t>
      </w:r>
    </w:p>
    <w:p w14:paraId="50107DD6">
      <w:pPr>
        <w:spacing w:line="640" w:lineRule="exact"/>
        <w:ind w:firstLine="640"/>
        <w:jc w:val="both"/>
        <w:outlineLvl w:val="3"/>
      </w:pPr>
      <w:r>
        <w:rPr>
          <w:rFonts w:ascii="楷体_GB2312" w:hAnsi="楷体_GB2312" w:eastAsia="楷体_GB2312"/>
          <w:b/>
          <w:sz w:val="32"/>
        </w:rPr>
        <w:t>（三）一般公共预算财政拨款支出决算具体情况</w:t>
      </w:r>
    </w:p>
    <w:p w14:paraId="4B687C21">
      <w:pPr>
        <w:spacing w:line="580" w:lineRule="exact"/>
        <w:ind w:firstLine="640"/>
        <w:jc w:val="both"/>
      </w:pPr>
      <w:r>
        <w:rPr>
          <w:rFonts w:ascii="仿宋_GB2312" w:hAnsi="仿宋_GB2312" w:eastAsia="仿宋_GB2312"/>
          <w:b w:val="0"/>
          <w:sz w:val="32"/>
        </w:rPr>
        <w:t>1.一般公共服务支出(类)社会工作事务(款)行政运行(项):支出决算数为87.00万元，比上年决算增加87.00万元，增长100.00%,主要原因是：本单位为2024年新成立单位，无上年对比数。</w:t>
      </w:r>
    </w:p>
    <w:p w14:paraId="0D41A918">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2.社会保障和就业支出(类)行政事业单位养老支出(款)行政单位离退休(项):支出决算数为0.18万元，比上年决算增加0.18万元，增长100.00%,主要原因是：本单位为2024年新成立单位，无上年对比数。</w:t>
      </w:r>
    </w:p>
    <w:p w14:paraId="79A6DB5F">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3.社会保障和就业支出(类)行政事业单位养老支出(款)事业单位离退休(项):支出决算数为0.47万元，比上年决算增加0.47万元，增长100.00%,主要原因是：本单位为2024年新成立单位，无上年对比数。</w:t>
      </w:r>
    </w:p>
    <w:p w14:paraId="3AB4E369">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4.社会保障和就业支出(类)行政事业单位养老支出(款)机关事业单位基本养老保险缴费支出(项):支出决算数为8.52万元，比上年决算增加8.52万元，增长100.00%,主要原因是：本单位为2024年新成立单位，无上年对比数。</w:t>
      </w:r>
    </w:p>
    <w:p w14:paraId="65ABC1D9">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5.社会保障和就业支出(类)行政事业单位养老支出(款)机关事业单位职业年金缴费支出(项):支出决算数为3.24万元，比上年决算增加3.24万元，增长100.00%,主要原因是：本单位为2024年新成立单位，无上年对比数。</w:t>
      </w:r>
    </w:p>
    <w:p w14:paraId="6DACAAFD">
      <w:pPr>
        <w:spacing w:line="580" w:lineRule="exact"/>
        <w:ind w:firstLine="640"/>
        <w:jc w:val="both"/>
      </w:pPr>
      <w:r>
        <w:rPr>
          <w:rFonts w:ascii="仿宋_GB2312" w:hAnsi="仿宋_GB2312" w:eastAsia="仿宋_GB2312"/>
          <w:b w:val="0"/>
          <w:sz w:val="32"/>
        </w:rPr>
        <w:t>6.卫生健康支出(类)行政事业单位医疗(款)行政单位医疗(项):支出决算数为3.46万元，比上年决算增加3.46万元，增长100.00%,主要原因是：本单位为2024年新成立单位，无上年对比数。</w:t>
      </w:r>
    </w:p>
    <w:p w14:paraId="75AF699D">
      <w:pPr>
        <w:spacing w:line="580" w:lineRule="exact"/>
        <w:ind w:firstLine="640"/>
        <w:jc w:val="both"/>
      </w:pPr>
      <w:r>
        <w:rPr>
          <w:rFonts w:ascii="仿宋_GB2312" w:hAnsi="仿宋_GB2312" w:eastAsia="仿宋_GB2312"/>
          <w:b w:val="0"/>
          <w:sz w:val="32"/>
        </w:rPr>
        <w:t>7.卫生健康支出(类)行政事业单位医疗(款)公务员医疗补助(项):支出决算数为1.05万元，比上年决算增加1.05万元，增长100.00%,主要原因是：本单位为2024年新成立单位，无上年对比数。</w:t>
      </w:r>
    </w:p>
    <w:p w14:paraId="633EF4EE">
      <w:pPr>
        <w:spacing w:line="580" w:lineRule="exact"/>
        <w:ind w:firstLine="640"/>
        <w:jc w:val="both"/>
      </w:pPr>
      <w:r>
        <w:rPr>
          <w:rFonts w:ascii="仿宋_GB2312" w:hAnsi="仿宋_GB2312" w:eastAsia="仿宋_GB2312"/>
          <w:b w:val="0"/>
          <w:sz w:val="32"/>
        </w:rPr>
        <w:t>8.卫生健康支出(类)行政事业单位医疗(款)其他行政事业单位医疗支出(项):支出决算数为0.30万元，比上年决算增加0.30万元，增长100.00%,主要原因是：本单位为2024年新成立单位，无上年对比数。</w:t>
      </w:r>
    </w:p>
    <w:p w14:paraId="1DD4BC54">
      <w:pPr>
        <w:spacing w:line="580" w:lineRule="exact"/>
        <w:ind w:firstLine="640"/>
        <w:jc w:val="both"/>
      </w:pPr>
      <w:r>
        <w:rPr>
          <w:rFonts w:ascii="仿宋_GB2312" w:hAnsi="仿宋_GB2312" w:eastAsia="仿宋_GB2312"/>
          <w:b w:val="0"/>
          <w:sz w:val="32"/>
        </w:rPr>
        <w:t>9.住房保障支出(类)住房改革支出(款)住房公积金(项):支出决算数为7.03万元，比上年决算增加7.03万元，增长100.00%,主要原因是：本单位为2024年新成立单位，无上年对比数。</w:t>
      </w:r>
    </w:p>
    <w:p w14:paraId="5705AFCF">
      <w:pPr>
        <w:spacing w:line="640" w:lineRule="exact"/>
        <w:ind w:firstLine="640"/>
        <w:jc w:val="both"/>
        <w:outlineLvl w:val="2"/>
      </w:pPr>
      <w:r>
        <w:rPr>
          <w:rFonts w:ascii="黑体" w:hAnsi="黑体" w:eastAsia="黑体"/>
          <w:sz w:val="32"/>
        </w:rPr>
        <w:t>六、一般公共预算财政拨款基本支出决算情况说明</w:t>
      </w:r>
    </w:p>
    <w:p w14:paraId="789A21AF">
      <w:pPr>
        <w:spacing w:line="580" w:lineRule="exact"/>
        <w:ind w:firstLine="640"/>
        <w:jc w:val="both"/>
      </w:pPr>
      <w:r>
        <w:rPr>
          <w:rFonts w:ascii="仿宋_GB2312" w:hAnsi="仿宋_GB2312" w:eastAsia="仿宋_GB2312"/>
          <w:b w:val="0"/>
          <w:sz w:val="32"/>
        </w:rPr>
        <w:t>2024年度一般公共预算财政拨款基本支出111.24万元，其中：</w:t>
      </w:r>
      <w:r>
        <w:rPr>
          <w:rFonts w:ascii="仿宋_GB2312" w:hAnsi="仿宋_GB2312" w:eastAsia="仿宋_GB2312"/>
          <w:b/>
          <w:sz w:val="32"/>
        </w:rPr>
        <w:t>人员经费104.10万元，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1FA2E30A">
      <w:pPr>
        <w:spacing w:line="580" w:lineRule="exact"/>
        <w:ind w:firstLine="640"/>
        <w:jc w:val="both"/>
      </w:pPr>
      <w:r>
        <w:rPr>
          <w:rFonts w:ascii="仿宋_GB2312" w:hAnsi="仿宋_GB2312" w:eastAsia="仿宋_GB2312"/>
          <w:b/>
          <w:sz w:val="32"/>
        </w:rPr>
        <w:t>公用经费7.14万元，</w:t>
      </w:r>
      <w:r>
        <w:rPr>
          <w:rFonts w:ascii="仿宋_GB2312" w:hAnsi="仿宋_GB2312" w:eastAsia="仿宋_GB2312"/>
          <w:b w:val="0"/>
          <w:sz w:val="32"/>
        </w:rPr>
        <w:t>包括：办公费、邮电费、差旅费。</w:t>
      </w:r>
    </w:p>
    <w:p w14:paraId="0E35DB07">
      <w:pPr>
        <w:spacing w:line="640" w:lineRule="exact"/>
        <w:ind w:firstLine="640"/>
        <w:jc w:val="both"/>
        <w:outlineLvl w:val="2"/>
      </w:pPr>
      <w:r>
        <w:rPr>
          <w:rFonts w:ascii="黑体" w:hAnsi="黑体" w:eastAsia="黑体"/>
          <w:sz w:val="32"/>
        </w:rPr>
        <w:t>七、政府性基金预算财政拨款收入支出决算情况说明</w:t>
      </w:r>
    </w:p>
    <w:p w14:paraId="477D38D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FB6E120">
      <w:pPr>
        <w:spacing w:line="640" w:lineRule="exact"/>
        <w:ind w:firstLine="640"/>
        <w:jc w:val="both"/>
        <w:outlineLvl w:val="2"/>
      </w:pPr>
      <w:r>
        <w:rPr>
          <w:rFonts w:ascii="黑体" w:hAnsi="黑体" w:eastAsia="黑体"/>
          <w:sz w:val="32"/>
        </w:rPr>
        <w:t>八、国有资本经营预算财政拨款收入支出决算情况说明</w:t>
      </w:r>
    </w:p>
    <w:p w14:paraId="535637B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57A1714">
      <w:pPr>
        <w:spacing w:line="640" w:lineRule="exact"/>
        <w:ind w:firstLine="640"/>
        <w:jc w:val="both"/>
        <w:outlineLvl w:val="2"/>
      </w:pPr>
      <w:r>
        <w:rPr>
          <w:rFonts w:ascii="黑体" w:hAnsi="黑体" w:eastAsia="黑体"/>
          <w:sz w:val="32"/>
        </w:rPr>
        <w:t>九、财政拨款“三公”经费支出决算情况说明</w:t>
      </w:r>
    </w:p>
    <w:p w14:paraId="3BAB69B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w:t>
      </w:r>
      <w:bookmarkStart w:id="0" w:name="_GoBack"/>
      <w:bookmarkEnd w:id="0"/>
      <w:r>
        <w:rPr>
          <w:rFonts w:ascii="仿宋_GB2312" w:hAnsi="仿宋_GB2312" w:eastAsia="仿宋_GB2312"/>
          <w:b w:val="0"/>
          <w:sz w:val="32"/>
        </w:rPr>
        <w:t>未安排公务接待费支出。</w:t>
      </w:r>
    </w:p>
    <w:p w14:paraId="14701A11">
      <w:pPr>
        <w:spacing w:line="580" w:lineRule="exact"/>
        <w:ind w:firstLine="640"/>
        <w:jc w:val="both"/>
      </w:pPr>
      <w:r>
        <w:rPr>
          <w:rFonts w:ascii="仿宋_GB2312" w:hAnsi="仿宋_GB2312" w:eastAsia="仿宋_GB2312"/>
          <w:b/>
          <w:sz w:val="32"/>
        </w:rPr>
        <w:t>具体情况如下：</w:t>
      </w:r>
    </w:p>
    <w:p w14:paraId="1979014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39D177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105DA7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E93640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90714FB">
      <w:pPr>
        <w:spacing w:line="640" w:lineRule="exact"/>
        <w:ind w:firstLine="640"/>
        <w:jc w:val="both"/>
        <w:outlineLvl w:val="2"/>
      </w:pPr>
      <w:r>
        <w:rPr>
          <w:rFonts w:ascii="黑体" w:hAnsi="黑体" w:eastAsia="黑体"/>
          <w:sz w:val="32"/>
        </w:rPr>
        <w:t>十、其他重要事项的情况说明</w:t>
      </w:r>
    </w:p>
    <w:p w14:paraId="05CD7F73">
      <w:pPr>
        <w:spacing w:line="640" w:lineRule="exact"/>
        <w:ind w:firstLine="640"/>
        <w:jc w:val="both"/>
        <w:outlineLvl w:val="3"/>
      </w:pPr>
      <w:r>
        <w:rPr>
          <w:rFonts w:ascii="楷体_GB2312" w:hAnsi="楷体_GB2312" w:eastAsia="楷体_GB2312"/>
          <w:b/>
          <w:sz w:val="32"/>
        </w:rPr>
        <w:t>（一）机关运行经费及公用经费支出情况</w:t>
      </w:r>
    </w:p>
    <w:p w14:paraId="1F7F5C94">
      <w:pPr>
        <w:spacing w:line="580" w:lineRule="exact"/>
        <w:ind w:firstLine="640"/>
        <w:jc w:val="both"/>
      </w:pPr>
      <w:r>
        <w:rPr>
          <w:rFonts w:ascii="仿宋_GB2312" w:hAnsi="仿宋_GB2312" w:eastAsia="仿宋_GB2312"/>
          <w:b w:val="0"/>
          <w:sz w:val="32"/>
        </w:rPr>
        <w:t>2024年度中共民丰县委员会社会工作部（事业单位）公用经费支出7.14万元，比上年增加7.14万元，增长100.00%，主要原因是：本单位为2024年新成立单位，无上年公用经费支出。</w:t>
      </w:r>
    </w:p>
    <w:p w14:paraId="42258834">
      <w:pPr>
        <w:spacing w:line="640" w:lineRule="exact"/>
        <w:ind w:firstLine="640"/>
        <w:jc w:val="both"/>
        <w:outlineLvl w:val="3"/>
      </w:pPr>
      <w:r>
        <w:rPr>
          <w:rFonts w:ascii="楷体_GB2312" w:hAnsi="楷体_GB2312" w:eastAsia="楷体_GB2312"/>
          <w:b/>
          <w:sz w:val="32"/>
        </w:rPr>
        <w:t>（二）政府采购情况</w:t>
      </w:r>
    </w:p>
    <w:p w14:paraId="7DA510B5">
      <w:pPr>
        <w:spacing w:line="580" w:lineRule="exact"/>
        <w:ind w:firstLine="640"/>
        <w:jc w:val="both"/>
      </w:pPr>
      <w:r>
        <w:rPr>
          <w:rFonts w:ascii="仿宋_GB2312" w:hAnsi="仿宋_GB2312" w:eastAsia="仿宋_GB2312"/>
          <w:b w:val="0"/>
          <w:sz w:val="32"/>
        </w:rPr>
        <w:t>2024年度政府采购支出总额11.09万元，其中：政府采购货物支出5.37万元、政府采购工程支出0.00万元、政府采购服务支出5.72万元。</w:t>
      </w:r>
    </w:p>
    <w:p w14:paraId="07A3EEED">
      <w:pPr>
        <w:spacing w:line="580" w:lineRule="exact"/>
        <w:ind w:firstLine="640"/>
        <w:jc w:val="both"/>
      </w:pPr>
      <w:r>
        <w:rPr>
          <w:rFonts w:ascii="仿宋_GB2312" w:hAnsi="仿宋_GB2312" w:eastAsia="仿宋_GB2312"/>
          <w:b w:val="0"/>
          <w:sz w:val="32"/>
        </w:rPr>
        <w:t>授予中小企业合同金额11.09万元，占政府采购支出总额的100.00%，其中：授予小微企业合同金额11.09万元，占政府采购支出总额的100.00%。</w:t>
      </w:r>
    </w:p>
    <w:p w14:paraId="0814955E">
      <w:pPr>
        <w:spacing w:line="640" w:lineRule="exact"/>
        <w:ind w:firstLine="640"/>
        <w:jc w:val="both"/>
        <w:outlineLvl w:val="3"/>
      </w:pPr>
      <w:r>
        <w:rPr>
          <w:rFonts w:ascii="楷体_GB2312" w:hAnsi="楷体_GB2312" w:eastAsia="楷体_GB2312"/>
          <w:b/>
          <w:sz w:val="32"/>
        </w:rPr>
        <w:t>（三）国有资产占用情况说明</w:t>
      </w:r>
    </w:p>
    <w:p w14:paraId="1223BAB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454A165">
      <w:pPr>
        <w:spacing w:line="640" w:lineRule="exact"/>
        <w:ind w:firstLine="640"/>
        <w:jc w:val="both"/>
        <w:outlineLvl w:val="2"/>
      </w:pPr>
      <w:r>
        <w:rPr>
          <w:rFonts w:ascii="黑体" w:hAnsi="黑体" w:eastAsia="黑体"/>
          <w:sz w:val="32"/>
        </w:rPr>
        <w:t>十一、预算绩效的情况说明</w:t>
      </w:r>
    </w:p>
    <w:p w14:paraId="3A120C83">
      <w:pPr>
        <w:spacing w:line="580" w:lineRule="exact"/>
        <w:ind w:firstLine="640"/>
        <w:jc w:val="both"/>
      </w:pPr>
      <w:r>
        <w:rPr>
          <w:rFonts w:ascii="仿宋_GB2312" w:hAnsi="仿宋_GB2312" w:eastAsia="仿宋_GB2312"/>
          <w:b w:val="0"/>
          <w:sz w:val="32"/>
        </w:rPr>
        <w:t>根据预算绩效管理要求，本单位预算绩效评价项目1个，全年预算数8.00万元，全年执行数8.00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项目细化管理工作不足。各项资金的使用没有做到细致的预算，造成项目遇到各种不确定因素，财政资金无法发挥最大使用效益。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项目支出绩效自评表和评价报告。</w:t>
      </w:r>
    </w:p>
    <w:p w14:paraId="01815C9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9E11004">
        <w:tblPrEx>
          <w:tblCellMar>
            <w:top w:w="0" w:type="dxa"/>
            <w:left w:w="108" w:type="dxa"/>
            <w:bottom w:w="0" w:type="dxa"/>
            <w:right w:w="108" w:type="dxa"/>
          </w:tblCellMar>
        </w:tblPrEx>
        <w:tc>
          <w:tcPr>
            <w:tcW w:w="8847" w:type="dxa"/>
            <w:gridSpan w:val="9"/>
            <w:vAlign w:val="center"/>
          </w:tcPr>
          <w:p w14:paraId="2B404686">
            <w:pPr>
              <w:jc w:val="center"/>
            </w:pPr>
            <w:r>
              <w:rPr>
                <w:rFonts w:ascii="宋体" w:hAnsi="宋体" w:eastAsia="宋体"/>
                <w:sz w:val="24"/>
              </w:rPr>
              <w:t>项目支出绩效自评表</w:t>
            </w:r>
          </w:p>
        </w:tc>
      </w:tr>
      <w:tr w14:paraId="04C60A0D">
        <w:tblPrEx>
          <w:tblCellMar>
            <w:top w:w="0" w:type="dxa"/>
            <w:left w:w="108" w:type="dxa"/>
            <w:bottom w:w="0" w:type="dxa"/>
            <w:right w:w="108" w:type="dxa"/>
          </w:tblCellMar>
        </w:tblPrEx>
        <w:tc>
          <w:tcPr>
            <w:tcW w:w="8847" w:type="dxa"/>
            <w:gridSpan w:val="9"/>
            <w:vAlign w:val="center"/>
          </w:tcPr>
          <w:p w14:paraId="42C2524F">
            <w:pPr>
              <w:jc w:val="center"/>
            </w:pPr>
            <w:r>
              <w:rPr>
                <w:rFonts w:ascii="宋体" w:hAnsi="宋体" w:eastAsia="宋体"/>
                <w:sz w:val="24"/>
              </w:rPr>
              <w:t>(2024年度)</w:t>
            </w:r>
          </w:p>
        </w:tc>
      </w:tr>
      <w:tr w14:paraId="32A460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5F68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F88DE9">
            <w:pPr>
              <w:jc w:val="center"/>
            </w:pPr>
            <w:r>
              <w:rPr>
                <w:rFonts w:ascii="宋体" w:hAnsi="宋体" w:eastAsia="宋体"/>
                <w:sz w:val="16"/>
              </w:rPr>
              <w:t>信访问题资金</w:t>
            </w:r>
          </w:p>
        </w:tc>
      </w:tr>
      <w:tr w14:paraId="4CAB42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3BC0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C375E4">
            <w:pPr>
              <w:jc w:val="center"/>
            </w:pPr>
            <w:r>
              <w:rPr>
                <w:rFonts w:ascii="宋体" w:hAnsi="宋体" w:eastAsia="宋体"/>
                <w:sz w:val="16"/>
              </w:rPr>
              <w:t>中共民丰县委员会社会工作部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4538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A0877C">
            <w:pPr>
              <w:jc w:val="center"/>
            </w:pPr>
            <w:r>
              <w:rPr>
                <w:rFonts w:ascii="宋体" w:hAnsi="宋体" w:eastAsia="宋体"/>
                <w:sz w:val="16"/>
              </w:rPr>
              <w:t>中共民丰县委员会社会工作部</w:t>
            </w:r>
          </w:p>
        </w:tc>
      </w:tr>
      <w:tr w14:paraId="18E2AC3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4F80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A46A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AA5C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71C2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4C5D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D0D6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5C53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0E7A1">
            <w:pPr>
              <w:jc w:val="center"/>
            </w:pPr>
            <w:r>
              <w:rPr>
                <w:rFonts w:ascii="宋体" w:hAnsi="宋体" w:eastAsia="宋体"/>
                <w:sz w:val="16"/>
              </w:rPr>
              <w:t>得分</w:t>
            </w:r>
          </w:p>
        </w:tc>
      </w:tr>
      <w:tr w14:paraId="0B8B28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104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8FB9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6DA1A">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C8834">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FD3AD">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A66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66686">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443DE">
            <w:pPr>
              <w:jc w:val="center"/>
            </w:pPr>
            <w:r>
              <w:rPr>
                <w:rFonts w:ascii="宋体" w:hAnsi="宋体" w:eastAsia="宋体"/>
                <w:sz w:val="16"/>
              </w:rPr>
              <w:t>10.00分</w:t>
            </w:r>
          </w:p>
        </w:tc>
      </w:tr>
      <w:tr w14:paraId="0CE4E9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9A61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D761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E38C0">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06FFF">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060B9">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1A3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C36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75E52">
            <w:pPr>
              <w:jc w:val="center"/>
            </w:pPr>
            <w:r>
              <w:rPr>
                <w:rFonts w:ascii="宋体" w:hAnsi="宋体" w:eastAsia="宋体"/>
                <w:sz w:val="16"/>
              </w:rPr>
              <w:t>—</w:t>
            </w:r>
          </w:p>
        </w:tc>
      </w:tr>
      <w:tr w14:paraId="54E2D1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2E6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6011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73D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19C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6A4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5FE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902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0DC2B">
            <w:pPr>
              <w:jc w:val="center"/>
            </w:pPr>
            <w:r>
              <w:rPr>
                <w:rFonts w:ascii="宋体" w:hAnsi="宋体" w:eastAsia="宋体"/>
                <w:sz w:val="16"/>
              </w:rPr>
              <w:t>—</w:t>
            </w:r>
          </w:p>
        </w:tc>
      </w:tr>
      <w:tr w14:paraId="6EC7C3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D46EA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AD3D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DEF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15A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8B51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560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FA8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1FB20">
            <w:pPr>
              <w:jc w:val="center"/>
            </w:pPr>
            <w:r>
              <w:rPr>
                <w:rFonts w:ascii="宋体" w:hAnsi="宋体" w:eastAsia="宋体"/>
                <w:sz w:val="16"/>
              </w:rPr>
              <w:t>—</w:t>
            </w:r>
          </w:p>
        </w:tc>
      </w:tr>
      <w:tr w14:paraId="2025174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C81BB">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5C3DE3">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87D348">
            <w:pPr>
              <w:jc w:val="center"/>
            </w:pPr>
            <w:r>
              <w:rPr>
                <w:rFonts w:ascii="宋体" w:hAnsi="宋体" w:eastAsia="宋体"/>
                <w:sz w:val="16"/>
              </w:rPr>
              <w:t>实际完成情况</w:t>
            </w:r>
          </w:p>
        </w:tc>
      </w:tr>
      <w:tr w14:paraId="797854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DEC709"/>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545C51">
            <w:pPr>
              <w:jc w:val="both"/>
            </w:pPr>
            <w:r>
              <w:rPr>
                <w:rFonts w:ascii="宋体" w:hAnsi="宋体" w:eastAsia="宋体"/>
                <w:sz w:val="16"/>
              </w:rPr>
              <w:t>目标内容1：</w:t>
            </w:r>
            <w:r>
              <w:rPr>
                <w:rFonts w:hint="eastAsia" w:ascii="宋体" w:hAnsi="宋体"/>
                <w:sz w:val="16"/>
                <w:lang w:eastAsia="zh-CN"/>
              </w:rPr>
              <w:t>根据</w:t>
            </w:r>
            <w:r>
              <w:rPr>
                <w:rFonts w:ascii="宋体" w:hAnsi="宋体" w:eastAsia="宋体"/>
                <w:sz w:val="16"/>
              </w:rPr>
              <w:t>民丰县委社会工作部信访问题资金实施方案，实施本项目。主要内容：解决1件历史遗留信访问题，</w:t>
            </w:r>
            <w:r>
              <w:rPr>
                <w:rFonts w:hint="eastAsia" w:ascii="宋体" w:hAnsi="宋体"/>
                <w:sz w:val="16"/>
                <w:lang w:eastAsia="zh-CN"/>
              </w:rPr>
              <w:t>通过</w:t>
            </w:r>
            <w:r>
              <w:rPr>
                <w:rFonts w:ascii="宋体" w:hAnsi="宋体" w:eastAsia="宋体"/>
                <w:sz w:val="16"/>
              </w:rPr>
              <w:t>解决群众困难诉求，达到息诉息访目的。</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945766">
            <w:pPr>
              <w:jc w:val="both"/>
            </w:pPr>
            <w:r>
              <w:rPr>
                <w:rFonts w:ascii="宋体" w:hAnsi="宋体" w:eastAsia="宋体"/>
                <w:sz w:val="16"/>
              </w:rPr>
              <w:t>已解决1件历史遗留信访问题，解决了信访人的困难，达到息诉息访的目的。</w:t>
            </w:r>
          </w:p>
        </w:tc>
      </w:tr>
      <w:tr w14:paraId="04BAF6B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BEDCC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049E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72AE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EA54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73C5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58FD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9E92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DC19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F52A7">
            <w:pPr>
              <w:jc w:val="center"/>
            </w:pPr>
            <w:r>
              <w:rPr>
                <w:rFonts w:ascii="宋体" w:hAnsi="宋体" w:eastAsia="宋体"/>
                <w:sz w:val="16"/>
              </w:rPr>
              <w:t>偏差原因分析及改进措施</w:t>
            </w:r>
          </w:p>
        </w:tc>
      </w:tr>
      <w:tr w14:paraId="50DEA2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D2CC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FCDAA">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3F98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94748">
            <w:pPr>
              <w:jc w:val="center"/>
            </w:pPr>
            <w:r>
              <w:rPr>
                <w:rFonts w:ascii="宋体" w:hAnsi="宋体" w:eastAsia="宋体"/>
                <w:sz w:val="16"/>
              </w:rPr>
              <w:t>解决历史遗留信访问题数量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BEF0A">
            <w:pPr>
              <w:jc w:val="center"/>
            </w:pPr>
            <w:r>
              <w:rPr>
                <w:rFonts w:ascii="宋体" w:hAnsi="宋体" w:eastAsia="宋体"/>
                <w:sz w:val="16"/>
              </w:rPr>
              <w:t>&gt;=1件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9CF03">
            <w:pPr>
              <w:jc w:val="center"/>
            </w:pPr>
            <w:r>
              <w:rPr>
                <w:rFonts w:ascii="宋体" w:hAnsi="宋体" w:eastAsia="宋体"/>
                <w:sz w:val="16"/>
              </w:rPr>
              <w:t>=1件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24E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CFB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EA32B">
            <w:pPr>
              <w:jc w:val="center"/>
            </w:pPr>
          </w:p>
        </w:tc>
      </w:tr>
      <w:tr w14:paraId="709A89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CD39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98E1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1CAC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875AB">
            <w:pPr>
              <w:jc w:val="center"/>
            </w:pPr>
            <w:r>
              <w:rPr>
                <w:rFonts w:ascii="宋体" w:hAnsi="宋体" w:eastAsia="宋体"/>
                <w:sz w:val="16"/>
              </w:rPr>
              <w:t>解决历史遗留信访问题化解率（%）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7A00E">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5E174">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A58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719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2BD89">
            <w:pPr>
              <w:jc w:val="center"/>
            </w:pPr>
          </w:p>
        </w:tc>
      </w:tr>
      <w:tr w14:paraId="71ACE9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BD0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69CA4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8782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D1215">
            <w:pPr>
              <w:jc w:val="center"/>
            </w:pPr>
            <w:r>
              <w:rPr>
                <w:rFonts w:ascii="宋体" w:hAnsi="宋体" w:eastAsia="宋体"/>
                <w:sz w:val="16"/>
              </w:rPr>
              <w:t>信访问题资金及时发放率（%）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A2E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6A6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15F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1F5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03E64">
            <w:pPr>
              <w:jc w:val="center"/>
            </w:pPr>
          </w:p>
        </w:tc>
      </w:tr>
      <w:tr w14:paraId="0EAD6D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8399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18A1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C6B3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1CFF5">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FBE3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FFA3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C9E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721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4F62C">
            <w:pPr>
              <w:jc w:val="center"/>
            </w:pPr>
          </w:p>
        </w:tc>
      </w:tr>
      <w:tr w14:paraId="63B589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60BD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9B2F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4C13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59C2A">
            <w:pPr>
              <w:jc w:val="center"/>
            </w:pPr>
            <w:r>
              <w:rPr>
                <w:rFonts w:ascii="宋体" w:hAnsi="宋体" w:eastAsia="宋体"/>
                <w:sz w:val="16"/>
              </w:rPr>
              <w:t>信访问题资金（万元/户）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83284">
            <w:pPr>
              <w:jc w:val="center"/>
            </w:pPr>
            <w:r>
              <w:rPr>
                <w:rFonts w:ascii="宋体" w:hAnsi="宋体" w:eastAsia="宋体"/>
                <w:sz w:val="16"/>
              </w:rPr>
              <w:t>&lt;=8万元/户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81B29">
            <w:pPr>
              <w:jc w:val="center"/>
            </w:pPr>
            <w:r>
              <w:rPr>
                <w:rFonts w:ascii="宋体" w:hAnsi="宋体" w:eastAsia="宋体"/>
                <w:sz w:val="16"/>
              </w:rPr>
              <w:t>=8万元/户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3C02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8384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0A602">
            <w:pPr>
              <w:jc w:val="center"/>
            </w:pPr>
          </w:p>
        </w:tc>
      </w:tr>
      <w:tr w14:paraId="610760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B67B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0BFA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590A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44D43">
            <w:pPr>
              <w:jc w:val="center"/>
            </w:pPr>
            <w:r>
              <w:rPr>
                <w:rFonts w:ascii="宋体" w:hAnsi="宋体" w:eastAsia="宋体"/>
                <w:sz w:val="16"/>
              </w:rPr>
              <w:t>受益户数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17C7C">
            <w:pPr>
              <w:jc w:val="center"/>
            </w:pPr>
            <w:r>
              <w:rPr>
                <w:rFonts w:ascii="宋体" w:hAnsi="宋体" w:eastAsia="宋体"/>
                <w:sz w:val="16"/>
              </w:rPr>
              <w:t>&gt;=1户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AC30C">
            <w:pPr>
              <w:jc w:val="center"/>
            </w:pPr>
            <w:r>
              <w:rPr>
                <w:rFonts w:ascii="宋体" w:hAnsi="宋体" w:eastAsia="宋体"/>
                <w:sz w:val="16"/>
              </w:rPr>
              <w:t>=1户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9A08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17B6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752E3">
            <w:pPr>
              <w:jc w:val="center"/>
            </w:pPr>
          </w:p>
        </w:tc>
      </w:tr>
      <w:tr w14:paraId="3D3E21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716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63B0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BAA2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DD2E0">
            <w:pPr>
              <w:jc w:val="center"/>
            </w:pPr>
            <w:r>
              <w:rPr>
                <w:rFonts w:ascii="宋体" w:hAnsi="宋体" w:eastAsia="宋体"/>
                <w:sz w:val="16"/>
              </w:rPr>
              <w:t>受益户满意度（%）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BBEB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C48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03E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078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662CB">
            <w:pPr>
              <w:jc w:val="center"/>
            </w:pPr>
          </w:p>
        </w:tc>
      </w:tr>
      <w:tr w14:paraId="125600C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1D0C0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2BF0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0E5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DFD07">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08CFD7C"/>
        </w:tc>
      </w:tr>
    </w:tbl>
    <w:p w14:paraId="5B9E7F30">
      <w:r>
        <w:br w:type="page"/>
      </w:r>
    </w:p>
    <w:p w14:paraId="2593654D">
      <w:pPr>
        <w:spacing w:line="640" w:lineRule="exact"/>
        <w:ind w:firstLine="640"/>
        <w:jc w:val="both"/>
        <w:outlineLvl w:val="2"/>
      </w:pPr>
      <w:r>
        <w:rPr>
          <w:rFonts w:ascii="黑体" w:hAnsi="黑体" w:eastAsia="黑体"/>
          <w:sz w:val="32"/>
        </w:rPr>
        <w:t>十二、其他需说明的事项</w:t>
      </w:r>
    </w:p>
    <w:p w14:paraId="11269697">
      <w:pPr>
        <w:spacing w:line="580" w:lineRule="exact"/>
        <w:ind w:firstLine="640"/>
        <w:jc w:val="both"/>
      </w:pPr>
      <w:r>
        <w:rPr>
          <w:rFonts w:ascii="仿宋_GB2312" w:hAnsi="仿宋_GB2312" w:eastAsia="仿宋_GB2312"/>
          <w:b w:val="0"/>
          <w:sz w:val="32"/>
        </w:rPr>
        <w:t>本单位2024年8月新成立，无整体绩效自评表。</w:t>
      </w:r>
    </w:p>
    <w:p w14:paraId="6A49DD13">
      <w:r>
        <w:br w:type="page"/>
      </w:r>
    </w:p>
    <w:p w14:paraId="42A6D0B3">
      <w:pPr>
        <w:spacing w:line="240" w:lineRule="auto"/>
        <w:jc w:val="center"/>
        <w:outlineLvl w:val="1"/>
      </w:pPr>
      <w:r>
        <w:rPr>
          <w:rFonts w:ascii="黑体" w:hAnsi="黑体" w:eastAsia="黑体"/>
          <w:sz w:val="32"/>
        </w:rPr>
        <w:t>第三部分 专业名词解释</w:t>
      </w:r>
    </w:p>
    <w:p w14:paraId="4C459A7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C99B94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1CEEC4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552225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D6BEEA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B7BAB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908A49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F6967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577C1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9B9BD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3EBA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6139FB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7C2058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5C79D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F55D2B3">
      <w:r>
        <w:br w:type="page"/>
      </w:r>
    </w:p>
    <w:p w14:paraId="3E9ED347">
      <w:pPr>
        <w:spacing w:line="240" w:lineRule="auto"/>
        <w:jc w:val="center"/>
        <w:outlineLvl w:val="1"/>
      </w:pPr>
      <w:r>
        <w:rPr>
          <w:rFonts w:ascii="黑体" w:hAnsi="黑体" w:eastAsia="黑体"/>
          <w:sz w:val="32"/>
        </w:rPr>
        <w:t>第四部分 部门决算报表（见附表）</w:t>
      </w:r>
    </w:p>
    <w:p w14:paraId="2C6BD5DC">
      <w:pPr>
        <w:spacing w:line="240" w:lineRule="auto"/>
        <w:ind w:firstLine="640"/>
        <w:jc w:val="both"/>
      </w:pPr>
      <w:r>
        <w:rPr>
          <w:rFonts w:ascii="仿宋_GB2312" w:hAnsi="仿宋_GB2312" w:eastAsia="仿宋_GB2312"/>
          <w:b w:val="0"/>
          <w:sz w:val="32"/>
        </w:rPr>
        <w:t>一、《收入支出决算总表》</w:t>
      </w:r>
    </w:p>
    <w:p w14:paraId="3F2276E2">
      <w:pPr>
        <w:spacing w:line="240" w:lineRule="auto"/>
        <w:ind w:firstLine="640"/>
        <w:jc w:val="both"/>
      </w:pPr>
      <w:r>
        <w:rPr>
          <w:rFonts w:ascii="仿宋_GB2312" w:hAnsi="仿宋_GB2312" w:eastAsia="仿宋_GB2312"/>
          <w:b w:val="0"/>
          <w:sz w:val="32"/>
        </w:rPr>
        <w:t>二、《收入决算表》</w:t>
      </w:r>
    </w:p>
    <w:p w14:paraId="41DBDF8E">
      <w:pPr>
        <w:spacing w:line="240" w:lineRule="auto"/>
        <w:ind w:firstLine="640"/>
        <w:jc w:val="both"/>
      </w:pPr>
      <w:r>
        <w:rPr>
          <w:rFonts w:ascii="仿宋_GB2312" w:hAnsi="仿宋_GB2312" w:eastAsia="仿宋_GB2312"/>
          <w:b w:val="0"/>
          <w:sz w:val="32"/>
        </w:rPr>
        <w:t>三、《支出决算表》</w:t>
      </w:r>
    </w:p>
    <w:p w14:paraId="3D0E21F5">
      <w:pPr>
        <w:spacing w:line="240" w:lineRule="auto"/>
        <w:ind w:firstLine="640"/>
        <w:jc w:val="both"/>
      </w:pPr>
      <w:r>
        <w:rPr>
          <w:rFonts w:ascii="仿宋_GB2312" w:hAnsi="仿宋_GB2312" w:eastAsia="仿宋_GB2312"/>
          <w:b w:val="0"/>
          <w:sz w:val="32"/>
        </w:rPr>
        <w:t>四、《财政拨款收入支出决算总表》</w:t>
      </w:r>
    </w:p>
    <w:p w14:paraId="2702C474">
      <w:pPr>
        <w:spacing w:line="240" w:lineRule="auto"/>
        <w:ind w:firstLine="640"/>
        <w:jc w:val="both"/>
      </w:pPr>
      <w:r>
        <w:rPr>
          <w:rFonts w:ascii="仿宋_GB2312" w:hAnsi="仿宋_GB2312" w:eastAsia="仿宋_GB2312"/>
          <w:b w:val="0"/>
          <w:sz w:val="32"/>
        </w:rPr>
        <w:t>五、《一般公共预算财政拨款支出决算表》</w:t>
      </w:r>
    </w:p>
    <w:p w14:paraId="1DEBED2E">
      <w:pPr>
        <w:spacing w:line="240" w:lineRule="auto"/>
        <w:ind w:firstLine="640"/>
        <w:jc w:val="both"/>
      </w:pPr>
      <w:r>
        <w:rPr>
          <w:rFonts w:ascii="仿宋_GB2312" w:hAnsi="仿宋_GB2312" w:eastAsia="仿宋_GB2312"/>
          <w:b w:val="0"/>
          <w:sz w:val="32"/>
        </w:rPr>
        <w:t>六、《一般公共预算财政拨款基本支出决算表》</w:t>
      </w:r>
    </w:p>
    <w:p w14:paraId="4738F601">
      <w:pPr>
        <w:spacing w:line="240" w:lineRule="auto"/>
        <w:ind w:firstLine="640"/>
        <w:jc w:val="both"/>
      </w:pPr>
      <w:r>
        <w:rPr>
          <w:rFonts w:ascii="仿宋_GB2312" w:hAnsi="仿宋_GB2312" w:eastAsia="仿宋_GB2312"/>
          <w:b w:val="0"/>
          <w:sz w:val="32"/>
        </w:rPr>
        <w:t>七、《政府性基金预算财政拨款收入支出决算表》</w:t>
      </w:r>
    </w:p>
    <w:p w14:paraId="7862D98D">
      <w:pPr>
        <w:spacing w:line="240" w:lineRule="auto"/>
        <w:ind w:firstLine="640"/>
        <w:jc w:val="both"/>
      </w:pPr>
      <w:r>
        <w:rPr>
          <w:rFonts w:ascii="仿宋_GB2312" w:hAnsi="仿宋_GB2312" w:eastAsia="仿宋_GB2312"/>
          <w:b w:val="0"/>
          <w:sz w:val="32"/>
        </w:rPr>
        <w:t>八、《国有资本经营预算财政拨款收入支出决算表》</w:t>
      </w:r>
    </w:p>
    <w:p w14:paraId="3C0C6ED7">
      <w:pPr>
        <w:spacing w:line="240" w:lineRule="auto"/>
        <w:ind w:firstLine="640"/>
        <w:jc w:val="both"/>
      </w:pPr>
      <w:r>
        <w:rPr>
          <w:rFonts w:ascii="仿宋_GB2312" w:hAnsi="仿宋_GB2312" w:eastAsia="仿宋_GB2312"/>
          <w:b w:val="0"/>
          <w:sz w:val="32"/>
        </w:rPr>
        <w:t>九、《财政拨款“三公”经费支出决算表》</w:t>
      </w:r>
    </w:p>
    <w:p w14:paraId="0F8E6209">
      <w:pPr>
        <w:spacing w:line="240" w:lineRule="auto"/>
        <w:ind w:firstLine="640"/>
        <w:jc w:val="both"/>
      </w:pPr>
    </w:p>
    <w:p w14:paraId="43D29B10">
      <w:pPr>
        <w:spacing w:line="240" w:lineRule="auto"/>
        <w:ind w:firstLine="640"/>
        <w:jc w:val="both"/>
      </w:pPr>
    </w:p>
    <w:p w14:paraId="48E4A562">
      <w:pPr>
        <w:spacing w:line="240" w:lineRule="auto"/>
        <w:ind w:firstLine="640"/>
        <w:jc w:val="both"/>
      </w:pPr>
    </w:p>
    <w:p w14:paraId="02A9F2EF">
      <w:pPr>
        <w:spacing w:line="240" w:lineRule="auto"/>
        <w:ind w:firstLine="640"/>
        <w:jc w:val="both"/>
      </w:pPr>
    </w:p>
    <w:p w14:paraId="771D520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6238DC"/>
    <w:rsid w:val="3D5275AC"/>
    <w:rsid w:val="3EA7725F"/>
    <w:rsid w:val="3EC014A1"/>
    <w:rsid w:val="3F2E74BA"/>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6271</Words>
  <Characters>7082</Characters>
  <Lines>0</Lines>
  <Paragraphs>0</Paragraphs>
  <TotalTime>0</TotalTime>
  <ScaleCrop>false</ScaleCrop>
  <LinksUpToDate>false</LinksUpToDate>
  <CharactersWithSpaces>7102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2025-09-24T12:03:16Z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