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18C53F7">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中共民丰县委办公室</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193C6E1">
      <w:r>
        <w:br w:type="page"/>
      </w:r>
    </w:p>
    <w:p w14:paraId="12735C82">
      <w:pPr>
        <w:spacing w:line="640" w:lineRule="exact"/>
        <w:jc w:val="center"/>
        <w:outlineLvl w:val="1"/>
      </w:pPr>
      <w:r>
        <w:rPr>
          <w:rFonts w:ascii="黑体" w:hAnsi="黑体" w:eastAsia="黑体"/>
          <w:sz w:val="32"/>
        </w:rPr>
        <w:t>第一部分 单位概况</w:t>
      </w:r>
    </w:p>
    <w:p w14:paraId="4020698B">
      <w:pPr>
        <w:spacing w:line="640" w:lineRule="exact"/>
        <w:ind w:firstLine="640"/>
        <w:jc w:val="both"/>
        <w:outlineLvl w:val="2"/>
      </w:pPr>
      <w:r>
        <w:rPr>
          <w:rFonts w:ascii="黑体" w:hAnsi="黑体" w:eastAsia="黑体"/>
          <w:sz w:val="32"/>
        </w:rPr>
        <w:t>一、主要职能</w:t>
      </w:r>
    </w:p>
    <w:p w14:paraId="3740DEEC">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负责全面了解全县</w:t>
      </w:r>
      <w:r>
        <w:rPr>
          <w:rFonts w:hint="eastAsia" w:ascii="仿宋_GB2312" w:hAnsi="仿宋_GB2312" w:eastAsia="仿宋_GB2312"/>
          <w:sz w:val="32"/>
          <w:lang w:eastAsia="zh-CN"/>
        </w:rPr>
        <w:t>经济</w:t>
      </w:r>
      <w:r>
        <w:rPr>
          <w:rFonts w:ascii="仿宋_GB2312" w:hAnsi="仿宋_GB2312" w:eastAsia="仿宋_GB2312"/>
          <w:sz w:val="32"/>
        </w:rPr>
        <w:t>社会发展情况，及时掌握重大动态，为地委科学决策发挥参谋助手作用。</w:t>
      </w:r>
    </w:p>
    <w:p w14:paraId="77BFB035">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负责县委日常工作的综合协调。</w:t>
      </w:r>
    </w:p>
    <w:p w14:paraId="553D1F5A">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承担县委办公室文件，文稿的起草、修改、校对、翻译，印发和日常文书处理工作。</w:t>
      </w:r>
    </w:p>
    <w:p w14:paraId="6E524C0D">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负责对县委决策工作部署贯彻落实的督促检查，负责县委及其他领导同志指示、批示的催办查办工作。</w:t>
      </w:r>
    </w:p>
    <w:p w14:paraId="38FA9894">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负责县委的信息工作和全地区党委系统信息网络的建设、管理工作。</w:t>
      </w:r>
    </w:p>
    <w:p w14:paraId="1CA4F2A2">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负责县委各种会议的会务工作和县委领导同志活动的组织安排，协助有关部门做好中央、自治区领导和兄弟地州、外省区领导来我县的接待服务工作。</w:t>
      </w:r>
    </w:p>
    <w:p w14:paraId="32B8CD73">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负责全县党委系统办公自动化的统一规划，协调党委系统文秘人员的专业培训、业务指导工作。</w:t>
      </w:r>
    </w:p>
    <w:p w14:paraId="35DC7F77">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负责接收、传送地区党政军及有关部门的绝密、机密文件、专件等。</w:t>
      </w:r>
    </w:p>
    <w:p w14:paraId="36A4EEC1">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负责县委机关的后勤保障和安全服务工作。</w:t>
      </w:r>
    </w:p>
    <w:p w14:paraId="5228F2F4">
      <w:pPr>
        <w:spacing w:line="640" w:lineRule="exact"/>
        <w:ind w:firstLine="640"/>
        <w:jc w:val="both"/>
        <w:outlineLvl w:val="2"/>
      </w:pPr>
      <w:r>
        <w:rPr>
          <w:rFonts w:ascii="黑体" w:hAnsi="黑体" w:eastAsia="黑体"/>
          <w:sz w:val="32"/>
        </w:rPr>
        <w:t>二、机构设置及人员情况</w:t>
      </w:r>
    </w:p>
    <w:p w14:paraId="0FDC3FE0">
      <w:pPr>
        <w:spacing w:line="580" w:lineRule="exact"/>
        <w:ind w:firstLine="640"/>
        <w:jc w:val="both"/>
      </w:pPr>
      <w:r>
        <w:rPr>
          <w:rFonts w:ascii="仿宋_GB2312" w:hAnsi="仿宋_GB2312" w:eastAsia="仿宋_GB2312"/>
          <w:sz w:val="32"/>
        </w:rPr>
        <w:t>中共民丰县委办公室2024年度，实有人数59人，其中：在职人员33人，增加2人；离休人员0人，增加0人；退休人员26人,减少1人。</w:t>
      </w:r>
    </w:p>
    <w:p w14:paraId="34B247F2">
      <w:pPr>
        <w:spacing w:line="580" w:lineRule="exact"/>
        <w:ind w:firstLine="640"/>
        <w:jc w:val="both"/>
      </w:pPr>
      <w:r>
        <w:rPr>
          <w:rFonts w:ascii="仿宋_GB2312" w:hAnsi="仿宋_GB2312" w:eastAsia="仿宋_GB2312"/>
          <w:sz w:val="32"/>
        </w:rPr>
        <w:t>中共民丰县委办公室无下属预算单位，下设9个科室，分别是：秘书科、办文科、信息科、督查室、机要科、保密局、行政科、史志办、档案馆。</w:t>
      </w:r>
    </w:p>
    <w:p w14:paraId="4505C2BB">
      <w:r>
        <w:br w:type="page"/>
      </w:r>
    </w:p>
    <w:p w14:paraId="52697FDB">
      <w:pPr>
        <w:spacing w:line="240" w:lineRule="auto"/>
        <w:jc w:val="center"/>
        <w:outlineLvl w:val="1"/>
      </w:pPr>
      <w:r>
        <w:rPr>
          <w:rFonts w:ascii="黑体" w:hAnsi="黑体" w:eastAsia="黑体"/>
          <w:sz w:val="32"/>
        </w:rPr>
        <w:t>第二部分 部门决算情况说明</w:t>
      </w:r>
    </w:p>
    <w:p w14:paraId="3E953CCC">
      <w:pPr>
        <w:spacing w:line="640" w:lineRule="exact"/>
        <w:ind w:firstLine="640"/>
        <w:jc w:val="both"/>
        <w:outlineLvl w:val="2"/>
      </w:pPr>
      <w:r>
        <w:rPr>
          <w:rFonts w:ascii="黑体" w:hAnsi="黑体" w:eastAsia="黑体"/>
          <w:sz w:val="32"/>
        </w:rPr>
        <w:t>一、收入支出决算总体情况说明</w:t>
      </w:r>
    </w:p>
    <w:p w14:paraId="6073B52F">
      <w:pPr>
        <w:spacing w:line="580" w:lineRule="exact"/>
        <w:ind w:firstLine="640"/>
        <w:jc w:val="both"/>
      </w:pPr>
      <w:r>
        <w:rPr>
          <w:rFonts w:ascii="仿宋_GB2312" w:hAnsi="仿宋_GB2312" w:eastAsia="仿宋_GB2312"/>
          <w:b/>
          <w:sz w:val="32"/>
        </w:rPr>
        <w:t>2024年度收入总计845.09万元，</w:t>
      </w:r>
      <w:r>
        <w:rPr>
          <w:rFonts w:ascii="仿宋_GB2312" w:hAnsi="仿宋_GB2312" w:eastAsia="仿宋_GB2312"/>
          <w:b w:val="0"/>
          <w:sz w:val="32"/>
        </w:rPr>
        <w:t>其中：本年收入合计845.09万元，使用非财政拨款结余（含专用结余）0.00万元，年初结转和结余0.00万元。</w:t>
      </w:r>
    </w:p>
    <w:p w14:paraId="31020453">
      <w:pPr>
        <w:spacing w:line="580" w:lineRule="exact"/>
        <w:ind w:firstLine="640"/>
        <w:jc w:val="both"/>
      </w:pPr>
      <w:r>
        <w:rPr>
          <w:rFonts w:ascii="仿宋_GB2312" w:hAnsi="仿宋_GB2312" w:eastAsia="仿宋_GB2312"/>
          <w:b/>
          <w:sz w:val="32"/>
        </w:rPr>
        <w:t>2024年度支出总计845.09万元，</w:t>
      </w:r>
      <w:r>
        <w:rPr>
          <w:rFonts w:ascii="仿宋_GB2312" w:hAnsi="仿宋_GB2312" w:eastAsia="仿宋_GB2312"/>
          <w:b w:val="0"/>
          <w:sz w:val="32"/>
        </w:rPr>
        <w:t>其中：本年支出合计845.08万元，结余分配0.00万元，年末结转和结余0.01万元。</w:t>
      </w:r>
    </w:p>
    <w:p w14:paraId="05C57737">
      <w:pPr>
        <w:spacing w:line="580" w:lineRule="exact"/>
        <w:ind w:firstLine="640"/>
        <w:jc w:val="both"/>
      </w:pPr>
      <w:r>
        <w:rPr>
          <w:rFonts w:ascii="仿宋_GB2312" w:hAnsi="仿宋_GB2312" w:eastAsia="仿宋_GB2312"/>
          <w:b w:val="0"/>
          <w:sz w:val="32"/>
        </w:rPr>
        <w:t>收入支出总体与上年相比，减少20.90万元，下降2.41%，主要原因是：本年减少专用设备购置等经费，导致相关经费减少。</w:t>
      </w:r>
    </w:p>
    <w:p w14:paraId="7E578A55">
      <w:pPr>
        <w:spacing w:line="640" w:lineRule="exact"/>
        <w:ind w:firstLine="640"/>
        <w:jc w:val="both"/>
        <w:outlineLvl w:val="2"/>
      </w:pPr>
      <w:r>
        <w:rPr>
          <w:rFonts w:ascii="黑体" w:hAnsi="黑体" w:eastAsia="黑体"/>
          <w:sz w:val="32"/>
        </w:rPr>
        <w:t>二、收入决算情况说明</w:t>
      </w:r>
    </w:p>
    <w:p w14:paraId="2AF3CF79">
      <w:pPr>
        <w:spacing w:line="580" w:lineRule="exact"/>
        <w:ind w:firstLine="640"/>
        <w:jc w:val="both"/>
      </w:pPr>
      <w:r>
        <w:rPr>
          <w:rFonts w:ascii="仿宋_GB2312" w:hAnsi="仿宋_GB2312" w:eastAsia="仿宋_GB2312"/>
          <w:b/>
          <w:sz w:val="32"/>
        </w:rPr>
        <w:t>本年收入845.09万元，</w:t>
      </w:r>
      <w:r>
        <w:rPr>
          <w:rFonts w:ascii="仿宋_GB2312" w:hAnsi="仿宋_GB2312" w:eastAsia="仿宋_GB2312"/>
          <w:b w:val="0"/>
          <w:sz w:val="32"/>
        </w:rPr>
        <w:t>其中：财政拨款收入771.06万元，占91.24%；上级补助收入0.00万元，占0.00%；事业收入0.00万元，占0.00%；经营收入0.00万元，占0.00%；附属单位上缴收入0.00万元，占0.00%；其他收入74.03万元，占8.76%。</w:t>
      </w:r>
    </w:p>
    <w:p w14:paraId="086E0511">
      <w:pPr>
        <w:spacing w:line="640" w:lineRule="exact"/>
        <w:ind w:firstLine="640"/>
        <w:jc w:val="both"/>
        <w:outlineLvl w:val="2"/>
      </w:pPr>
      <w:r>
        <w:rPr>
          <w:rFonts w:ascii="黑体" w:hAnsi="黑体" w:eastAsia="黑体"/>
          <w:sz w:val="32"/>
        </w:rPr>
        <w:t>三、支出决算情况说明</w:t>
      </w:r>
    </w:p>
    <w:p w14:paraId="4CA1A6AB">
      <w:pPr>
        <w:spacing w:line="580" w:lineRule="exact"/>
        <w:ind w:firstLine="640"/>
        <w:jc w:val="both"/>
      </w:pPr>
      <w:r>
        <w:rPr>
          <w:rFonts w:ascii="仿宋_GB2312" w:hAnsi="仿宋_GB2312" w:eastAsia="仿宋_GB2312"/>
          <w:b/>
          <w:sz w:val="32"/>
        </w:rPr>
        <w:t>本年支出845.08万元，</w:t>
      </w:r>
      <w:r>
        <w:rPr>
          <w:rFonts w:ascii="仿宋_GB2312" w:hAnsi="仿宋_GB2312" w:eastAsia="仿宋_GB2312"/>
          <w:b w:val="0"/>
          <w:sz w:val="32"/>
        </w:rPr>
        <w:t>其中：基本支出845.08万元，占100.00%；项目支出0.00万元，占0.00%；上缴上级支出0.00万元，占0.00%；经营支出0.00万元，占0.00%；对附属单位补助支出0.00万元，占0.00%。</w:t>
      </w:r>
    </w:p>
    <w:p w14:paraId="462EC957">
      <w:pPr>
        <w:spacing w:line="640" w:lineRule="exact"/>
        <w:ind w:firstLine="640"/>
        <w:jc w:val="both"/>
        <w:outlineLvl w:val="2"/>
      </w:pPr>
      <w:r>
        <w:rPr>
          <w:rFonts w:ascii="黑体" w:hAnsi="黑体" w:eastAsia="黑体"/>
          <w:sz w:val="32"/>
        </w:rPr>
        <w:t>四、财政拨款收入支出决算总体情况说明</w:t>
      </w:r>
    </w:p>
    <w:p w14:paraId="709E4FF4">
      <w:pPr>
        <w:spacing w:line="580" w:lineRule="exact"/>
        <w:ind w:firstLine="640"/>
        <w:jc w:val="both"/>
      </w:pPr>
      <w:r>
        <w:rPr>
          <w:rFonts w:ascii="仿宋_GB2312" w:hAnsi="仿宋_GB2312" w:eastAsia="仿宋_GB2312"/>
          <w:b/>
          <w:sz w:val="32"/>
        </w:rPr>
        <w:t>2024年度财政拨款收入总计771.06万元，</w:t>
      </w:r>
      <w:r>
        <w:rPr>
          <w:rFonts w:ascii="仿宋_GB2312" w:hAnsi="仿宋_GB2312" w:eastAsia="仿宋_GB2312"/>
          <w:b w:val="0"/>
          <w:sz w:val="32"/>
        </w:rPr>
        <w:t>其中：年初财政拨款结转和结余0.00万元，本年财政拨款收入771.06万元。</w:t>
      </w:r>
      <w:r>
        <w:rPr>
          <w:rFonts w:ascii="仿宋_GB2312" w:hAnsi="仿宋_GB2312" w:eastAsia="仿宋_GB2312"/>
          <w:b/>
          <w:sz w:val="32"/>
        </w:rPr>
        <w:t>财政拨款支出总计771.06万元，</w:t>
      </w:r>
      <w:r>
        <w:rPr>
          <w:rFonts w:ascii="仿宋_GB2312" w:hAnsi="仿宋_GB2312" w:eastAsia="仿宋_GB2312"/>
          <w:b w:val="0"/>
          <w:sz w:val="32"/>
        </w:rPr>
        <w:t>其中：年末财政拨款结转和结余0.00万元，本年财政拨款支出771.06万元。</w:t>
      </w:r>
    </w:p>
    <w:p w14:paraId="4A4020F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减少46.92万元，下降5.74%，主要原因是：本年减少专用设备购置等经费，导致相关经费减少。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年初预算数792.27万元，决算数771.06万元，预决算差异率-2.68%，主要原因是：严格落实中央八项规定精神，厉行节约，减少不必要的开支。</w:t>
      </w:r>
    </w:p>
    <w:p w14:paraId="2B7A14D5">
      <w:pPr>
        <w:spacing w:line="640" w:lineRule="exact"/>
        <w:ind w:firstLine="640"/>
        <w:jc w:val="both"/>
        <w:outlineLvl w:val="2"/>
      </w:pPr>
      <w:r>
        <w:rPr>
          <w:rFonts w:ascii="黑体" w:hAnsi="黑体" w:eastAsia="黑体"/>
          <w:sz w:val="32"/>
        </w:rPr>
        <w:t>五、一般公共预算财政拨款支出决算情况说明</w:t>
      </w:r>
    </w:p>
    <w:p w14:paraId="67C4ADD5">
      <w:pPr>
        <w:spacing w:line="640" w:lineRule="exact"/>
        <w:ind w:firstLine="640"/>
        <w:jc w:val="both"/>
        <w:outlineLvl w:val="3"/>
      </w:pPr>
      <w:r>
        <w:rPr>
          <w:rFonts w:ascii="楷体_GB2312" w:hAnsi="楷体_GB2312" w:eastAsia="楷体_GB2312"/>
          <w:b/>
          <w:sz w:val="32"/>
        </w:rPr>
        <w:t>（一）一般公共预算财政拨款支出决算总体情况</w:t>
      </w:r>
    </w:p>
    <w:p w14:paraId="26B97A59">
      <w:pPr>
        <w:spacing w:line="580" w:lineRule="exact"/>
        <w:ind w:firstLine="640"/>
        <w:jc w:val="both"/>
      </w:pPr>
      <w:r>
        <w:rPr>
          <w:rFonts w:ascii="仿宋_GB2312" w:hAnsi="仿宋_GB2312" w:eastAsia="仿宋_GB2312"/>
          <w:b/>
          <w:sz w:val="32"/>
        </w:rPr>
        <w:t>2024年度一般公共预算财政拨款支出771.06万元，</w:t>
      </w:r>
      <w:r>
        <w:rPr>
          <w:rFonts w:ascii="仿宋_GB2312" w:hAnsi="仿宋_GB2312" w:eastAsia="仿宋_GB2312"/>
          <w:b w:val="0"/>
          <w:sz w:val="32"/>
        </w:rPr>
        <w:t>占本年支出合计的91.24%。</w:t>
      </w:r>
      <w:r>
        <w:rPr>
          <w:rFonts w:ascii="仿宋_GB2312" w:hAnsi="仿宋_GB2312" w:eastAsia="仿宋_GB2312"/>
          <w:b/>
          <w:sz w:val="32"/>
        </w:rPr>
        <w:t>与上年相比，</w:t>
      </w:r>
      <w:r>
        <w:rPr>
          <w:rFonts w:ascii="仿宋_GB2312" w:hAnsi="仿宋_GB2312" w:eastAsia="仿宋_GB2312"/>
          <w:b w:val="0"/>
          <w:sz w:val="32"/>
        </w:rPr>
        <w:t>减少46.92万元，下降5.74%，主要原因是：本年减少专用设备购置等经费，导致相关经费减少。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年初预算数792.27万元，决算数771.06万元，预决算差异率-2.68%，主要原因是：严格落实中央八项规定精神，厉行节约，减少不必要的开支。</w:t>
      </w:r>
    </w:p>
    <w:p w14:paraId="6BACA49C">
      <w:pPr>
        <w:spacing w:line="640" w:lineRule="exact"/>
        <w:ind w:firstLine="640"/>
        <w:jc w:val="both"/>
        <w:outlineLvl w:val="3"/>
      </w:pPr>
      <w:r>
        <w:rPr>
          <w:rFonts w:ascii="楷体_GB2312" w:hAnsi="楷体_GB2312" w:eastAsia="楷体_GB2312"/>
          <w:b/>
          <w:sz w:val="32"/>
        </w:rPr>
        <w:t>（二）一般公共预算财政拨款支出决算结构情况</w:t>
      </w:r>
    </w:p>
    <w:p w14:paraId="7AD074D9">
      <w:pPr>
        <w:spacing w:line="580" w:lineRule="exact"/>
        <w:ind w:firstLine="640"/>
        <w:jc w:val="both"/>
      </w:pPr>
      <w:r>
        <w:rPr>
          <w:rFonts w:ascii="仿宋_GB2312" w:hAnsi="仿宋_GB2312" w:eastAsia="仿宋_GB2312"/>
          <w:b w:val="0"/>
          <w:sz w:val="32"/>
        </w:rPr>
        <w:t>1.一般公共服务支出(类)578.11万元,占74.98%。</w:t>
      </w:r>
    </w:p>
    <w:p w14:paraId="03DA18B6">
      <w:pPr>
        <w:spacing w:line="580" w:lineRule="exact"/>
        <w:ind w:firstLine="640"/>
        <w:jc w:val="both"/>
      </w:pPr>
      <w:r>
        <w:rPr>
          <w:rFonts w:ascii="仿宋_GB2312" w:hAnsi="仿宋_GB2312" w:eastAsia="仿宋_GB2312"/>
          <w:b w:val="0"/>
          <w:sz w:val="32"/>
        </w:rPr>
        <w:t>2.社会保障和就业支出(类)106.45万元,占13.81%。</w:t>
      </w:r>
    </w:p>
    <w:p w14:paraId="128D02DB">
      <w:pPr>
        <w:spacing w:line="580" w:lineRule="exact"/>
        <w:ind w:firstLine="640"/>
        <w:jc w:val="both"/>
      </w:pPr>
      <w:r>
        <w:rPr>
          <w:rFonts w:ascii="仿宋_GB2312" w:hAnsi="仿宋_GB2312" w:eastAsia="仿宋_GB2312"/>
          <w:b w:val="0"/>
          <w:sz w:val="32"/>
        </w:rPr>
        <w:t>3.卫生健康支出(类)38.55万元,占5.00%。</w:t>
      </w:r>
    </w:p>
    <w:p w14:paraId="458BA113">
      <w:pPr>
        <w:spacing w:line="580" w:lineRule="exact"/>
        <w:ind w:firstLine="640"/>
        <w:jc w:val="both"/>
      </w:pPr>
      <w:r>
        <w:rPr>
          <w:rFonts w:ascii="仿宋_GB2312" w:hAnsi="仿宋_GB2312" w:eastAsia="仿宋_GB2312"/>
          <w:b w:val="0"/>
          <w:sz w:val="32"/>
        </w:rPr>
        <w:t>4.住房保障支出(类)47.95万元,占6.22%。</w:t>
      </w:r>
    </w:p>
    <w:p w14:paraId="7CF43550">
      <w:pPr>
        <w:spacing w:line="640" w:lineRule="exact"/>
        <w:ind w:firstLine="640"/>
        <w:jc w:val="both"/>
        <w:outlineLvl w:val="3"/>
      </w:pPr>
      <w:r>
        <w:rPr>
          <w:rFonts w:ascii="楷体_GB2312" w:hAnsi="楷体_GB2312" w:eastAsia="楷体_GB2312"/>
          <w:b/>
          <w:sz w:val="32"/>
        </w:rPr>
        <w:t>（三）一般公共预算财政拨款支出决算具体情况</w:t>
      </w:r>
    </w:p>
    <w:p w14:paraId="703B8D3C">
      <w:pPr>
        <w:spacing w:line="580" w:lineRule="exact"/>
        <w:ind w:firstLine="640"/>
        <w:jc w:val="both"/>
      </w:pPr>
      <w:r>
        <w:rPr>
          <w:rFonts w:ascii="仿宋_GB2312" w:hAnsi="仿宋_GB2312" w:eastAsia="仿宋_GB2312"/>
          <w:b w:val="0"/>
          <w:sz w:val="32"/>
        </w:rPr>
        <w:t>1.一般公共服务支出(类)党委办公厅（室）及相关机构事务(款)行政运行(项):支出决算数为578.11万元，比上年决算减少187.25万元，下降24.47%,主要原因是：本年功能科目调整，行政单位离退休、住房公积金、行政单位医疗、其他行政事业单位医疗上年度在主科目列支，本年单独列支，减少专用设备购置等经费，导致相关经费减少。</w:t>
      </w:r>
    </w:p>
    <w:p w14:paraId="66D8D75F">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22.72万元，比上年决算增加22.72万元，增长100.00%,主要原因是：本年功能科目调整，行政单位离退休上年度在主科目列支，本年单独列支，导致经费较上年增加。</w:t>
      </w:r>
    </w:p>
    <w:p w14:paraId="0B2AB4C0">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62.63万元，比上年决算增加10.01万元，增长19.02%,主要原因是：本年在职人员增加及人员工资调增，养老保险缴费较上年增加。</w:t>
      </w:r>
    </w:p>
    <w:p w14:paraId="322BC147">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21.10万元，比上年决算增加21.10万元，增长100.00%,主要原因是：本年功能科目调整，机关事业单位职业年金缴费上年度在主科目列支，本年单独列支，导致经费较上年增加。</w:t>
      </w:r>
    </w:p>
    <w:p w14:paraId="74173C51">
      <w:pPr>
        <w:spacing w:line="580" w:lineRule="exact"/>
        <w:ind w:firstLine="640"/>
        <w:jc w:val="both"/>
      </w:pPr>
      <w:r>
        <w:rPr>
          <w:rFonts w:ascii="仿宋_GB2312" w:hAnsi="仿宋_GB2312" w:eastAsia="仿宋_GB2312"/>
          <w:b w:val="0"/>
          <w:sz w:val="32"/>
        </w:rPr>
        <w:t>5.卫生健康支出(类)行政事业单位医疗(款)行政单位医疗(项):支出决算数为25.83万元，比上年决算增加25.83万元，增长100.00%,主要原因是：本年功能科目调整，行政单位医疗上年度在主科目列支，本年单独列支，导致经费较上年增加。</w:t>
      </w:r>
    </w:p>
    <w:p w14:paraId="62493227">
      <w:pPr>
        <w:spacing w:line="580" w:lineRule="exact"/>
        <w:ind w:firstLine="640"/>
        <w:jc w:val="both"/>
      </w:pPr>
      <w:r>
        <w:rPr>
          <w:rFonts w:ascii="仿宋_GB2312" w:hAnsi="仿宋_GB2312" w:eastAsia="仿宋_GB2312"/>
          <w:b w:val="0"/>
          <w:sz w:val="32"/>
        </w:rPr>
        <w:t>6.卫生健康支出(类)行政事业单位医疗(款)公务员医疗补助(项):支出决算数为10.94万元，比上年决算增加10.94万元，增长100.00%,主要原因是：本年功能科目调整，公务员医疗补助上年度在主科目列支，本年单独列支，导致经费较上年增加。</w:t>
      </w:r>
    </w:p>
    <w:p w14:paraId="4875E76F">
      <w:pPr>
        <w:spacing w:line="580" w:lineRule="exact"/>
        <w:ind w:firstLine="640"/>
        <w:jc w:val="both"/>
      </w:pPr>
      <w:r>
        <w:rPr>
          <w:rFonts w:ascii="仿宋_GB2312" w:hAnsi="仿宋_GB2312" w:eastAsia="仿宋_GB2312"/>
          <w:b w:val="0"/>
          <w:sz w:val="32"/>
        </w:rPr>
        <w:t>7.卫生健康支出(类)行政事业单位医疗(款)其他行政事业单位医疗支出(项):支出决算数为1.78万元，比上年决算增加1.78万元，增长100.00%,主要原因是：本年功能科目调整，职工大病，工伤，失业保险缴费上年度在主科目列支，本年单独列支，导致经费较上年增加。</w:t>
      </w:r>
    </w:p>
    <w:p w14:paraId="64FD2CBD">
      <w:pPr>
        <w:spacing w:line="580" w:lineRule="exact"/>
        <w:ind w:firstLine="640"/>
        <w:jc w:val="both"/>
      </w:pPr>
      <w:r>
        <w:rPr>
          <w:rFonts w:ascii="仿宋_GB2312" w:hAnsi="仿宋_GB2312" w:eastAsia="仿宋_GB2312"/>
          <w:b w:val="0"/>
          <w:sz w:val="32"/>
        </w:rPr>
        <w:t>8.住房保障支出(类)住房改革支出(款)住房公积金(项):支出决算数为47.95万元，比上年决算增加47.95万元，增长100.00%,主要原因是：本年功能科目调整，住房公积金上年度在主科目列支，本年单独列支，导致经费较上年增加。</w:t>
      </w:r>
    </w:p>
    <w:p w14:paraId="5B41267B">
      <w:pPr>
        <w:spacing w:line="640" w:lineRule="exact"/>
        <w:ind w:firstLine="640"/>
        <w:jc w:val="both"/>
        <w:outlineLvl w:val="2"/>
      </w:pPr>
      <w:r>
        <w:rPr>
          <w:rFonts w:ascii="黑体" w:hAnsi="黑体" w:eastAsia="黑体"/>
          <w:sz w:val="32"/>
        </w:rPr>
        <w:t>六、一般公共预算财政拨款基本支出决算情况说明</w:t>
      </w:r>
    </w:p>
    <w:p w14:paraId="236C1DAB">
      <w:pPr>
        <w:spacing w:line="580" w:lineRule="exact"/>
        <w:ind w:firstLine="640"/>
        <w:jc w:val="both"/>
      </w:pPr>
      <w:r>
        <w:rPr>
          <w:rFonts w:ascii="仿宋_GB2312" w:hAnsi="仿宋_GB2312" w:eastAsia="仿宋_GB2312"/>
          <w:b w:val="0"/>
          <w:sz w:val="32"/>
        </w:rPr>
        <w:t>2024年度一般公共预算财政拨款基本支出771.06万元，其中：</w:t>
      </w:r>
      <w:r>
        <w:rPr>
          <w:rFonts w:ascii="仿宋_GB2312" w:hAnsi="仿宋_GB2312" w:eastAsia="仿宋_GB2312"/>
          <w:b/>
          <w:sz w:val="32"/>
        </w:rPr>
        <w:t>人员经费718.46万元，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w:t>
      </w:r>
    </w:p>
    <w:p w14:paraId="4B035939">
      <w:pPr>
        <w:spacing w:line="580" w:lineRule="exact"/>
        <w:ind w:firstLine="640"/>
        <w:jc w:val="both"/>
      </w:pPr>
      <w:r>
        <w:rPr>
          <w:rFonts w:ascii="仿宋_GB2312" w:hAnsi="仿宋_GB2312" w:eastAsia="仿宋_GB2312"/>
          <w:b/>
          <w:sz w:val="32"/>
        </w:rPr>
        <w:t>公用经费52.60万元，</w:t>
      </w:r>
      <w:r>
        <w:rPr>
          <w:rFonts w:ascii="仿宋_GB2312" w:hAnsi="仿宋_GB2312" w:eastAsia="仿宋_GB2312"/>
          <w:b w:val="0"/>
          <w:sz w:val="32"/>
        </w:rPr>
        <w:t>包括：办公费、电费、取暖费、差旅费、劳务费、公务用车运行维护费、其他交通费用。</w:t>
      </w:r>
    </w:p>
    <w:p w14:paraId="209EF8FF">
      <w:pPr>
        <w:spacing w:line="640" w:lineRule="exact"/>
        <w:ind w:firstLine="640"/>
        <w:jc w:val="both"/>
        <w:outlineLvl w:val="2"/>
      </w:pPr>
      <w:r>
        <w:rPr>
          <w:rFonts w:ascii="黑体" w:hAnsi="黑体" w:eastAsia="黑体"/>
          <w:sz w:val="32"/>
        </w:rPr>
        <w:t>七、政府性基金预算财政拨款收入支出决算情况说明</w:t>
      </w:r>
    </w:p>
    <w:p w14:paraId="178DCF2F">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4168D79">
      <w:pPr>
        <w:spacing w:line="640" w:lineRule="exact"/>
        <w:ind w:firstLine="640"/>
        <w:jc w:val="both"/>
        <w:outlineLvl w:val="2"/>
      </w:pPr>
      <w:r>
        <w:rPr>
          <w:rFonts w:ascii="黑体" w:hAnsi="黑体" w:eastAsia="黑体"/>
          <w:sz w:val="32"/>
        </w:rPr>
        <w:t>八、国有资本经营预算财政拨款收入支出决算情况说明</w:t>
      </w:r>
    </w:p>
    <w:p w14:paraId="4B21690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49BD0AC">
      <w:pPr>
        <w:spacing w:line="640" w:lineRule="exact"/>
        <w:ind w:firstLine="640"/>
        <w:jc w:val="both"/>
        <w:outlineLvl w:val="2"/>
      </w:pPr>
      <w:r>
        <w:rPr>
          <w:rFonts w:ascii="黑体" w:hAnsi="黑体" w:eastAsia="黑体"/>
          <w:sz w:val="32"/>
        </w:rPr>
        <w:t>九、财政拨款“三公”经费支出决算情况说明</w:t>
      </w:r>
    </w:p>
    <w:p w14:paraId="069C6EFD">
      <w:pPr>
        <w:spacing w:line="580" w:lineRule="exact"/>
        <w:ind w:firstLine="640"/>
        <w:jc w:val="both"/>
      </w:pPr>
      <w:r>
        <w:rPr>
          <w:rFonts w:ascii="仿宋_GB2312" w:hAnsi="仿宋_GB2312" w:eastAsia="仿宋_GB2312"/>
          <w:b/>
          <w:sz w:val="32"/>
        </w:rPr>
        <w:t>2024年度财政拨款“三公”经费支出10.00万元，</w:t>
      </w:r>
      <w:r>
        <w:rPr>
          <w:rFonts w:ascii="仿宋_GB2312" w:hAnsi="仿宋_GB2312" w:eastAsia="仿宋_GB2312"/>
          <w:b w:val="0"/>
          <w:sz w:val="32"/>
        </w:rPr>
        <w:t>比上年减少1.88万元，下降15.82%，主要原因是：本年度厉行节约，减少外出，公务用车运行维护费减少。其中：因公出国（境）费支出0.00万元，占0.00%，比上年增加0.00万元，增长0.00%，主要原因是：2023年与2024年均未安排因公出国（境）费支出。公务用车购置及运行维护费支出10.00万元，占100.00%，比上年减少1.88万元，下降15.82%，主要原因是：本年度厉行节约，减少外出，公务用车运行维护费减少。公务接待费支出0.00万元，占0.00%，比上年增加0.00万元，增长0.00%，主要原因是：2023年与2024年均未安排公务接待费支出。</w:t>
      </w:r>
    </w:p>
    <w:p w14:paraId="71E1C5B3">
      <w:pPr>
        <w:spacing w:line="580" w:lineRule="exact"/>
        <w:ind w:firstLine="640"/>
        <w:jc w:val="both"/>
      </w:pPr>
      <w:r>
        <w:rPr>
          <w:rFonts w:ascii="仿宋_GB2312" w:hAnsi="仿宋_GB2312" w:eastAsia="仿宋_GB2312"/>
          <w:b/>
          <w:sz w:val="32"/>
        </w:rPr>
        <w:t>具体情况如下：</w:t>
      </w:r>
    </w:p>
    <w:p w14:paraId="55BD84E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AE3198B">
      <w:pPr>
        <w:spacing w:line="580" w:lineRule="exact"/>
        <w:ind w:firstLine="640"/>
        <w:jc w:val="both"/>
      </w:pPr>
      <w:r>
        <w:rPr>
          <w:rFonts w:ascii="仿宋_GB2312" w:hAnsi="仿宋_GB2312" w:eastAsia="仿宋_GB2312"/>
          <w:b w:val="0"/>
          <w:sz w:val="32"/>
        </w:rPr>
        <w:t>公务用车购置及运行维护费10.00万元，其中：公务用车购置费0.00万元，公务用车运行维护费10.00万元。公务用车运行维护费开支内容包括车辆加油费、维修费、保险费、审车费、过路费。公务用车购置数0辆，公务用车保有量3辆。国有资产占用情况中固定资产车辆3辆，与公务用车保有量差异原因是：本单位固定资产车辆与公务用车保有量一致无差异。</w:t>
      </w:r>
    </w:p>
    <w:p w14:paraId="74BFC31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40002D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10.00万元，决算数10.00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10.00万元，决算数10.00万元，预决算差异率0.00%，主要原因是：严格按照预算执行，预决算无差异。公务接待费全年预算数0.00万元，决算数0.00万元，预决算差异率0.00%，主要原因是：本单位无公务接待费。</w:t>
      </w:r>
    </w:p>
    <w:p w14:paraId="4D7303A8">
      <w:pPr>
        <w:spacing w:line="640" w:lineRule="exact"/>
        <w:ind w:firstLine="640"/>
        <w:jc w:val="both"/>
        <w:outlineLvl w:val="2"/>
      </w:pPr>
      <w:r>
        <w:rPr>
          <w:rFonts w:ascii="黑体" w:hAnsi="黑体" w:eastAsia="黑体"/>
          <w:sz w:val="32"/>
        </w:rPr>
        <w:t>十、其他重要事项的情况说明</w:t>
      </w:r>
    </w:p>
    <w:p w14:paraId="0098BC10">
      <w:pPr>
        <w:spacing w:line="640" w:lineRule="exact"/>
        <w:ind w:firstLine="640"/>
        <w:jc w:val="both"/>
        <w:outlineLvl w:val="3"/>
      </w:pPr>
      <w:r>
        <w:rPr>
          <w:rFonts w:ascii="楷体_GB2312" w:hAnsi="楷体_GB2312" w:eastAsia="楷体_GB2312"/>
          <w:b/>
          <w:sz w:val="32"/>
        </w:rPr>
        <w:t>（一）机关运行经费及公用经费支出情况</w:t>
      </w:r>
    </w:p>
    <w:p w14:paraId="719A10D2">
      <w:pPr>
        <w:spacing w:line="580" w:lineRule="exact"/>
        <w:ind w:firstLine="640"/>
        <w:jc w:val="both"/>
      </w:pPr>
      <w:r>
        <w:rPr>
          <w:rFonts w:ascii="仿宋_GB2312" w:hAnsi="仿宋_GB2312" w:eastAsia="仿宋_GB2312"/>
          <w:b w:val="0"/>
          <w:sz w:val="32"/>
        </w:rPr>
        <w:t>2024年度中共民丰县委办公室（行政单位和参照公务员法管理事业单位）机关运行经费支出52.60万元，比上年减少169.40万元，下降76.31%，主要原因是：严控经费支出，厉行节约，减少经费支出。</w:t>
      </w:r>
    </w:p>
    <w:p w14:paraId="5BC4A8CB">
      <w:pPr>
        <w:spacing w:line="640" w:lineRule="exact"/>
        <w:ind w:firstLine="640"/>
        <w:jc w:val="both"/>
        <w:outlineLvl w:val="3"/>
      </w:pPr>
      <w:r>
        <w:rPr>
          <w:rFonts w:ascii="楷体_GB2312" w:hAnsi="楷体_GB2312" w:eastAsia="楷体_GB2312"/>
          <w:b/>
          <w:sz w:val="32"/>
        </w:rPr>
        <w:t>（二）政府采购情况</w:t>
      </w:r>
    </w:p>
    <w:p w14:paraId="105D97C3">
      <w:pPr>
        <w:spacing w:line="580" w:lineRule="exact"/>
        <w:ind w:firstLine="640"/>
        <w:jc w:val="both"/>
      </w:pPr>
      <w:r>
        <w:rPr>
          <w:rFonts w:ascii="仿宋_GB2312" w:hAnsi="仿宋_GB2312" w:eastAsia="仿宋_GB2312"/>
          <w:b w:val="0"/>
          <w:sz w:val="32"/>
        </w:rPr>
        <w:t>2024年度政府采购支出总额55.32万元，其中：政府采购货物支出20.19万元、政府采购工程支出0.00万元、政府采购服务支出35.13万元。</w:t>
      </w:r>
    </w:p>
    <w:p w14:paraId="561DBA97">
      <w:pPr>
        <w:spacing w:line="580" w:lineRule="exact"/>
        <w:ind w:firstLine="640"/>
        <w:jc w:val="both"/>
      </w:pPr>
      <w:r>
        <w:rPr>
          <w:rFonts w:ascii="仿宋_GB2312" w:hAnsi="仿宋_GB2312" w:eastAsia="仿宋_GB2312"/>
          <w:b w:val="0"/>
          <w:sz w:val="32"/>
        </w:rPr>
        <w:t>授予中小企业合同金额55.32万元，占政府采购支出总额的100.00%，其中：授予小微企业合同金额55.32万元，占政府采购支出总额的100.00%。</w:t>
      </w:r>
    </w:p>
    <w:p w14:paraId="2E5444B5">
      <w:pPr>
        <w:spacing w:line="640" w:lineRule="exact"/>
        <w:ind w:firstLine="640"/>
        <w:jc w:val="both"/>
        <w:outlineLvl w:val="3"/>
      </w:pPr>
      <w:r>
        <w:rPr>
          <w:rFonts w:ascii="楷体_GB2312" w:hAnsi="楷体_GB2312" w:eastAsia="楷体_GB2312"/>
          <w:b/>
          <w:sz w:val="32"/>
        </w:rPr>
        <w:t>（三）国有资产占用情况说明</w:t>
      </w:r>
    </w:p>
    <w:p w14:paraId="768B0F6B">
      <w:pPr>
        <w:spacing w:line="580" w:lineRule="exact"/>
        <w:ind w:firstLine="640"/>
        <w:jc w:val="both"/>
      </w:pPr>
      <w:r>
        <w:rPr>
          <w:rFonts w:ascii="仿宋_GB2312" w:hAnsi="仿宋_GB2312" w:eastAsia="仿宋_GB2312"/>
          <w:b w:val="0"/>
          <w:sz w:val="32"/>
        </w:rPr>
        <w:t>截至2024年12月31日，房屋6,620.00平方米，价值1,081.35万元。车辆3辆，价值118.07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0台（套）。</w:t>
      </w:r>
    </w:p>
    <w:p w14:paraId="24A86CF4">
      <w:pPr>
        <w:spacing w:line="640" w:lineRule="exact"/>
        <w:ind w:firstLine="640"/>
        <w:jc w:val="both"/>
        <w:outlineLvl w:val="2"/>
      </w:pPr>
      <w:r>
        <w:rPr>
          <w:rFonts w:ascii="黑体" w:hAnsi="黑体" w:eastAsia="黑体"/>
          <w:sz w:val="32"/>
        </w:rPr>
        <w:t>十一、预算绩效的情况说明</w:t>
      </w:r>
    </w:p>
    <w:p w14:paraId="1BCAFA8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845.09万元，实际执行总额845.08万元；预算绩效评价项目1个，全年预算数23.17万元，全年执行数23.17万元。预算绩效管理取得的成效：一是聚焦重点任务，推动项目工作落地落实，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二是坚持问题导向，加强执行监控，提高资金效益，紧抓预算执行动态监控，提高资金使用效益。坚持以问题为导向，以财政部门的绩效监控为契机，通过资料审核对资金执行进度及绩效目标实现程度开展审核，对绩效监控中发现的问题及时整改，强化资金使用过程管理，</w:t>
      </w:r>
      <w:r>
        <w:rPr>
          <w:rFonts w:hint="eastAsia" w:ascii="仿宋_GB2312" w:hAnsi="仿宋_GB2312" w:eastAsia="仿宋_GB2312"/>
          <w:b w:val="0"/>
          <w:sz w:val="32"/>
          <w:lang w:eastAsia="zh-CN"/>
        </w:rPr>
        <w:t>有效</w:t>
      </w:r>
      <w:r>
        <w:rPr>
          <w:rFonts w:ascii="仿宋_GB2312" w:hAnsi="仿宋_GB2312" w:eastAsia="仿宋_GB2312"/>
          <w:b w:val="0"/>
          <w:sz w:val="32"/>
        </w:rPr>
        <w:t>降低资金偏离政策目标的风险，提高了资金使用效益。发现的问题及原因：一是绩效预算认识不够充分，绩效理念有待进一步强化，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二是绩效档案归档工作有待提高，对档案工作重视程度不高，意识淡薄。单位人员对绩效档案管理工作重视程度不够，不注重关键时间节点材料的鉴定归档，造成绩效管理工作档案缺失；单位人员对档案管理工作缺少针对性和目的性，对绩效档案工作重要性的认识不足，缺乏熟练的业务知识，使绩效档案管理与实际业务存在一定偏差，未发挥其综合价值。下一步改进措施：一是加强培训，提高相关人员工作水平，采取多种培训形式对单位财务人员、业务科室人员进行集中培训，进一步树牢绩效观念，提高本单位工作人员的绩效管理能力和工作水平，为预算绩效管理相关工作的顺利开展提供保障；二是扎实推进档案规范化建设，提升档案管理水平，进一步完善项目评价资料。项目启动时同步做好档案的归纳与整理，及时整理、收集、汇总，健全档案资料。具体附整体支出绩效自评表，项目支出绩效自评表和评价报告。</w:t>
      </w:r>
    </w:p>
    <w:p w14:paraId="7899D7B9">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1CA68D3">
        <w:tblPrEx>
          <w:tblCellMar>
            <w:top w:w="0" w:type="dxa"/>
            <w:left w:w="108" w:type="dxa"/>
            <w:bottom w:w="0" w:type="dxa"/>
            <w:right w:w="108" w:type="dxa"/>
          </w:tblCellMar>
        </w:tblPrEx>
        <w:tc>
          <w:tcPr>
            <w:tcW w:w="8847" w:type="dxa"/>
            <w:gridSpan w:val="9"/>
            <w:vAlign w:val="center"/>
          </w:tcPr>
          <w:p w14:paraId="6B2D12EB">
            <w:pPr>
              <w:jc w:val="center"/>
            </w:pPr>
            <w:r>
              <w:rPr>
                <w:rFonts w:ascii="宋体" w:hAnsi="宋体" w:eastAsia="宋体"/>
                <w:sz w:val="24"/>
              </w:rPr>
              <w:t>单位整体支出绩效自评表</w:t>
            </w:r>
          </w:p>
        </w:tc>
      </w:tr>
      <w:tr w14:paraId="485F0BE3">
        <w:tblPrEx>
          <w:tblCellMar>
            <w:top w:w="0" w:type="dxa"/>
            <w:left w:w="108" w:type="dxa"/>
            <w:bottom w:w="0" w:type="dxa"/>
            <w:right w:w="108" w:type="dxa"/>
          </w:tblCellMar>
        </w:tblPrEx>
        <w:tc>
          <w:tcPr>
            <w:tcW w:w="8847" w:type="dxa"/>
            <w:gridSpan w:val="9"/>
            <w:vAlign w:val="center"/>
          </w:tcPr>
          <w:p w14:paraId="15162CCA">
            <w:pPr>
              <w:jc w:val="center"/>
            </w:pPr>
            <w:r>
              <w:rPr>
                <w:rFonts w:ascii="宋体" w:hAnsi="宋体" w:eastAsia="宋体"/>
                <w:sz w:val="24"/>
              </w:rPr>
              <w:t>（2024年度）</w:t>
            </w:r>
          </w:p>
        </w:tc>
      </w:tr>
      <w:tr w14:paraId="7C368EA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37E53C">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4E67BC5">
            <w:pPr>
              <w:jc w:val="center"/>
            </w:pPr>
            <w:r>
              <w:rPr>
                <w:rFonts w:ascii="宋体" w:hAnsi="宋体" w:eastAsia="宋体"/>
                <w:sz w:val="16"/>
              </w:rPr>
              <w:t>中共民丰县委办公室</w:t>
            </w:r>
          </w:p>
        </w:tc>
      </w:tr>
      <w:tr w14:paraId="5D2CCDB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DD683F">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150FF">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5FDC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971051">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31842">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92546">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34A8E">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87898D">
            <w:pPr>
              <w:jc w:val="center"/>
            </w:pPr>
            <w:r>
              <w:rPr>
                <w:rFonts w:ascii="宋体" w:hAnsi="宋体" w:eastAsia="宋体"/>
                <w:sz w:val="16"/>
              </w:rPr>
              <w:t>得分</w:t>
            </w:r>
          </w:p>
        </w:tc>
      </w:tr>
      <w:tr w14:paraId="7F07F5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2F5F4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C93D55">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0E237">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6958F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9A26B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0F04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18791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3CFC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31695D">
            <w:pPr>
              <w:jc w:val="center"/>
            </w:pPr>
            <w:r>
              <w:rPr>
                <w:rFonts w:ascii="宋体" w:hAnsi="宋体" w:eastAsia="宋体"/>
                <w:sz w:val="16"/>
              </w:rPr>
              <w:t>-</w:t>
            </w:r>
          </w:p>
        </w:tc>
      </w:tr>
      <w:tr w14:paraId="49415D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5C2B9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F8AA3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716B5">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E33D97">
            <w:pPr>
              <w:jc w:val="center"/>
            </w:pPr>
            <w:r>
              <w:rPr>
                <w:rFonts w:ascii="宋体" w:hAnsi="宋体" w:eastAsia="宋体"/>
                <w:sz w:val="16"/>
              </w:rPr>
              <w:t>792.28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BA53E9">
            <w:pPr>
              <w:jc w:val="center"/>
            </w:pPr>
            <w:r>
              <w:rPr>
                <w:rFonts w:ascii="宋体" w:hAnsi="宋体" w:eastAsia="宋体"/>
                <w:sz w:val="16"/>
              </w:rPr>
              <w:t>845.09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7E860D">
            <w:pPr>
              <w:jc w:val="center"/>
            </w:pPr>
            <w:r>
              <w:rPr>
                <w:rFonts w:ascii="宋体" w:hAnsi="宋体" w:eastAsia="宋体"/>
                <w:sz w:val="16"/>
              </w:rPr>
              <w:t>845.08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EEC2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60D8A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6216FB">
            <w:pPr>
              <w:jc w:val="center"/>
            </w:pPr>
            <w:r>
              <w:rPr>
                <w:rFonts w:ascii="宋体" w:hAnsi="宋体" w:eastAsia="宋体"/>
                <w:sz w:val="16"/>
              </w:rPr>
              <w:t>-</w:t>
            </w:r>
          </w:p>
        </w:tc>
      </w:tr>
      <w:tr w14:paraId="2D2A5B9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A0D52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AA7C4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776D3B">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D9CE2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50C71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7EDC6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729E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2D268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AC4AE9">
            <w:pPr>
              <w:jc w:val="center"/>
            </w:pPr>
            <w:r>
              <w:rPr>
                <w:rFonts w:ascii="宋体" w:hAnsi="宋体" w:eastAsia="宋体"/>
                <w:sz w:val="16"/>
              </w:rPr>
              <w:t>-</w:t>
            </w:r>
          </w:p>
        </w:tc>
      </w:tr>
      <w:tr w14:paraId="2E05BE5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55E44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33961">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B1ED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989B88">
            <w:pPr>
              <w:jc w:val="center"/>
            </w:pPr>
            <w:r>
              <w:rPr>
                <w:rFonts w:ascii="宋体" w:hAnsi="宋体" w:eastAsia="宋体"/>
                <w:sz w:val="16"/>
              </w:rPr>
              <w:t>792.28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C065F9">
            <w:pPr>
              <w:jc w:val="center"/>
            </w:pPr>
            <w:r>
              <w:rPr>
                <w:rFonts w:ascii="宋体" w:hAnsi="宋体" w:eastAsia="宋体"/>
                <w:sz w:val="16"/>
              </w:rPr>
              <w:t>845.09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07A15C">
            <w:pPr>
              <w:jc w:val="center"/>
            </w:pPr>
            <w:r>
              <w:rPr>
                <w:rFonts w:ascii="宋体" w:hAnsi="宋体" w:eastAsia="宋体"/>
                <w:sz w:val="16"/>
              </w:rPr>
              <w:t>845.08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4B129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74019">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B18870">
            <w:pPr>
              <w:jc w:val="center"/>
            </w:pPr>
            <w:r>
              <w:rPr>
                <w:rFonts w:ascii="宋体" w:hAnsi="宋体" w:eastAsia="宋体"/>
                <w:sz w:val="16"/>
              </w:rPr>
              <w:t>10</w:t>
            </w:r>
          </w:p>
        </w:tc>
      </w:tr>
      <w:tr w14:paraId="008A98C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0578A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1562AE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0A66DB">
            <w:pPr>
              <w:jc w:val="center"/>
            </w:pPr>
            <w:r>
              <w:rPr>
                <w:rFonts w:ascii="宋体" w:hAnsi="宋体" w:eastAsia="宋体"/>
                <w:sz w:val="16"/>
              </w:rPr>
              <w:t>实际完成情况</w:t>
            </w:r>
          </w:p>
        </w:tc>
      </w:tr>
      <w:tr w14:paraId="451892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5E1F42"/>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BFF1958">
            <w:pPr>
              <w:jc w:val="both"/>
            </w:pPr>
            <w:r>
              <w:rPr>
                <w:rFonts w:ascii="宋体" w:hAnsi="宋体" w:eastAsia="宋体"/>
                <w:sz w:val="16"/>
              </w:rPr>
              <w:t>坚持以习近平新时代中国特色社会主义思想为指引，深入学习宣传贯彻习近平总书记视察新疆重要讲话重要指示精神，完整准确贯彻落实新时代党的治疆方略，统筹发展和安全，保障社会大局持续稳定、经济发展稳定、社会事业全面进步。主要负责全面了解我县经济与社会发展情况，及时掌握全县社会重大动态，负责县委日常工作的综合协调，负责对县委重大决策和民丰县全面深化改革工作部署贯彻落实的督促检查；承担县委、县委办公室文稿的起草、修改、审核和</w:t>
            </w:r>
            <w:r>
              <w:rPr>
                <w:rFonts w:hint="eastAsia" w:ascii="宋体" w:hAnsi="宋体"/>
                <w:sz w:val="16"/>
                <w:lang w:eastAsia="zh-CN"/>
              </w:rPr>
              <w:t>制发</w:t>
            </w:r>
            <w:bookmarkStart w:id="0" w:name="_GoBack"/>
            <w:bookmarkEnd w:id="0"/>
            <w:r>
              <w:rPr>
                <w:rFonts w:ascii="宋体" w:hAnsi="宋体" w:eastAsia="宋体"/>
                <w:sz w:val="16"/>
              </w:rPr>
              <w:t>、立卷、归档等工作；保障县委召开会议的筹备、组织和服务工作。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5ED945">
            <w:pPr>
              <w:jc w:val="both"/>
            </w:pPr>
            <w:r>
              <w:rPr>
                <w:rFonts w:hint="eastAsia" w:ascii="宋体" w:hAnsi="宋体"/>
                <w:sz w:val="16"/>
                <w:lang w:eastAsia="zh-CN"/>
              </w:rPr>
              <w:t>本单位</w:t>
            </w:r>
            <w:r>
              <w:rPr>
                <w:rFonts w:ascii="宋体" w:hAnsi="宋体" w:eastAsia="宋体"/>
                <w:sz w:val="16"/>
              </w:rPr>
              <w:t>2024年收入预算792.27万元，其中：人员经费收入预算732.75万元，公用经费收入预算59.52万元。制发文件380件，召开会议90场，全面深化改革任务推进率100%，党内规范性文件纠错率15%。坚持以习近平新时代中国特色社会主义思想为指引，深入学习宣传贯彻习近平总书记视察新疆重要讲话重要指示精神，完整准确贯彻落实新时代党的治疆方略，统筹发展和安全，保障社会大局持续稳定、经济发展稳定、社会事业全面进步。主要负责全面了解我县经济与社会发展情况，及时掌握全县社会重大动态，负责县委日常工作的综合协调，负责对县委重大决策和民丰县全面深化改革工作部署贯彻落实的督促检查；承担县委、县委办公室文稿的起草、修改、审核和</w:t>
            </w:r>
            <w:r>
              <w:rPr>
                <w:rFonts w:hint="eastAsia" w:ascii="宋体" w:hAnsi="宋体"/>
                <w:sz w:val="16"/>
                <w:lang w:eastAsia="zh-CN"/>
              </w:rPr>
              <w:t>制发</w:t>
            </w:r>
            <w:r>
              <w:rPr>
                <w:rFonts w:ascii="宋体" w:hAnsi="宋体" w:eastAsia="宋体"/>
                <w:sz w:val="16"/>
              </w:rPr>
              <w:t>、立卷、归档等工作；保障县委召开会议的筹备、组织和服务工作。</w:t>
            </w:r>
          </w:p>
        </w:tc>
      </w:tr>
      <w:tr w14:paraId="1F8979E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D80A1">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6FCBF0">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6C22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69118">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F037D3">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E7F3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E4A1A">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7D46DF">
            <w:pPr>
              <w:jc w:val="center"/>
            </w:pPr>
            <w:r>
              <w:rPr>
                <w:rFonts w:ascii="宋体" w:hAnsi="宋体" w:eastAsia="宋体"/>
                <w:sz w:val="16"/>
              </w:rPr>
              <w:t>得分</w:t>
            </w:r>
          </w:p>
        </w:tc>
      </w:tr>
      <w:tr w14:paraId="1CB8059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AD4EE6">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3387A1">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29CA9">
            <w:pPr>
              <w:jc w:val="center"/>
            </w:pPr>
            <w:r>
              <w:rPr>
                <w:rFonts w:ascii="宋体" w:hAnsi="宋体" w:eastAsia="宋体"/>
                <w:sz w:val="16"/>
              </w:rPr>
              <w:t>制发文件（重点精简类）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A3D0D2">
            <w:pPr>
              <w:jc w:val="center"/>
            </w:pPr>
            <w:r>
              <w:rPr>
                <w:rFonts w:ascii="宋体" w:hAnsi="宋体" w:eastAsia="宋体"/>
                <w:sz w:val="16"/>
              </w:rPr>
              <w:t>&gt;=380件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B0ADF">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12442">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94164">
            <w:pPr>
              <w:jc w:val="center"/>
            </w:pPr>
            <w:r>
              <w:rPr>
                <w:rFonts w:ascii="宋体" w:hAnsi="宋体" w:eastAsia="宋体"/>
                <w:sz w:val="16"/>
              </w:rPr>
              <w:t>380件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F7852C">
            <w:pPr>
              <w:jc w:val="center"/>
            </w:pPr>
            <w:r>
              <w:rPr>
                <w:rFonts w:ascii="宋体" w:hAnsi="宋体" w:eastAsia="宋体"/>
                <w:sz w:val="16"/>
              </w:rPr>
              <w:t>30</w:t>
            </w:r>
          </w:p>
        </w:tc>
      </w:tr>
      <w:tr w14:paraId="5387A00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C958E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364C0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83757">
            <w:pPr>
              <w:jc w:val="center"/>
            </w:pPr>
            <w:r>
              <w:rPr>
                <w:rFonts w:ascii="宋体" w:hAnsi="宋体" w:eastAsia="宋体"/>
                <w:sz w:val="16"/>
              </w:rPr>
              <w:t>召开会议次数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C6473A">
            <w:pPr>
              <w:jc w:val="center"/>
            </w:pPr>
            <w:r>
              <w:rPr>
                <w:rFonts w:ascii="宋体" w:hAnsi="宋体" w:eastAsia="宋体"/>
                <w:sz w:val="16"/>
              </w:rPr>
              <w:t>&gt;=90场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929E1">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3AAD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C7566F">
            <w:pPr>
              <w:jc w:val="center"/>
            </w:pPr>
            <w:r>
              <w:rPr>
                <w:rFonts w:ascii="宋体" w:hAnsi="宋体" w:eastAsia="宋体"/>
                <w:sz w:val="16"/>
              </w:rPr>
              <w:t>90场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09CF4A">
            <w:pPr>
              <w:jc w:val="center"/>
            </w:pPr>
            <w:r>
              <w:rPr>
                <w:rFonts w:ascii="宋体" w:hAnsi="宋体" w:eastAsia="宋体"/>
                <w:sz w:val="16"/>
              </w:rPr>
              <w:t>20</w:t>
            </w:r>
          </w:p>
        </w:tc>
      </w:tr>
      <w:tr w14:paraId="225460A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E338E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146F0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DF90D">
            <w:pPr>
              <w:jc w:val="center"/>
            </w:pPr>
            <w:r>
              <w:rPr>
                <w:rFonts w:ascii="宋体" w:hAnsi="宋体" w:eastAsia="宋体"/>
                <w:sz w:val="16"/>
              </w:rPr>
              <w:t>全面深化改革任务推进率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A500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30B38D">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D206E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83577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2B9025">
            <w:pPr>
              <w:jc w:val="center"/>
            </w:pPr>
            <w:r>
              <w:rPr>
                <w:rFonts w:ascii="宋体" w:hAnsi="宋体" w:eastAsia="宋体"/>
                <w:sz w:val="16"/>
              </w:rPr>
              <w:t>20</w:t>
            </w:r>
          </w:p>
        </w:tc>
      </w:tr>
      <w:tr w14:paraId="1036AE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70959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36C95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8A319">
            <w:pPr>
              <w:jc w:val="center"/>
            </w:pPr>
            <w:r>
              <w:rPr>
                <w:rFonts w:ascii="宋体" w:hAnsi="宋体" w:eastAsia="宋体"/>
                <w:sz w:val="16"/>
              </w:rPr>
              <w:t>党内规范性文件纠错率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7E1F0">
            <w:pPr>
              <w:jc w:val="center"/>
            </w:pPr>
            <w:r>
              <w:rPr>
                <w:rFonts w:ascii="宋体" w:hAnsi="宋体" w:eastAsia="宋体"/>
                <w:sz w:val="16"/>
              </w:rPr>
              <w:t>&lt;=15%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5FBAEC">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8900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DCBB83">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C4BE6">
            <w:pPr>
              <w:jc w:val="center"/>
            </w:pPr>
            <w:r>
              <w:rPr>
                <w:rFonts w:ascii="宋体" w:hAnsi="宋体" w:eastAsia="宋体"/>
                <w:sz w:val="16"/>
              </w:rPr>
              <w:t>20</w:t>
            </w:r>
          </w:p>
        </w:tc>
      </w:tr>
    </w:tbl>
    <w:p w14:paraId="756F28C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C00FFB8">
        <w:tblPrEx>
          <w:tblCellMar>
            <w:top w:w="0" w:type="dxa"/>
            <w:left w:w="108" w:type="dxa"/>
            <w:bottom w:w="0" w:type="dxa"/>
            <w:right w:w="108" w:type="dxa"/>
          </w:tblCellMar>
        </w:tblPrEx>
        <w:tc>
          <w:tcPr>
            <w:tcW w:w="8847" w:type="dxa"/>
            <w:gridSpan w:val="9"/>
            <w:vAlign w:val="center"/>
          </w:tcPr>
          <w:p w14:paraId="00B18049">
            <w:pPr>
              <w:jc w:val="center"/>
            </w:pPr>
            <w:r>
              <w:rPr>
                <w:rFonts w:ascii="宋体" w:hAnsi="宋体" w:eastAsia="宋体"/>
                <w:sz w:val="24"/>
              </w:rPr>
              <w:t>项目支出绩效自评表</w:t>
            </w:r>
          </w:p>
        </w:tc>
      </w:tr>
      <w:tr w14:paraId="63681D24">
        <w:tblPrEx>
          <w:tblCellMar>
            <w:top w:w="0" w:type="dxa"/>
            <w:left w:w="108" w:type="dxa"/>
            <w:bottom w:w="0" w:type="dxa"/>
            <w:right w:w="108" w:type="dxa"/>
          </w:tblCellMar>
        </w:tblPrEx>
        <w:tc>
          <w:tcPr>
            <w:tcW w:w="8847" w:type="dxa"/>
            <w:gridSpan w:val="9"/>
            <w:vAlign w:val="center"/>
          </w:tcPr>
          <w:p w14:paraId="61E08138">
            <w:pPr>
              <w:jc w:val="center"/>
            </w:pPr>
            <w:r>
              <w:rPr>
                <w:rFonts w:ascii="宋体" w:hAnsi="宋体" w:eastAsia="宋体"/>
                <w:sz w:val="24"/>
              </w:rPr>
              <w:t>(2024年度)</w:t>
            </w:r>
          </w:p>
        </w:tc>
      </w:tr>
      <w:tr w14:paraId="712D15D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12D0F">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0062CE6">
            <w:pPr>
              <w:jc w:val="center"/>
            </w:pPr>
            <w:r>
              <w:rPr>
                <w:rFonts w:ascii="宋体" w:hAnsi="宋体" w:eastAsia="宋体"/>
                <w:sz w:val="16"/>
              </w:rPr>
              <w:t>奥斯曼·努日死亡丧葬费及抚恤金项目</w:t>
            </w:r>
          </w:p>
        </w:tc>
      </w:tr>
      <w:tr w14:paraId="1BF03A1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2AF06">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50D3FB8">
            <w:pPr>
              <w:jc w:val="center"/>
            </w:pPr>
            <w:r>
              <w:rPr>
                <w:rFonts w:ascii="宋体" w:hAnsi="宋体" w:eastAsia="宋体"/>
                <w:sz w:val="16"/>
              </w:rPr>
              <w:t>中共民丰县委办公室</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AF0AFB">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CF687B1">
            <w:pPr>
              <w:jc w:val="center"/>
            </w:pPr>
            <w:r>
              <w:rPr>
                <w:rFonts w:ascii="宋体" w:hAnsi="宋体" w:eastAsia="宋体"/>
                <w:sz w:val="16"/>
              </w:rPr>
              <w:t>中共民丰县委办公室</w:t>
            </w:r>
          </w:p>
        </w:tc>
      </w:tr>
      <w:tr w14:paraId="5C35E67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B748CB">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9A8F0">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8C06C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C54A3">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950631">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B1B31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58C1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252CE">
            <w:pPr>
              <w:jc w:val="center"/>
            </w:pPr>
            <w:r>
              <w:rPr>
                <w:rFonts w:ascii="宋体" w:hAnsi="宋体" w:eastAsia="宋体"/>
                <w:sz w:val="16"/>
              </w:rPr>
              <w:t>得分</w:t>
            </w:r>
          </w:p>
        </w:tc>
      </w:tr>
      <w:tr w14:paraId="554315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C7C19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00CF0">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66685">
            <w:pPr>
              <w:jc w:val="center"/>
            </w:pPr>
            <w:r>
              <w:rPr>
                <w:rFonts w:ascii="宋体" w:hAnsi="宋体" w:eastAsia="宋体"/>
                <w:sz w:val="16"/>
              </w:rPr>
              <w:t>23.17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0E3A8">
            <w:pPr>
              <w:jc w:val="center"/>
            </w:pPr>
            <w:r>
              <w:rPr>
                <w:rFonts w:ascii="宋体" w:hAnsi="宋体" w:eastAsia="宋体"/>
                <w:sz w:val="16"/>
              </w:rPr>
              <w:t>23.17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2BEDF4">
            <w:pPr>
              <w:jc w:val="center"/>
            </w:pPr>
            <w:r>
              <w:rPr>
                <w:rFonts w:ascii="宋体" w:hAnsi="宋体" w:eastAsia="宋体"/>
                <w:sz w:val="16"/>
              </w:rPr>
              <w:t>23.17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14780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453400">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08901">
            <w:pPr>
              <w:jc w:val="center"/>
            </w:pPr>
            <w:r>
              <w:rPr>
                <w:rFonts w:ascii="宋体" w:hAnsi="宋体" w:eastAsia="宋体"/>
                <w:sz w:val="16"/>
              </w:rPr>
              <w:t>10.00分</w:t>
            </w:r>
          </w:p>
        </w:tc>
      </w:tr>
      <w:tr w14:paraId="7AE72DA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433E5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DB37D">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CBF7C4">
            <w:pPr>
              <w:jc w:val="center"/>
            </w:pPr>
            <w:r>
              <w:rPr>
                <w:rFonts w:ascii="宋体" w:hAnsi="宋体" w:eastAsia="宋体"/>
                <w:sz w:val="16"/>
              </w:rPr>
              <w:t>23.17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CC72C">
            <w:pPr>
              <w:jc w:val="center"/>
            </w:pPr>
            <w:r>
              <w:rPr>
                <w:rFonts w:ascii="宋体" w:hAnsi="宋体" w:eastAsia="宋体"/>
                <w:sz w:val="16"/>
              </w:rPr>
              <w:t>23.17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CD52A">
            <w:pPr>
              <w:jc w:val="center"/>
            </w:pPr>
            <w:r>
              <w:rPr>
                <w:rFonts w:ascii="宋体" w:hAnsi="宋体" w:eastAsia="宋体"/>
                <w:sz w:val="16"/>
              </w:rPr>
              <w:t>23.17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2A00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5B23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2D82A">
            <w:pPr>
              <w:jc w:val="center"/>
            </w:pPr>
            <w:r>
              <w:rPr>
                <w:rFonts w:ascii="宋体" w:hAnsi="宋体" w:eastAsia="宋体"/>
                <w:sz w:val="16"/>
              </w:rPr>
              <w:t>—</w:t>
            </w:r>
          </w:p>
        </w:tc>
      </w:tr>
      <w:tr w14:paraId="576D5E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0640C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247E9">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20FD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F13D1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8BCF8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2E91E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D1A78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61808">
            <w:pPr>
              <w:jc w:val="center"/>
            </w:pPr>
            <w:r>
              <w:rPr>
                <w:rFonts w:ascii="宋体" w:hAnsi="宋体" w:eastAsia="宋体"/>
                <w:sz w:val="16"/>
              </w:rPr>
              <w:t>—</w:t>
            </w:r>
          </w:p>
        </w:tc>
      </w:tr>
      <w:tr w14:paraId="6D97240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BCECC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0A736">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E905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DE7AE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463B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09942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EA97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8FE6D0">
            <w:pPr>
              <w:jc w:val="center"/>
            </w:pPr>
            <w:r>
              <w:rPr>
                <w:rFonts w:ascii="宋体" w:hAnsi="宋体" w:eastAsia="宋体"/>
                <w:sz w:val="16"/>
              </w:rPr>
              <w:t>—</w:t>
            </w:r>
          </w:p>
        </w:tc>
      </w:tr>
      <w:tr w14:paraId="48986EF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62AA97">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E497CEC">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711847F">
            <w:pPr>
              <w:jc w:val="center"/>
            </w:pPr>
            <w:r>
              <w:rPr>
                <w:rFonts w:ascii="宋体" w:hAnsi="宋体" w:eastAsia="宋体"/>
                <w:sz w:val="16"/>
              </w:rPr>
              <w:t>实际完成情况</w:t>
            </w:r>
          </w:p>
        </w:tc>
      </w:tr>
      <w:tr w14:paraId="6E9407B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981110"/>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81E0632">
            <w:pPr>
              <w:jc w:val="both"/>
            </w:pPr>
            <w:r>
              <w:rPr>
                <w:rFonts w:ascii="宋体" w:hAnsi="宋体" w:eastAsia="宋体"/>
                <w:sz w:val="16"/>
              </w:rPr>
              <w:t>根据项目批复要求，发放1名死亡干部丧葬费及抚恤金22.69万元。家属每月发放补助480元，共计4800元通过项目的实施，进一步落实国家对死者家属抚慰，建立完善的国家机关工作人员及离退休人员的死亡抚恤保障体系；通过抚恤金的及时准确发放，提高国家机关工作人员的工作积极性，确保社会的和谐稳定。</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569F8F0">
            <w:pPr>
              <w:jc w:val="both"/>
            </w:pPr>
            <w:r>
              <w:rPr>
                <w:rFonts w:ascii="宋体" w:hAnsi="宋体" w:eastAsia="宋体"/>
                <w:sz w:val="16"/>
              </w:rPr>
              <w:t>发放1名死亡干部丧葬费及抚恤金22.69万元。家属每月发放补助480元，共计4800元</w:t>
            </w:r>
          </w:p>
        </w:tc>
      </w:tr>
      <w:tr w14:paraId="28D7558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981395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58ECD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3B48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CEDA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0566A6">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C80A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14278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23091">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5CBE61">
            <w:pPr>
              <w:jc w:val="center"/>
            </w:pPr>
            <w:r>
              <w:rPr>
                <w:rFonts w:ascii="宋体" w:hAnsi="宋体" w:eastAsia="宋体"/>
                <w:sz w:val="16"/>
              </w:rPr>
              <w:t>偏差原因分析及改进措施</w:t>
            </w:r>
          </w:p>
        </w:tc>
      </w:tr>
      <w:tr w14:paraId="5048C9A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257599">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65A2D9">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7D73D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82111">
            <w:pPr>
              <w:jc w:val="center"/>
            </w:pPr>
            <w:r>
              <w:rPr>
                <w:rFonts w:ascii="宋体" w:hAnsi="宋体" w:eastAsia="宋体"/>
                <w:sz w:val="16"/>
              </w:rPr>
              <w:t>慰问抚恤人数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4C926">
            <w:pPr>
              <w:jc w:val="center"/>
            </w:pPr>
            <w:r>
              <w:rPr>
                <w:rFonts w:ascii="宋体" w:hAnsi="宋体" w:eastAsia="宋体"/>
                <w:sz w:val="16"/>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FEF684">
            <w:pPr>
              <w:jc w:val="center"/>
            </w:pPr>
            <w:r>
              <w:rPr>
                <w:rFonts w:ascii="宋体" w:hAnsi="宋体" w:eastAsia="宋体"/>
                <w:sz w:val="16"/>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63D4E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5EFE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707A12">
            <w:pPr>
              <w:jc w:val="center"/>
            </w:pPr>
          </w:p>
        </w:tc>
      </w:tr>
      <w:tr w14:paraId="0B8CE3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D4A2D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B8D99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9352D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3BD74A">
            <w:pPr>
              <w:jc w:val="center"/>
            </w:pPr>
            <w:r>
              <w:rPr>
                <w:rFonts w:ascii="宋体" w:hAnsi="宋体" w:eastAsia="宋体"/>
                <w:sz w:val="16"/>
              </w:rPr>
              <w:t>慰问抚恤次数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3AE329">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5BBAFD">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9682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8696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B4EEB4">
            <w:pPr>
              <w:jc w:val="center"/>
            </w:pPr>
          </w:p>
        </w:tc>
      </w:tr>
      <w:tr w14:paraId="41134D6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8EAF3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A3BC7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FF7B3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7E633">
            <w:pPr>
              <w:jc w:val="center"/>
            </w:pPr>
            <w:r>
              <w:rPr>
                <w:rFonts w:ascii="宋体" w:hAnsi="宋体" w:eastAsia="宋体"/>
                <w:sz w:val="16"/>
              </w:rPr>
              <w:t>资金发放准确率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350F7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F97F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0870E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23E7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34853D">
            <w:pPr>
              <w:jc w:val="center"/>
            </w:pPr>
          </w:p>
        </w:tc>
      </w:tr>
      <w:tr w14:paraId="68111E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15426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E38DA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A9865">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3CD82">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59AA7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03219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234D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076DF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D7DAB1">
            <w:pPr>
              <w:jc w:val="center"/>
            </w:pPr>
          </w:p>
        </w:tc>
      </w:tr>
      <w:tr w14:paraId="298260A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2EFA4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0FEC7F">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7D98DF">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9F9458">
            <w:pPr>
              <w:jc w:val="center"/>
            </w:pPr>
            <w:r>
              <w:rPr>
                <w:rFonts w:ascii="宋体" w:hAnsi="宋体" w:eastAsia="宋体"/>
                <w:sz w:val="16"/>
              </w:rPr>
              <w:t>死亡丧葬费抚恤金费用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0558E">
            <w:pPr>
              <w:jc w:val="center"/>
            </w:pPr>
            <w:r>
              <w:rPr>
                <w:rFonts w:ascii="宋体" w:hAnsi="宋体" w:eastAsia="宋体"/>
                <w:sz w:val="16"/>
              </w:rPr>
              <w:t>&lt;=22.69万元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2A4C5">
            <w:pPr>
              <w:jc w:val="center"/>
            </w:pPr>
            <w:r>
              <w:rPr>
                <w:rFonts w:ascii="宋体" w:hAnsi="宋体" w:eastAsia="宋体"/>
                <w:sz w:val="16"/>
              </w:rPr>
              <w:t>=22.69万元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281E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C3DBA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D6FD40">
            <w:pPr>
              <w:jc w:val="center"/>
            </w:pPr>
          </w:p>
        </w:tc>
      </w:tr>
      <w:tr w14:paraId="7F1412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1F306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22409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8753C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F48475">
            <w:pPr>
              <w:jc w:val="center"/>
            </w:pPr>
            <w:r>
              <w:rPr>
                <w:rFonts w:ascii="宋体" w:hAnsi="宋体" w:eastAsia="宋体"/>
                <w:sz w:val="16"/>
              </w:rPr>
              <w:t>遗嘱人员生活补助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AEC651">
            <w:pPr>
              <w:jc w:val="center"/>
            </w:pPr>
            <w:r>
              <w:rPr>
                <w:rFonts w:ascii="宋体" w:hAnsi="宋体" w:eastAsia="宋体"/>
                <w:sz w:val="16"/>
              </w:rPr>
              <w:t>&lt;=4800元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7E912D">
            <w:pPr>
              <w:jc w:val="center"/>
            </w:pPr>
            <w:r>
              <w:rPr>
                <w:rFonts w:ascii="宋体" w:hAnsi="宋体" w:eastAsia="宋体"/>
                <w:sz w:val="16"/>
              </w:rPr>
              <w:t>=4800元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FF583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E7B6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B3A05E">
            <w:pPr>
              <w:jc w:val="center"/>
            </w:pPr>
          </w:p>
        </w:tc>
      </w:tr>
      <w:tr w14:paraId="12BFBD3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EDF69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61915">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F3454">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B17E1">
            <w:pPr>
              <w:jc w:val="center"/>
            </w:pPr>
            <w:r>
              <w:rPr>
                <w:rFonts w:ascii="宋体" w:hAnsi="宋体" w:eastAsia="宋体"/>
                <w:sz w:val="16"/>
              </w:rPr>
              <w:t>提高国家机关工作人员的工作积极性，确保社会的和谐稳定。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7C9CD1">
            <w:pPr>
              <w:jc w:val="center"/>
            </w:pPr>
            <w:r>
              <w:rPr>
                <w:rFonts w:ascii="宋体" w:hAnsi="宋体" w:eastAsia="宋体"/>
                <w:sz w:val="16"/>
              </w:rPr>
              <w:t>效果显著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F511A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7D448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674C3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4033B1">
            <w:pPr>
              <w:jc w:val="center"/>
            </w:pPr>
          </w:p>
        </w:tc>
      </w:tr>
      <w:tr w14:paraId="3EE4D0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8F745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070C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CAC35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062E3">
            <w:pPr>
              <w:jc w:val="center"/>
            </w:pPr>
            <w:r>
              <w:rPr>
                <w:rFonts w:ascii="宋体" w:hAnsi="宋体" w:eastAsia="宋体"/>
                <w:sz w:val="16"/>
              </w:rPr>
              <w:t>死亡干部家属满意度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3FC19">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7D4A0">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5691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59F5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7BEDFC">
            <w:pPr>
              <w:jc w:val="center"/>
            </w:pPr>
          </w:p>
        </w:tc>
      </w:tr>
      <w:tr w14:paraId="0E45B016">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BBC9B5">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C77358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4756E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151AB">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86FEB13"/>
        </w:tc>
      </w:tr>
    </w:tbl>
    <w:p w14:paraId="6EC11A18">
      <w:r>
        <w:br w:type="page"/>
      </w:r>
    </w:p>
    <w:p w14:paraId="7439A48B">
      <w:pPr>
        <w:spacing w:line="640" w:lineRule="exact"/>
        <w:ind w:firstLine="640"/>
        <w:jc w:val="both"/>
        <w:outlineLvl w:val="2"/>
      </w:pPr>
      <w:r>
        <w:rPr>
          <w:rFonts w:ascii="黑体" w:hAnsi="黑体" w:eastAsia="黑体"/>
          <w:sz w:val="32"/>
        </w:rPr>
        <w:t>十二、其他需说明的事项</w:t>
      </w:r>
    </w:p>
    <w:p w14:paraId="34BD18F0">
      <w:pPr>
        <w:spacing w:line="580" w:lineRule="exact"/>
        <w:ind w:firstLine="640"/>
        <w:jc w:val="both"/>
      </w:pPr>
      <w:r>
        <w:rPr>
          <w:rFonts w:ascii="仿宋_GB2312" w:hAnsi="仿宋_GB2312" w:eastAsia="仿宋_GB2312"/>
          <w:b w:val="0"/>
          <w:sz w:val="32"/>
        </w:rPr>
        <w:t>本单位无其他需说明的事项。</w:t>
      </w:r>
    </w:p>
    <w:p w14:paraId="21F09CD1">
      <w:r>
        <w:br w:type="page"/>
      </w:r>
    </w:p>
    <w:p w14:paraId="0895E50A">
      <w:pPr>
        <w:spacing w:line="240" w:lineRule="auto"/>
        <w:jc w:val="center"/>
        <w:outlineLvl w:val="1"/>
      </w:pPr>
      <w:r>
        <w:rPr>
          <w:rFonts w:ascii="黑体" w:hAnsi="黑体" w:eastAsia="黑体"/>
          <w:sz w:val="32"/>
        </w:rPr>
        <w:t>第三部分 专业名词解释</w:t>
      </w:r>
    </w:p>
    <w:p w14:paraId="50D574E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9ED245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149FDE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E91FD4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A4D16A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3F797D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0078E1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CA6ED1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46B0DD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062029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0EA819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CD3CB4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74C356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0707B3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52F4D42">
      <w:r>
        <w:br w:type="page"/>
      </w:r>
    </w:p>
    <w:p w14:paraId="24658549">
      <w:pPr>
        <w:spacing w:line="240" w:lineRule="auto"/>
        <w:jc w:val="center"/>
        <w:outlineLvl w:val="1"/>
      </w:pPr>
      <w:r>
        <w:rPr>
          <w:rFonts w:ascii="黑体" w:hAnsi="黑体" w:eastAsia="黑体"/>
          <w:sz w:val="32"/>
        </w:rPr>
        <w:t>第四部分 部门决算报表（见附表）</w:t>
      </w:r>
    </w:p>
    <w:p w14:paraId="0D392438">
      <w:pPr>
        <w:spacing w:line="240" w:lineRule="auto"/>
        <w:ind w:firstLine="640"/>
        <w:jc w:val="both"/>
      </w:pPr>
      <w:r>
        <w:rPr>
          <w:rFonts w:ascii="仿宋_GB2312" w:hAnsi="仿宋_GB2312" w:eastAsia="仿宋_GB2312"/>
          <w:b w:val="0"/>
          <w:sz w:val="32"/>
        </w:rPr>
        <w:t>一、《收入支出决算总表》</w:t>
      </w:r>
    </w:p>
    <w:p w14:paraId="6CE00A87">
      <w:pPr>
        <w:spacing w:line="240" w:lineRule="auto"/>
        <w:ind w:firstLine="640"/>
        <w:jc w:val="both"/>
      </w:pPr>
      <w:r>
        <w:rPr>
          <w:rFonts w:ascii="仿宋_GB2312" w:hAnsi="仿宋_GB2312" w:eastAsia="仿宋_GB2312"/>
          <w:b w:val="0"/>
          <w:sz w:val="32"/>
        </w:rPr>
        <w:t>二、《收入决算表》</w:t>
      </w:r>
    </w:p>
    <w:p w14:paraId="3620C0A4">
      <w:pPr>
        <w:spacing w:line="240" w:lineRule="auto"/>
        <w:ind w:firstLine="640"/>
        <w:jc w:val="both"/>
      </w:pPr>
      <w:r>
        <w:rPr>
          <w:rFonts w:ascii="仿宋_GB2312" w:hAnsi="仿宋_GB2312" w:eastAsia="仿宋_GB2312"/>
          <w:b w:val="0"/>
          <w:sz w:val="32"/>
        </w:rPr>
        <w:t>三、《支出决算表》</w:t>
      </w:r>
    </w:p>
    <w:p w14:paraId="40314610">
      <w:pPr>
        <w:spacing w:line="240" w:lineRule="auto"/>
        <w:ind w:firstLine="640"/>
        <w:jc w:val="both"/>
      </w:pPr>
      <w:r>
        <w:rPr>
          <w:rFonts w:ascii="仿宋_GB2312" w:hAnsi="仿宋_GB2312" w:eastAsia="仿宋_GB2312"/>
          <w:b w:val="0"/>
          <w:sz w:val="32"/>
        </w:rPr>
        <w:t>四、《财政拨款收入支出决算总表》</w:t>
      </w:r>
    </w:p>
    <w:p w14:paraId="5408ADBB">
      <w:pPr>
        <w:spacing w:line="240" w:lineRule="auto"/>
        <w:ind w:firstLine="640"/>
        <w:jc w:val="both"/>
      </w:pPr>
      <w:r>
        <w:rPr>
          <w:rFonts w:ascii="仿宋_GB2312" w:hAnsi="仿宋_GB2312" w:eastAsia="仿宋_GB2312"/>
          <w:b w:val="0"/>
          <w:sz w:val="32"/>
        </w:rPr>
        <w:t>五、《一般公共预算财政拨款支出决算表》</w:t>
      </w:r>
    </w:p>
    <w:p w14:paraId="59240A7A">
      <w:pPr>
        <w:spacing w:line="240" w:lineRule="auto"/>
        <w:ind w:firstLine="640"/>
        <w:jc w:val="both"/>
      </w:pPr>
      <w:r>
        <w:rPr>
          <w:rFonts w:ascii="仿宋_GB2312" w:hAnsi="仿宋_GB2312" w:eastAsia="仿宋_GB2312"/>
          <w:b w:val="0"/>
          <w:sz w:val="32"/>
        </w:rPr>
        <w:t>六、《一般公共预算财政拨款基本支出决算表》</w:t>
      </w:r>
    </w:p>
    <w:p w14:paraId="3E7A5C68">
      <w:pPr>
        <w:spacing w:line="240" w:lineRule="auto"/>
        <w:ind w:firstLine="640"/>
        <w:jc w:val="both"/>
      </w:pPr>
      <w:r>
        <w:rPr>
          <w:rFonts w:ascii="仿宋_GB2312" w:hAnsi="仿宋_GB2312" w:eastAsia="仿宋_GB2312"/>
          <w:b w:val="0"/>
          <w:sz w:val="32"/>
        </w:rPr>
        <w:t>七、《政府性基金预算财政拨款收入支出决算表》</w:t>
      </w:r>
    </w:p>
    <w:p w14:paraId="22FF939A">
      <w:pPr>
        <w:spacing w:line="240" w:lineRule="auto"/>
        <w:ind w:firstLine="640"/>
        <w:jc w:val="both"/>
      </w:pPr>
      <w:r>
        <w:rPr>
          <w:rFonts w:ascii="仿宋_GB2312" w:hAnsi="仿宋_GB2312" w:eastAsia="仿宋_GB2312"/>
          <w:b w:val="0"/>
          <w:sz w:val="32"/>
        </w:rPr>
        <w:t>八、《国有资本经营预算财政拨款收入支出决算表》</w:t>
      </w:r>
    </w:p>
    <w:p w14:paraId="72399D20">
      <w:pPr>
        <w:spacing w:line="240" w:lineRule="auto"/>
        <w:ind w:firstLine="640"/>
        <w:jc w:val="both"/>
      </w:pPr>
      <w:r>
        <w:rPr>
          <w:rFonts w:ascii="仿宋_GB2312" w:hAnsi="仿宋_GB2312" w:eastAsia="仿宋_GB2312"/>
          <w:b w:val="0"/>
          <w:sz w:val="32"/>
        </w:rPr>
        <w:t>九、《财政拨款“三公”经费支出决算表》</w:t>
      </w:r>
    </w:p>
    <w:p w14:paraId="7345253A">
      <w:pPr>
        <w:spacing w:line="240" w:lineRule="auto"/>
        <w:ind w:firstLine="640"/>
        <w:jc w:val="both"/>
      </w:pPr>
    </w:p>
    <w:p w14:paraId="0F6D52F9">
      <w:pPr>
        <w:spacing w:line="240" w:lineRule="auto"/>
        <w:ind w:firstLine="640"/>
        <w:jc w:val="both"/>
      </w:pPr>
    </w:p>
    <w:p w14:paraId="56F1264D">
      <w:pPr>
        <w:spacing w:line="240" w:lineRule="auto"/>
        <w:ind w:firstLine="640"/>
        <w:jc w:val="both"/>
      </w:pPr>
    </w:p>
    <w:p w14:paraId="2BB5223A">
      <w:pPr>
        <w:spacing w:line="240" w:lineRule="auto"/>
        <w:ind w:firstLine="640"/>
        <w:jc w:val="both"/>
      </w:pPr>
    </w:p>
    <w:p w14:paraId="3619D6E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5AB0881-FE6E-44F0-A17E-01E41853422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30DEA920-5428-4779-81AD-63D301F95D08}"/>
  </w:font>
  <w:font w:name="仿宋_GB2312">
    <w:panose1 w:val="02010609030101010101"/>
    <w:charset w:val="86"/>
    <w:family w:val="modern"/>
    <w:pitch w:val="default"/>
    <w:sig w:usb0="00000001" w:usb1="080E0000" w:usb2="00000000" w:usb3="00000000" w:csb0="00040000" w:csb1="00000000"/>
    <w:embedRegular r:id="rId3" w:fontKey="{F587BCA8-369D-41BA-8C71-FCB0F8BE33CE}"/>
  </w:font>
  <w:font w:name="楷体_GB2312">
    <w:panose1 w:val="02010609030101010101"/>
    <w:charset w:val="86"/>
    <w:family w:val="auto"/>
    <w:pitch w:val="default"/>
    <w:sig w:usb0="00000001" w:usb1="080E0000" w:usb2="00000000" w:usb3="00000000" w:csb0="00040000" w:csb1="00000000"/>
    <w:embedRegular r:id="rId4" w:fontKey="{85D9E317-69BF-4F2B-91A8-C8029972D25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1DB0DA6"/>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4D250CE"/>
    <w:rsid w:val="25275618"/>
    <w:rsid w:val="27CE017C"/>
    <w:rsid w:val="27CF2642"/>
    <w:rsid w:val="282459E2"/>
    <w:rsid w:val="29116777"/>
    <w:rsid w:val="2A053397"/>
    <w:rsid w:val="2A444FB1"/>
    <w:rsid w:val="2A5A0309"/>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5251</Words>
  <Characters>5942</Characters>
  <Lines>0</Lines>
  <Paragraphs>0</Paragraphs>
  <TotalTime>12</TotalTime>
  <ScaleCrop>false</ScaleCrop>
  <LinksUpToDate>false</LinksUpToDate>
  <CharactersWithSpaces>5950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2025-09-25T07:54:07Z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