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中共民丰县委党校2024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AF0C985">
      <w:r>
        <w:br w:type="page"/>
      </w:r>
    </w:p>
    <w:p w14:paraId="407E66F6">
      <w:pPr>
        <w:spacing w:line="640" w:lineRule="exact"/>
        <w:jc w:val="center"/>
        <w:outlineLvl w:val="1"/>
      </w:pPr>
      <w:r>
        <w:rPr>
          <w:rFonts w:ascii="黑体" w:hAnsi="黑体" w:eastAsia="黑体"/>
          <w:sz w:val="32"/>
        </w:rPr>
        <w:t>第一部分 单位概况</w:t>
      </w:r>
    </w:p>
    <w:p w14:paraId="5239162B">
      <w:pPr>
        <w:spacing w:line="640" w:lineRule="exact"/>
        <w:ind w:firstLine="640"/>
        <w:jc w:val="both"/>
        <w:outlineLvl w:val="2"/>
      </w:pPr>
      <w:r>
        <w:rPr>
          <w:rFonts w:ascii="黑体" w:hAnsi="黑体" w:eastAsia="黑体"/>
          <w:sz w:val="32"/>
        </w:rPr>
        <w:t>一、主要职能</w:t>
      </w:r>
    </w:p>
    <w:p w14:paraId="38E65E33">
      <w:pPr>
        <w:spacing w:line="580" w:lineRule="exact"/>
        <w:ind w:firstLine="640"/>
        <w:jc w:val="both"/>
      </w:pPr>
      <w:r>
        <w:rPr>
          <w:rFonts w:ascii="仿宋_GB2312" w:hAnsi="仿宋_GB2312" w:eastAsia="仿宋_GB2312"/>
          <w:sz w:val="32"/>
        </w:rPr>
        <w:t>⑴贯彻落实《中国共产党党校工作条例》和《</w:t>
      </w:r>
      <w:bookmarkStart w:id="0" w:name="_GoBack"/>
      <w:r>
        <w:rPr>
          <w:rFonts w:ascii="仿宋_GB2312" w:hAnsi="仿宋_GB2312" w:eastAsia="仿宋_GB2312"/>
          <w:sz w:val="32"/>
        </w:rPr>
        <w:t>行政学院工作条例</w:t>
      </w:r>
      <w:bookmarkEnd w:id="0"/>
      <w:r>
        <w:rPr>
          <w:rFonts w:ascii="仿宋_GB2312" w:hAnsi="仿宋_GB2312" w:eastAsia="仿宋_GB2312"/>
          <w:sz w:val="32"/>
        </w:rPr>
        <w:t>》，进一步完善党校教育体系，推进各项工作的科学化、规范化、制度化。</w:t>
      </w:r>
    </w:p>
    <w:p w14:paraId="7238A69A">
      <w:pPr>
        <w:spacing w:line="580" w:lineRule="exact"/>
        <w:ind w:firstLine="640"/>
        <w:jc w:val="both"/>
      </w:pPr>
      <w:r>
        <w:rPr>
          <w:rFonts w:ascii="仿宋_GB2312" w:hAnsi="仿宋_GB2312" w:eastAsia="仿宋_GB2312"/>
          <w:sz w:val="32"/>
        </w:rPr>
        <w:t>⑵负责培训轮训全县各级党员领导干部、公务员及后备干部，培养理论干部。</w:t>
      </w:r>
    </w:p>
    <w:p w14:paraId="5446E438">
      <w:pPr>
        <w:spacing w:line="580" w:lineRule="exact"/>
        <w:ind w:firstLine="640"/>
        <w:jc w:val="both"/>
      </w:pPr>
      <w:r>
        <w:rPr>
          <w:rFonts w:ascii="仿宋_GB2312" w:hAnsi="仿宋_GB2312" w:eastAsia="仿宋_GB2312"/>
          <w:sz w:val="32"/>
        </w:rPr>
        <w:t>⑶承办县委和县政府举办的专题研讨班。</w:t>
      </w:r>
    </w:p>
    <w:p w14:paraId="2E94BBF2">
      <w:pPr>
        <w:spacing w:line="580" w:lineRule="exact"/>
        <w:ind w:firstLine="640"/>
        <w:jc w:val="both"/>
      </w:pPr>
      <w:r>
        <w:rPr>
          <w:rFonts w:ascii="仿宋_GB2312" w:hAnsi="仿宋_GB2312" w:eastAsia="仿宋_GB2312"/>
          <w:sz w:val="32"/>
        </w:rPr>
        <w:t>⑷围绕县委、县政府的重要工作部署和全县经济社会发展中出现的新情况新问题开展科学研究，承担县委和县政府下达的调研任务，推进理论创新。</w:t>
      </w:r>
    </w:p>
    <w:p w14:paraId="46C2032C">
      <w:pPr>
        <w:spacing w:line="580" w:lineRule="exact"/>
        <w:ind w:firstLine="640"/>
        <w:jc w:val="both"/>
      </w:pPr>
      <w:r>
        <w:rPr>
          <w:rFonts w:ascii="仿宋_GB2312" w:hAnsi="仿宋_GB2312" w:eastAsia="仿宋_GB2312"/>
          <w:sz w:val="32"/>
        </w:rPr>
        <w:t>⑸针对改革开放和社会主义现代化进程中的重大理论和现实问题，开展马克思主义中国化最新成果的理论宣传，开展党的路线、方针、政策的宣传。</w:t>
      </w:r>
    </w:p>
    <w:p w14:paraId="53503678">
      <w:pPr>
        <w:spacing w:line="580" w:lineRule="exact"/>
        <w:ind w:firstLine="640"/>
        <w:jc w:val="both"/>
      </w:pPr>
      <w:r>
        <w:rPr>
          <w:rFonts w:ascii="仿宋_GB2312" w:hAnsi="仿宋_GB2312" w:eastAsia="仿宋_GB2312"/>
          <w:sz w:val="32"/>
        </w:rPr>
        <w:t>⑹按照国家有关法律法规和政策规定，开展干部继续教育和培训。</w:t>
      </w:r>
    </w:p>
    <w:p w14:paraId="1F9EE174">
      <w:pPr>
        <w:spacing w:line="640" w:lineRule="exact"/>
        <w:ind w:firstLine="640"/>
        <w:jc w:val="both"/>
        <w:outlineLvl w:val="2"/>
      </w:pPr>
      <w:r>
        <w:rPr>
          <w:rFonts w:ascii="黑体" w:hAnsi="黑体" w:eastAsia="黑体"/>
          <w:sz w:val="32"/>
        </w:rPr>
        <w:t>二、机构设置及人员情况</w:t>
      </w:r>
    </w:p>
    <w:p w14:paraId="47DCCAFA">
      <w:pPr>
        <w:spacing w:line="580" w:lineRule="exact"/>
        <w:ind w:firstLine="640"/>
        <w:jc w:val="both"/>
      </w:pPr>
      <w:r>
        <w:rPr>
          <w:rFonts w:ascii="仿宋_GB2312" w:hAnsi="仿宋_GB2312" w:eastAsia="仿宋_GB2312"/>
          <w:sz w:val="32"/>
        </w:rPr>
        <w:t>中共民丰县委党校2024年度，实有人数14人，其中：在职人员8人，增加1人；离休人员0人，增加0人；退休人员6人,增加0人。</w:t>
      </w:r>
    </w:p>
    <w:p w14:paraId="6CC2476F">
      <w:pPr>
        <w:spacing w:line="580" w:lineRule="exact"/>
        <w:ind w:firstLine="640"/>
        <w:jc w:val="both"/>
      </w:pPr>
      <w:r>
        <w:rPr>
          <w:rFonts w:ascii="仿宋_GB2312" w:hAnsi="仿宋_GB2312" w:eastAsia="仿宋_GB2312"/>
          <w:sz w:val="32"/>
        </w:rPr>
        <w:t>中共民丰县委党校无下属预算单位，下设2个科室，分别是：校长办公室、财务室。</w:t>
      </w:r>
    </w:p>
    <w:p w14:paraId="5DA690D3">
      <w:r>
        <w:br w:type="page"/>
      </w:r>
    </w:p>
    <w:p w14:paraId="4B163B3B">
      <w:pPr>
        <w:spacing w:line="240" w:lineRule="auto"/>
        <w:jc w:val="center"/>
        <w:outlineLvl w:val="1"/>
      </w:pPr>
      <w:r>
        <w:rPr>
          <w:rFonts w:ascii="黑体" w:hAnsi="黑体" w:eastAsia="黑体"/>
          <w:sz w:val="32"/>
        </w:rPr>
        <w:t>第二部分 部门决算情况说明</w:t>
      </w:r>
    </w:p>
    <w:p w14:paraId="1DC8C635">
      <w:pPr>
        <w:spacing w:line="640" w:lineRule="exact"/>
        <w:ind w:firstLine="640"/>
        <w:jc w:val="both"/>
        <w:outlineLvl w:val="2"/>
      </w:pPr>
      <w:r>
        <w:rPr>
          <w:rFonts w:ascii="黑体" w:hAnsi="黑体" w:eastAsia="黑体"/>
          <w:sz w:val="32"/>
        </w:rPr>
        <w:t>一、收入支出决算总体情况说明</w:t>
      </w:r>
    </w:p>
    <w:p w14:paraId="1ACD9113">
      <w:pPr>
        <w:spacing w:line="580" w:lineRule="exact"/>
        <w:ind w:firstLine="640"/>
        <w:jc w:val="both"/>
      </w:pPr>
      <w:r>
        <w:rPr>
          <w:rFonts w:ascii="仿宋_GB2312" w:hAnsi="仿宋_GB2312" w:eastAsia="仿宋_GB2312"/>
          <w:b/>
          <w:sz w:val="32"/>
        </w:rPr>
        <w:t>2024年度收入总计219.00万元，</w:t>
      </w:r>
      <w:r>
        <w:rPr>
          <w:rFonts w:ascii="仿宋_GB2312" w:hAnsi="仿宋_GB2312" w:eastAsia="仿宋_GB2312"/>
          <w:b w:val="0"/>
          <w:sz w:val="32"/>
        </w:rPr>
        <w:t>其中：本年收入合计214.30万元，使用非财政拨款结余（含专用结余）0.00万元，年初结转和结余4.70万元。</w:t>
      </w:r>
    </w:p>
    <w:p w14:paraId="6A15454C">
      <w:pPr>
        <w:spacing w:line="580" w:lineRule="exact"/>
        <w:ind w:firstLine="640"/>
        <w:jc w:val="both"/>
      </w:pPr>
      <w:r>
        <w:rPr>
          <w:rFonts w:ascii="仿宋_GB2312" w:hAnsi="仿宋_GB2312" w:eastAsia="仿宋_GB2312"/>
          <w:b/>
          <w:sz w:val="32"/>
        </w:rPr>
        <w:t>2024年度支出总计219.00万元，</w:t>
      </w:r>
      <w:r>
        <w:rPr>
          <w:rFonts w:ascii="仿宋_GB2312" w:hAnsi="仿宋_GB2312" w:eastAsia="仿宋_GB2312"/>
          <w:b w:val="0"/>
          <w:sz w:val="32"/>
        </w:rPr>
        <w:t>其中：本年支出合计178.40万元，结余分配0.00万元，年末结转和结余40.60万元。</w:t>
      </w:r>
    </w:p>
    <w:p w14:paraId="6A3659AE">
      <w:pPr>
        <w:spacing w:line="580" w:lineRule="exact"/>
        <w:ind w:firstLine="640"/>
        <w:jc w:val="both"/>
      </w:pPr>
      <w:r>
        <w:rPr>
          <w:rFonts w:ascii="仿宋_GB2312" w:hAnsi="仿宋_GB2312" w:eastAsia="仿宋_GB2312"/>
          <w:b w:val="0"/>
          <w:sz w:val="32"/>
        </w:rPr>
        <w:t>收入支出总体与上年相比，增加18.81万元，增长9.40%，主要原因是：本年增加</w:t>
      </w:r>
      <w:r>
        <w:rPr>
          <w:rFonts w:hint="eastAsia" w:ascii="仿宋_GB2312" w:hAnsi="仿宋_GB2312" w:eastAsia="仿宋_GB2312"/>
          <w:b w:val="0"/>
          <w:sz w:val="32"/>
          <w:lang w:val="en-US" w:eastAsia="zh-CN"/>
        </w:rPr>
        <w:t>其他收入安排的</w:t>
      </w:r>
      <w:r>
        <w:rPr>
          <w:rFonts w:ascii="仿宋_GB2312" w:hAnsi="仿宋_GB2312" w:eastAsia="仿宋_GB2312"/>
          <w:b w:val="0"/>
          <w:sz w:val="32"/>
        </w:rPr>
        <w:t>干部人才培训项目、培训经费。</w:t>
      </w:r>
    </w:p>
    <w:p w14:paraId="1523CE67">
      <w:pPr>
        <w:spacing w:line="640" w:lineRule="exact"/>
        <w:ind w:firstLine="640"/>
        <w:jc w:val="both"/>
        <w:outlineLvl w:val="2"/>
      </w:pPr>
      <w:r>
        <w:rPr>
          <w:rFonts w:ascii="黑体" w:hAnsi="黑体" w:eastAsia="黑体"/>
          <w:sz w:val="32"/>
        </w:rPr>
        <w:t>二、收入决算情况说明</w:t>
      </w:r>
    </w:p>
    <w:p w14:paraId="74CCAE67">
      <w:pPr>
        <w:spacing w:line="580" w:lineRule="exact"/>
        <w:ind w:firstLine="640"/>
        <w:jc w:val="both"/>
      </w:pPr>
      <w:r>
        <w:rPr>
          <w:rFonts w:ascii="仿宋_GB2312" w:hAnsi="仿宋_GB2312" w:eastAsia="仿宋_GB2312"/>
          <w:b/>
          <w:sz w:val="32"/>
        </w:rPr>
        <w:t>本年收入214.30万元，</w:t>
      </w:r>
      <w:r>
        <w:rPr>
          <w:rFonts w:ascii="仿宋_GB2312" w:hAnsi="仿宋_GB2312" w:eastAsia="仿宋_GB2312"/>
          <w:b w:val="0"/>
          <w:sz w:val="32"/>
        </w:rPr>
        <w:t>其中：财政拨款收入177.42万元，占82.79%；上级补助收入0.00万元，占0.00%；事业收入0.00万元，占0.00%；经营收入0.00万元，占0.00%；附属单位上缴收入0.00万元，占0.00%；其他收入36.89万元，占17.21%。</w:t>
      </w:r>
    </w:p>
    <w:p w14:paraId="580C78FC">
      <w:pPr>
        <w:spacing w:line="640" w:lineRule="exact"/>
        <w:ind w:firstLine="640"/>
        <w:jc w:val="both"/>
        <w:outlineLvl w:val="2"/>
      </w:pPr>
      <w:r>
        <w:rPr>
          <w:rFonts w:ascii="黑体" w:hAnsi="黑体" w:eastAsia="黑体"/>
          <w:sz w:val="32"/>
        </w:rPr>
        <w:t>三、支出决算情况说明</w:t>
      </w:r>
    </w:p>
    <w:p w14:paraId="1D4FFD3A">
      <w:pPr>
        <w:spacing w:line="580" w:lineRule="exact"/>
        <w:ind w:firstLine="640"/>
        <w:jc w:val="both"/>
      </w:pPr>
      <w:r>
        <w:rPr>
          <w:rFonts w:ascii="仿宋_GB2312" w:hAnsi="仿宋_GB2312" w:eastAsia="仿宋_GB2312"/>
          <w:b/>
          <w:sz w:val="32"/>
        </w:rPr>
        <w:t>本年支出178.40万元，</w:t>
      </w:r>
      <w:r>
        <w:rPr>
          <w:rFonts w:ascii="仿宋_GB2312" w:hAnsi="仿宋_GB2312" w:eastAsia="仿宋_GB2312"/>
          <w:b w:val="0"/>
          <w:sz w:val="32"/>
        </w:rPr>
        <w:t>其中：基本支出178.40万元，占100.00%；项目支出0.00万元，占0.00%；上缴上级支出0.00万元，占0.00%；经营支出0.00万元，占0.00%；对附属单位补助支出0.00万元，占0.00%。</w:t>
      </w:r>
    </w:p>
    <w:p w14:paraId="007DC702">
      <w:pPr>
        <w:spacing w:line="640" w:lineRule="exact"/>
        <w:ind w:firstLine="640"/>
        <w:jc w:val="both"/>
        <w:outlineLvl w:val="2"/>
      </w:pPr>
      <w:r>
        <w:rPr>
          <w:rFonts w:ascii="黑体" w:hAnsi="黑体" w:eastAsia="黑体"/>
          <w:sz w:val="32"/>
        </w:rPr>
        <w:t>四、财政拨款收入支出决算总体情况说明</w:t>
      </w:r>
    </w:p>
    <w:p w14:paraId="370512A0">
      <w:pPr>
        <w:spacing w:line="580" w:lineRule="exact"/>
        <w:ind w:firstLine="640"/>
        <w:jc w:val="both"/>
      </w:pPr>
      <w:r>
        <w:rPr>
          <w:rFonts w:ascii="仿宋_GB2312" w:hAnsi="仿宋_GB2312" w:eastAsia="仿宋_GB2312"/>
          <w:b/>
          <w:sz w:val="32"/>
        </w:rPr>
        <w:t>2024年度财政拨款收入总计177.42万元，</w:t>
      </w:r>
      <w:r>
        <w:rPr>
          <w:rFonts w:ascii="仿宋_GB2312" w:hAnsi="仿宋_GB2312" w:eastAsia="仿宋_GB2312"/>
          <w:b w:val="0"/>
          <w:sz w:val="32"/>
        </w:rPr>
        <w:t>其中：年初财政拨款结转和结余0.00万元，本年财政拨款收入177.42万元。</w:t>
      </w:r>
      <w:r>
        <w:rPr>
          <w:rFonts w:ascii="仿宋_GB2312" w:hAnsi="仿宋_GB2312" w:eastAsia="仿宋_GB2312"/>
          <w:b/>
          <w:sz w:val="32"/>
        </w:rPr>
        <w:t>财政拨款支出总计177.42万元，</w:t>
      </w:r>
      <w:r>
        <w:rPr>
          <w:rFonts w:ascii="仿宋_GB2312" w:hAnsi="仿宋_GB2312" w:eastAsia="仿宋_GB2312"/>
          <w:b w:val="0"/>
          <w:sz w:val="32"/>
        </w:rPr>
        <w:t>其中：年末财政拨款结转和结余0.00万元，本年财政拨款支出177.42万元。</w:t>
      </w:r>
    </w:p>
    <w:p w14:paraId="624E548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减少13.41万元，下降7.03%，主要原因是：本年在职人员调入调出，人员职级不同，工资基数不同，导致人员经费较上年减少。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年初预算数183.82万元，决算数177.42万元，预决算差异率-3.48%，主要原因是：本年在职人员调入调出，人员职级不同，工资基数不同，调出人员工资基数较高，年中调减人员经费。</w:t>
      </w:r>
    </w:p>
    <w:p w14:paraId="7F814512">
      <w:pPr>
        <w:spacing w:line="640" w:lineRule="exact"/>
        <w:ind w:firstLine="640"/>
        <w:jc w:val="both"/>
        <w:outlineLvl w:val="2"/>
      </w:pPr>
      <w:r>
        <w:rPr>
          <w:rFonts w:ascii="黑体" w:hAnsi="黑体" w:eastAsia="黑体"/>
          <w:sz w:val="32"/>
        </w:rPr>
        <w:t>五、一般公共预算财政拨款支出决算情况说明</w:t>
      </w:r>
    </w:p>
    <w:p w14:paraId="74F87A86">
      <w:pPr>
        <w:spacing w:line="640" w:lineRule="exact"/>
        <w:ind w:firstLine="640"/>
        <w:jc w:val="both"/>
        <w:outlineLvl w:val="3"/>
      </w:pPr>
      <w:r>
        <w:rPr>
          <w:rFonts w:ascii="楷体_GB2312" w:hAnsi="楷体_GB2312" w:eastAsia="楷体_GB2312"/>
          <w:b/>
          <w:sz w:val="32"/>
        </w:rPr>
        <w:t>（一）一般公共预算财政拨款支出决算总体情况</w:t>
      </w:r>
    </w:p>
    <w:p w14:paraId="2812E666">
      <w:pPr>
        <w:spacing w:line="580" w:lineRule="exact"/>
        <w:ind w:firstLine="640"/>
        <w:jc w:val="both"/>
      </w:pPr>
      <w:r>
        <w:rPr>
          <w:rFonts w:ascii="仿宋_GB2312" w:hAnsi="仿宋_GB2312" w:eastAsia="仿宋_GB2312"/>
          <w:b/>
          <w:sz w:val="32"/>
        </w:rPr>
        <w:t>2024年度一般公共预算财政拨款支出177.42万元，</w:t>
      </w:r>
      <w:r>
        <w:rPr>
          <w:rFonts w:ascii="仿宋_GB2312" w:hAnsi="仿宋_GB2312" w:eastAsia="仿宋_GB2312"/>
          <w:b w:val="0"/>
          <w:sz w:val="32"/>
        </w:rPr>
        <w:t>占本年支出合计的99.45%。</w:t>
      </w:r>
      <w:r>
        <w:rPr>
          <w:rFonts w:ascii="仿宋_GB2312" w:hAnsi="仿宋_GB2312" w:eastAsia="仿宋_GB2312"/>
          <w:b/>
          <w:sz w:val="32"/>
        </w:rPr>
        <w:t>与上年相比，</w:t>
      </w:r>
      <w:r>
        <w:rPr>
          <w:rFonts w:ascii="仿宋_GB2312" w:hAnsi="仿宋_GB2312" w:eastAsia="仿宋_GB2312"/>
          <w:b w:val="0"/>
          <w:sz w:val="32"/>
        </w:rPr>
        <w:t>减少13.41万元，下降7.03%，主要原因是：本年在职人员调入调出，人员职级不同，工资基数不同，导致人员经费较上年减少。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年初预算数183.82万元，决算数177.42万元，预决算差异率-3.48%，主要原因是：本年在职人员调入调出，人员职级不同，工资基数不同，调出人员工资基数较高，年中调减人员经费。</w:t>
      </w:r>
    </w:p>
    <w:p w14:paraId="5C3827B7">
      <w:pPr>
        <w:spacing w:line="640" w:lineRule="exact"/>
        <w:ind w:firstLine="640"/>
        <w:jc w:val="both"/>
        <w:outlineLvl w:val="3"/>
      </w:pPr>
      <w:r>
        <w:rPr>
          <w:rFonts w:ascii="楷体_GB2312" w:hAnsi="楷体_GB2312" w:eastAsia="楷体_GB2312"/>
          <w:b/>
          <w:sz w:val="32"/>
        </w:rPr>
        <w:t>（二）一般公共预算财政拨款支出决算结构情况</w:t>
      </w:r>
    </w:p>
    <w:p w14:paraId="1A056EBB">
      <w:pPr>
        <w:spacing w:line="580" w:lineRule="exact"/>
        <w:ind w:firstLine="640"/>
        <w:jc w:val="both"/>
      </w:pPr>
      <w:r>
        <w:rPr>
          <w:rFonts w:ascii="仿宋_GB2312" w:hAnsi="仿宋_GB2312" w:eastAsia="仿宋_GB2312"/>
          <w:b w:val="0"/>
          <w:sz w:val="32"/>
        </w:rPr>
        <w:t>1.教育支出(类)135.26万元,占76.24%。</w:t>
      </w:r>
    </w:p>
    <w:p w14:paraId="6D96255A">
      <w:pPr>
        <w:spacing w:line="580" w:lineRule="exact"/>
        <w:ind w:firstLine="640"/>
        <w:jc w:val="both"/>
      </w:pPr>
      <w:r>
        <w:rPr>
          <w:rFonts w:ascii="仿宋_GB2312" w:hAnsi="仿宋_GB2312" w:eastAsia="仿宋_GB2312"/>
          <w:b w:val="0"/>
          <w:sz w:val="32"/>
        </w:rPr>
        <w:t>2.社会保障和就业支出(类)23.25万元,占13.10%。</w:t>
      </w:r>
    </w:p>
    <w:p w14:paraId="59630D49">
      <w:pPr>
        <w:spacing w:line="580" w:lineRule="exact"/>
        <w:ind w:firstLine="640"/>
        <w:jc w:val="both"/>
      </w:pPr>
      <w:r>
        <w:rPr>
          <w:rFonts w:ascii="仿宋_GB2312" w:hAnsi="仿宋_GB2312" w:eastAsia="仿宋_GB2312"/>
          <w:b w:val="0"/>
          <w:sz w:val="32"/>
        </w:rPr>
        <w:t>3.卫生健康支出(类)7.22万元,占4.07%。</w:t>
      </w:r>
    </w:p>
    <w:p w14:paraId="7ACB18E1">
      <w:pPr>
        <w:spacing w:line="580" w:lineRule="exact"/>
        <w:ind w:firstLine="640"/>
        <w:jc w:val="both"/>
      </w:pPr>
      <w:r>
        <w:rPr>
          <w:rFonts w:ascii="仿宋_GB2312" w:hAnsi="仿宋_GB2312" w:eastAsia="仿宋_GB2312"/>
          <w:b w:val="0"/>
          <w:sz w:val="32"/>
        </w:rPr>
        <w:t>4.住房保障支出(类)11.69万元,占6.59%。</w:t>
      </w:r>
    </w:p>
    <w:p w14:paraId="7294367B">
      <w:pPr>
        <w:spacing w:line="640" w:lineRule="exact"/>
        <w:ind w:firstLine="640"/>
        <w:jc w:val="both"/>
        <w:outlineLvl w:val="3"/>
      </w:pPr>
      <w:r>
        <w:rPr>
          <w:rFonts w:ascii="楷体_GB2312" w:hAnsi="楷体_GB2312" w:eastAsia="楷体_GB2312"/>
          <w:b/>
          <w:sz w:val="32"/>
        </w:rPr>
        <w:t>（三）一般公共预算财政拨款支出决算具体情况</w:t>
      </w:r>
    </w:p>
    <w:p w14:paraId="3CC3916D">
      <w:pPr>
        <w:spacing w:line="580" w:lineRule="exact"/>
        <w:ind w:firstLine="640"/>
        <w:jc w:val="both"/>
      </w:pPr>
      <w:r>
        <w:rPr>
          <w:rFonts w:ascii="仿宋_GB2312" w:hAnsi="仿宋_GB2312" w:eastAsia="仿宋_GB2312"/>
          <w:b w:val="0"/>
          <w:sz w:val="32"/>
        </w:rPr>
        <w:t>1.教育支出(类)教育管理事务(款)行政运行(项):支出决算数为135.26万元，比上年决算减少55.57万元，下降29.12%,主要原因是：一是本年在职人员调入调出，人员职级不同，工资基数不同，导致人员经费较上年减少；二是本年科目调整，</w:t>
      </w:r>
      <w:r>
        <w:rPr>
          <w:rFonts w:hint="eastAsia" w:ascii="仿宋_GB2312" w:hAnsi="仿宋_GB2312" w:eastAsia="仿宋_GB2312"/>
          <w:b w:val="0"/>
          <w:sz w:val="32"/>
          <w:lang w:val="en-US" w:eastAsia="zh-CN"/>
        </w:rPr>
        <w:t>退休人员经费、</w:t>
      </w:r>
      <w:r>
        <w:rPr>
          <w:rFonts w:ascii="仿宋_GB2312" w:hAnsi="仿宋_GB2312" w:eastAsia="仿宋_GB2312"/>
          <w:b w:val="0"/>
          <w:sz w:val="32"/>
        </w:rPr>
        <w:t>职工住房公积金、医疗保险、公务员医疗补助上年在主科目列支，本年单独列支，导致经费减少。</w:t>
      </w:r>
    </w:p>
    <w:p w14:paraId="7FDA0933">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7.09万元，比上年决算增加7.09万元，增长100.00%,主要原因是：本年功能科目调整，行政单位离退休上年度在主科目列支，本年单独列支，导致经费较上年增加。</w:t>
      </w:r>
    </w:p>
    <w:p w14:paraId="3DD8BF00">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14.30万元，比上年决算增加14.30万元，增长100.00%,主要原因是：本年功能科目调整，养老保险缴费上年度在主科目列支，本年单独列支，导致经费较上年增加。</w:t>
      </w:r>
    </w:p>
    <w:p w14:paraId="30989907">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4.社会保障和就业支出(类)行政事业单位养老支出(款)机关事业单位职业年金缴费支出(项):支出决算数为1.86万元，比上年决算增加1.86万元，增长100.00%,主要原因是：</w:t>
      </w:r>
      <w:r>
        <w:rPr>
          <w:rFonts w:hint="eastAsia" w:ascii="仿宋_GB2312" w:hAnsi="仿宋_GB2312" w:eastAsia="仿宋_GB2312"/>
          <w:b w:val="0"/>
          <w:sz w:val="32"/>
        </w:rPr>
        <w:t>2024年10月份开始缴纳在职职工职业年金单位部分</w:t>
      </w:r>
      <w:r>
        <w:rPr>
          <w:rFonts w:ascii="仿宋_GB2312" w:hAnsi="仿宋_GB2312" w:eastAsia="仿宋_GB2312"/>
          <w:b w:val="0"/>
          <w:sz w:val="32"/>
        </w:rPr>
        <w:t>。</w:t>
      </w:r>
    </w:p>
    <w:p w14:paraId="3C5F8DBE">
      <w:pPr>
        <w:spacing w:line="580" w:lineRule="exact"/>
        <w:ind w:firstLine="640"/>
        <w:jc w:val="both"/>
      </w:pPr>
      <w:r>
        <w:rPr>
          <w:rFonts w:ascii="仿宋_GB2312" w:hAnsi="仿宋_GB2312" w:eastAsia="仿宋_GB2312"/>
          <w:b w:val="0"/>
          <w:sz w:val="32"/>
        </w:rPr>
        <w:t>5.卫生健康支出(类)行政事业单位医疗(款)行政单位医疗(项):支出决算数为5.83万元，比上年决算增加5.83万元，增长100.00%,主要原因是：本年功能科目调整，行政单位医疗上年度在主科目列支，本年单独列支，导致经费较上年增加。</w:t>
      </w:r>
    </w:p>
    <w:p w14:paraId="41E562CA">
      <w:pPr>
        <w:spacing w:line="580" w:lineRule="exact"/>
        <w:ind w:firstLine="640"/>
        <w:jc w:val="both"/>
      </w:pPr>
      <w:r>
        <w:rPr>
          <w:rFonts w:ascii="仿宋_GB2312" w:hAnsi="仿宋_GB2312" w:eastAsia="仿宋_GB2312"/>
          <w:b w:val="0"/>
          <w:sz w:val="32"/>
        </w:rPr>
        <w:t>6.卫生健康支出(类)行政事业单位医疗(款)公务员医疗补助(项):支出决算数为0.79万元，比上年决算增加0.79万元，增长100.00%,主要原因是：本年功能科目调整，公务员医疗补助上年度在主科目列支，本年单独列支，导致经费较上年增加。</w:t>
      </w:r>
    </w:p>
    <w:p w14:paraId="2A47E844">
      <w:pPr>
        <w:spacing w:line="580" w:lineRule="exact"/>
        <w:ind w:firstLine="640"/>
        <w:jc w:val="both"/>
      </w:pPr>
      <w:r>
        <w:rPr>
          <w:rFonts w:ascii="仿宋_GB2312" w:hAnsi="仿宋_GB2312" w:eastAsia="仿宋_GB2312"/>
          <w:b w:val="0"/>
          <w:sz w:val="32"/>
        </w:rPr>
        <w:t>7.卫生健康支出(类)行政事业单位医疗(款)其他行政事业单位医疗支出(项):支出决算数为0.60万元，比上年决算增加0.60万元，增长100.00%,主要原因是：本年功能科目调整，职工大病，工伤，失业保险上年度在主科目列支，本年单独列支，导致经费较上年增加。</w:t>
      </w:r>
    </w:p>
    <w:p w14:paraId="4DF97D4C">
      <w:pPr>
        <w:spacing w:line="580" w:lineRule="exact"/>
        <w:ind w:firstLine="640"/>
        <w:jc w:val="both"/>
      </w:pPr>
      <w:r>
        <w:rPr>
          <w:rFonts w:ascii="仿宋_GB2312" w:hAnsi="仿宋_GB2312" w:eastAsia="仿宋_GB2312"/>
          <w:b w:val="0"/>
          <w:sz w:val="32"/>
        </w:rPr>
        <w:t>8.住房保障支出(类)住房改革支出(款)住房公积金(项):支出决算数为11.69万元，比上年决算增加11.69万元，增长100.00%,主要原因是：本年功能科目调整，住房公积金上年度在主科目列支，本年单独列支，导致经费较上年增加。</w:t>
      </w:r>
    </w:p>
    <w:p w14:paraId="43DD7589">
      <w:pPr>
        <w:spacing w:line="640" w:lineRule="exact"/>
        <w:ind w:firstLine="640"/>
        <w:jc w:val="both"/>
        <w:outlineLvl w:val="2"/>
      </w:pPr>
      <w:r>
        <w:rPr>
          <w:rFonts w:ascii="黑体" w:hAnsi="黑体" w:eastAsia="黑体"/>
          <w:sz w:val="32"/>
        </w:rPr>
        <w:t>六、一般公共预算财政拨款基本支出决算情况说明</w:t>
      </w:r>
    </w:p>
    <w:p w14:paraId="756AB5D0">
      <w:pPr>
        <w:spacing w:line="580" w:lineRule="exact"/>
        <w:ind w:firstLine="640"/>
        <w:jc w:val="both"/>
      </w:pPr>
      <w:r>
        <w:rPr>
          <w:rFonts w:ascii="仿宋_GB2312" w:hAnsi="仿宋_GB2312" w:eastAsia="仿宋_GB2312"/>
          <w:b w:val="0"/>
          <w:sz w:val="32"/>
        </w:rPr>
        <w:t>2024年度一般公共预算财政拨款基本支出177.42万元，其中：</w:t>
      </w:r>
      <w:r>
        <w:rPr>
          <w:rFonts w:ascii="仿宋_GB2312" w:hAnsi="仿宋_GB2312" w:eastAsia="仿宋_GB2312"/>
          <w:b/>
          <w:sz w:val="32"/>
        </w:rPr>
        <w:t>人员经费158.11万元，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w:t>
      </w:r>
    </w:p>
    <w:p w14:paraId="46513F13">
      <w:pPr>
        <w:spacing w:line="580" w:lineRule="exact"/>
        <w:ind w:firstLine="640"/>
        <w:jc w:val="both"/>
      </w:pPr>
      <w:r>
        <w:rPr>
          <w:rFonts w:ascii="仿宋_GB2312" w:hAnsi="仿宋_GB2312" w:eastAsia="仿宋_GB2312"/>
          <w:b/>
          <w:sz w:val="32"/>
        </w:rPr>
        <w:t>公用经费19.31万元，</w:t>
      </w:r>
      <w:r>
        <w:rPr>
          <w:rFonts w:ascii="仿宋_GB2312" w:hAnsi="仿宋_GB2312" w:eastAsia="仿宋_GB2312"/>
          <w:b w:val="0"/>
          <w:sz w:val="32"/>
        </w:rPr>
        <w:t>包括：办公费、水费、邮电费、取暖费、差旅费。</w:t>
      </w:r>
    </w:p>
    <w:p w14:paraId="28A2C3C9">
      <w:pPr>
        <w:spacing w:line="640" w:lineRule="exact"/>
        <w:ind w:firstLine="640"/>
        <w:jc w:val="both"/>
        <w:outlineLvl w:val="2"/>
      </w:pPr>
      <w:r>
        <w:rPr>
          <w:rFonts w:ascii="黑体" w:hAnsi="黑体" w:eastAsia="黑体"/>
          <w:sz w:val="32"/>
        </w:rPr>
        <w:t>七、政府性基金预算财政拨款收入支出决算情况说明</w:t>
      </w:r>
    </w:p>
    <w:p w14:paraId="25C9F083">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EB79BF1">
      <w:pPr>
        <w:spacing w:line="640" w:lineRule="exact"/>
        <w:ind w:firstLine="640"/>
        <w:jc w:val="both"/>
        <w:outlineLvl w:val="2"/>
      </w:pPr>
      <w:r>
        <w:rPr>
          <w:rFonts w:ascii="黑体" w:hAnsi="黑体" w:eastAsia="黑体"/>
          <w:sz w:val="32"/>
        </w:rPr>
        <w:t>八、国有资本经营预算财政拨款收入支出决算情况说明</w:t>
      </w:r>
    </w:p>
    <w:p w14:paraId="11BF26D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181CEA6">
      <w:pPr>
        <w:spacing w:line="640" w:lineRule="exact"/>
        <w:ind w:firstLine="640"/>
        <w:jc w:val="both"/>
        <w:outlineLvl w:val="2"/>
      </w:pPr>
      <w:r>
        <w:rPr>
          <w:rFonts w:ascii="黑体" w:hAnsi="黑体" w:eastAsia="黑体"/>
          <w:sz w:val="32"/>
        </w:rPr>
        <w:t>九、财政拨款“三公”经费支出决算情况说明</w:t>
      </w:r>
    </w:p>
    <w:p w14:paraId="2B0C49EE">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2C4FE97">
      <w:pPr>
        <w:spacing w:line="580" w:lineRule="exact"/>
        <w:ind w:firstLine="640"/>
        <w:jc w:val="both"/>
      </w:pPr>
      <w:r>
        <w:rPr>
          <w:rFonts w:ascii="仿宋_GB2312" w:hAnsi="仿宋_GB2312" w:eastAsia="仿宋_GB2312"/>
          <w:b/>
          <w:sz w:val="32"/>
        </w:rPr>
        <w:t>具体情况如下：</w:t>
      </w:r>
    </w:p>
    <w:p w14:paraId="775BD2F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73F8E25">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5CB9468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29CE75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DD30FDC">
      <w:pPr>
        <w:spacing w:line="640" w:lineRule="exact"/>
        <w:ind w:firstLine="640"/>
        <w:jc w:val="both"/>
        <w:outlineLvl w:val="2"/>
      </w:pPr>
      <w:r>
        <w:rPr>
          <w:rFonts w:ascii="黑体" w:hAnsi="黑体" w:eastAsia="黑体"/>
          <w:sz w:val="32"/>
        </w:rPr>
        <w:t>十、其他重要事项的情况说明</w:t>
      </w:r>
    </w:p>
    <w:p w14:paraId="130D7CD0">
      <w:pPr>
        <w:spacing w:line="640" w:lineRule="exact"/>
        <w:ind w:firstLine="640"/>
        <w:jc w:val="both"/>
        <w:outlineLvl w:val="3"/>
      </w:pPr>
      <w:r>
        <w:rPr>
          <w:rFonts w:ascii="楷体_GB2312" w:hAnsi="楷体_GB2312" w:eastAsia="楷体_GB2312"/>
          <w:b/>
          <w:sz w:val="32"/>
        </w:rPr>
        <w:t>（一）机关运行经费及公用经费支出情况</w:t>
      </w:r>
    </w:p>
    <w:p w14:paraId="691D30F0">
      <w:pPr>
        <w:spacing w:line="580" w:lineRule="exact"/>
        <w:ind w:firstLine="640"/>
        <w:jc w:val="both"/>
      </w:pPr>
      <w:r>
        <w:rPr>
          <w:rFonts w:ascii="仿宋_GB2312" w:hAnsi="仿宋_GB2312" w:eastAsia="仿宋_GB2312"/>
          <w:b w:val="0"/>
          <w:sz w:val="32"/>
        </w:rPr>
        <w:t>2024年度中共民丰县委党校（行政单位和参照公务员法管理事业单位）机关运行经费支出19.31万元，比上年增加0.60万元，增长3.21%，主要原因是：本年在职人员增加，办公费用增加。</w:t>
      </w:r>
    </w:p>
    <w:p w14:paraId="766C59AF">
      <w:pPr>
        <w:spacing w:line="640" w:lineRule="exact"/>
        <w:ind w:firstLine="640"/>
        <w:jc w:val="both"/>
        <w:outlineLvl w:val="3"/>
      </w:pPr>
      <w:r>
        <w:rPr>
          <w:rFonts w:ascii="楷体_GB2312" w:hAnsi="楷体_GB2312" w:eastAsia="楷体_GB2312"/>
          <w:b/>
          <w:sz w:val="32"/>
        </w:rPr>
        <w:t>（二）政府采购情况</w:t>
      </w:r>
    </w:p>
    <w:p w14:paraId="74839EE5">
      <w:pPr>
        <w:spacing w:line="580" w:lineRule="exact"/>
        <w:ind w:firstLine="640"/>
        <w:jc w:val="both"/>
      </w:pPr>
      <w:r>
        <w:rPr>
          <w:rFonts w:ascii="仿宋_GB2312" w:hAnsi="仿宋_GB2312" w:eastAsia="仿宋_GB2312"/>
          <w:b w:val="0"/>
          <w:sz w:val="32"/>
        </w:rPr>
        <w:t>2024年度政府采购支出总额8.20万元，其中：政府采购货物支出0.00万元、政府采购工程支出0.00万元、政府采购服务支出8.20万元。</w:t>
      </w:r>
    </w:p>
    <w:p w14:paraId="554868BD">
      <w:pPr>
        <w:spacing w:line="580" w:lineRule="exact"/>
        <w:ind w:firstLine="640"/>
        <w:jc w:val="both"/>
      </w:pPr>
      <w:r>
        <w:rPr>
          <w:rFonts w:ascii="仿宋_GB2312" w:hAnsi="仿宋_GB2312" w:eastAsia="仿宋_GB2312"/>
          <w:b w:val="0"/>
          <w:sz w:val="32"/>
        </w:rPr>
        <w:t>授予中小企业合同金额8.20万元，占政府采购支出总额的100.00%，其中：授予小微企业合同金额8.20万元，占政府采购支出总额的100.00%。</w:t>
      </w:r>
    </w:p>
    <w:p w14:paraId="70098F9E">
      <w:pPr>
        <w:spacing w:line="640" w:lineRule="exact"/>
        <w:ind w:firstLine="640"/>
        <w:jc w:val="both"/>
        <w:outlineLvl w:val="3"/>
      </w:pPr>
      <w:r>
        <w:rPr>
          <w:rFonts w:ascii="楷体_GB2312" w:hAnsi="楷体_GB2312" w:eastAsia="楷体_GB2312"/>
          <w:b/>
          <w:sz w:val="32"/>
        </w:rPr>
        <w:t>（三）国有资产占用情况说明</w:t>
      </w:r>
    </w:p>
    <w:p w14:paraId="62882F54">
      <w:pPr>
        <w:spacing w:line="580" w:lineRule="exact"/>
        <w:ind w:firstLine="640"/>
        <w:jc w:val="both"/>
      </w:pPr>
      <w:r>
        <w:rPr>
          <w:rFonts w:ascii="仿宋_GB2312" w:hAnsi="仿宋_GB2312" w:eastAsia="仿宋_GB2312"/>
          <w:b w:val="0"/>
          <w:sz w:val="32"/>
        </w:rPr>
        <w:t>截至2024年12月31日，房屋1,765.85平方米，价值64.93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002E2115">
      <w:pPr>
        <w:spacing w:line="640" w:lineRule="exact"/>
        <w:ind w:firstLine="640"/>
        <w:jc w:val="both"/>
        <w:outlineLvl w:val="2"/>
      </w:pPr>
      <w:r>
        <w:rPr>
          <w:rFonts w:ascii="黑体" w:hAnsi="黑体" w:eastAsia="黑体"/>
          <w:sz w:val="32"/>
        </w:rPr>
        <w:t>十一、预算绩效的情况说明</w:t>
      </w:r>
    </w:p>
    <w:p w14:paraId="64EB7B0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219.00万元，实际执行总额178.40万元；预算绩效评价项目0个，全年预算数0.00万元，全年执行数0.00万元。预算绩效管理取得的成效：2024年本单位无预算绩效项目。发现的问题及原因：2024年本单位无预算绩效项目。下一步改进措施：2024年本单位无预算绩效项目。具体附整体支出绩效自评表。</w:t>
      </w:r>
    </w:p>
    <w:p w14:paraId="4CF3F859">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228FFF6">
        <w:tblPrEx>
          <w:tblCellMar>
            <w:top w:w="0" w:type="dxa"/>
            <w:left w:w="108" w:type="dxa"/>
            <w:bottom w:w="0" w:type="dxa"/>
            <w:right w:w="108" w:type="dxa"/>
          </w:tblCellMar>
        </w:tblPrEx>
        <w:tc>
          <w:tcPr>
            <w:tcW w:w="8847" w:type="dxa"/>
            <w:gridSpan w:val="9"/>
            <w:vAlign w:val="center"/>
          </w:tcPr>
          <w:p w14:paraId="0169BA1A">
            <w:pPr>
              <w:jc w:val="center"/>
            </w:pPr>
            <w:r>
              <w:rPr>
                <w:rFonts w:ascii="宋体" w:hAnsi="宋体" w:eastAsia="宋体"/>
                <w:sz w:val="24"/>
              </w:rPr>
              <w:t>单位整体支出绩效自评表</w:t>
            </w:r>
          </w:p>
        </w:tc>
      </w:tr>
      <w:tr w14:paraId="62369376">
        <w:tblPrEx>
          <w:tblCellMar>
            <w:top w:w="0" w:type="dxa"/>
            <w:left w:w="108" w:type="dxa"/>
            <w:bottom w:w="0" w:type="dxa"/>
            <w:right w:w="108" w:type="dxa"/>
          </w:tblCellMar>
        </w:tblPrEx>
        <w:tc>
          <w:tcPr>
            <w:tcW w:w="8847" w:type="dxa"/>
            <w:gridSpan w:val="9"/>
            <w:vAlign w:val="center"/>
          </w:tcPr>
          <w:p w14:paraId="59E5E2C3">
            <w:pPr>
              <w:jc w:val="center"/>
            </w:pPr>
            <w:r>
              <w:rPr>
                <w:rFonts w:ascii="宋体" w:hAnsi="宋体" w:eastAsia="宋体"/>
                <w:sz w:val="24"/>
              </w:rPr>
              <w:t>（2024年度）</w:t>
            </w:r>
          </w:p>
        </w:tc>
      </w:tr>
      <w:tr w14:paraId="6A1B699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8F9560">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578CA83">
            <w:pPr>
              <w:jc w:val="center"/>
            </w:pPr>
            <w:r>
              <w:rPr>
                <w:rFonts w:ascii="宋体" w:hAnsi="宋体" w:eastAsia="宋体"/>
                <w:sz w:val="16"/>
              </w:rPr>
              <w:t>中共民丰县委党校</w:t>
            </w:r>
          </w:p>
        </w:tc>
      </w:tr>
      <w:tr w14:paraId="3123205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98E3E5">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21BE9">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E62DC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07BD10">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583E0D">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736F6">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518766">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6CA22">
            <w:pPr>
              <w:jc w:val="center"/>
            </w:pPr>
            <w:r>
              <w:rPr>
                <w:rFonts w:ascii="宋体" w:hAnsi="宋体" w:eastAsia="宋体"/>
                <w:sz w:val="16"/>
              </w:rPr>
              <w:t>得分</w:t>
            </w:r>
          </w:p>
        </w:tc>
      </w:tr>
      <w:tr w14:paraId="7E48F4B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8C098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99A650">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9783C">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69727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1EA8B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266B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E1BE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277BC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ACD6E3">
            <w:pPr>
              <w:jc w:val="center"/>
            </w:pPr>
            <w:r>
              <w:rPr>
                <w:rFonts w:ascii="宋体" w:hAnsi="宋体" w:eastAsia="宋体"/>
                <w:sz w:val="16"/>
              </w:rPr>
              <w:t>-</w:t>
            </w:r>
          </w:p>
        </w:tc>
      </w:tr>
      <w:tr w14:paraId="2E770D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0C08B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D76E7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F4F009">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E10D1B">
            <w:pPr>
              <w:jc w:val="center"/>
            </w:pPr>
            <w:r>
              <w:rPr>
                <w:rFonts w:ascii="宋体" w:hAnsi="宋体" w:eastAsia="宋体"/>
                <w:sz w:val="16"/>
              </w:rPr>
              <w:t>183.82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8C431E">
            <w:pPr>
              <w:jc w:val="center"/>
            </w:pPr>
            <w:r>
              <w:rPr>
                <w:rFonts w:ascii="宋体" w:hAnsi="宋体" w:eastAsia="宋体"/>
                <w:sz w:val="16"/>
              </w:rPr>
              <w:t>177.42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76ADE">
            <w:pPr>
              <w:jc w:val="center"/>
            </w:pPr>
            <w:r>
              <w:rPr>
                <w:rFonts w:ascii="宋体" w:hAnsi="宋体" w:eastAsia="宋体"/>
                <w:sz w:val="16"/>
              </w:rPr>
              <w:t>177.42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07420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513A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DDE19">
            <w:pPr>
              <w:jc w:val="center"/>
            </w:pPr>
            <w:r>
              <w:rPr>
                <w:rFonts w:ascii="宋体" w:hAnsi="宋体" w:eastAsia="宋体"/>
                <w:sz w:val="16"/>
              </w:rPr>
              <w:t>-</w:t>
            </w:r>
          </w:p>
        </w:tc>
      </w:tr>
      <w:tr w14:paraId="4B97F2E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3E81B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050D0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AB6D51">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A6A30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30799">
            <w:pPr>
              <w:jc w:val="center"/>
            </w:pPr>
            <w:r>
              <w:rPr>
                <w:rFonts w:ascii="宋体" w:hAnsi="宋体" w:eastAsia="宋体"/>
                <w:sz w:val="16"/>
              </w:rPr>
              <w:t>41.58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60DBEA">
            <w:pPr>
              <w:jc w:val="center"/>
            </w:pPr>
            <w:r>
              <w:rPr>
                <w:rFonts w:ascii="宋体" w:hAnsi="宋体" w:eastAsia="宋体"/>
                <w:sz w:val="16"/>
              </w:rPr>
              <w:t>0.98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EAED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AE9B5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06D52">
            <w:pPr>
              <w:jc w:val="center"/>
            </w:pPr>
            <w:r>
              <w:rPr>
                <w:rFonts w:ascii="宋体" w:hAnsi="宋体" w:eastAsia="宋体"/>
                <w:sz w:val="16"/>
              </w:rPr>
              <w:t>-</w:t>
            </w:r>
          </w:p>
        </w:tc>
      </w:tr>
      <w:tr w14:paraId="6DB5A18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911F9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F64EAF">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2FCDB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4C4E77">
            <w:pPr>
              <w:jc w:val="center"/>
            </w:pPr>
            <w:r>
              <w:rPr>
                <w:rFonts w:ascii="宋体" w:hAnsi="宋体" w:eastAsia="宋体"/>
                <w:sz w:val="16"/>
              </w:rPr>
              <w:t>183.82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C45D6">
            <w:pPr>
              <w:jc w:val="center"/>
            </w:pPr>
            <w:r>
              <w:rPr>
                <w:rFonts w:ascii="宋体" w:hAnsi="宋体" w:eastAsia="宋体"/>
                <w:sz w:val="16"/>
              </w:rPr>
              <w:t>219.00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D8511D">
            <w:pPr>
              <w:jc w:val="center"/>
            </w:pPr>
            <w:r>
              <w:rPr>
                <w:rFonts w:ascii="宋体" w:hAnsi="宋体" w:eastAsia="宋体"/>
                <w:sz w:val="16"/>
              </w:rPr>
              <w:t>178.40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A749E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F9DA8">
            <w:pPr>
              <w:jc w:val="center"/>
            </w:pPr>
            <w:r>
              <w:rPr>
                <w:rFonts w:ascii="宋体" w:hAnsi="宋体" w:eastAsia="宋体"/>
                <w:sz w:val="16"/>
              </w:rPr>
              <w:t>81.46%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CE604A">
            <w:pPr>
              <w:jc w:val="center"/>
            </w:pPr>
            <w:r>
              <w:rPr>
                <w:rFonts w:ascii="宋体" w:hAnsi="宋体" w:eastAsia="宋体"/>
                <w:sz w:val="16"/>
              </w:rPr>
              <w:t>8.15</w:t>
            </w:r>
          </w:p>
        </w:tc>
      </w:tr>
      <w:tr w14:paraId="4DEA288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F3F77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1D9C39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123EB0">
            <w:pPr>
              <w:jc w:val="center"/>
            </w:pPr>
            <w:r>
              <w:rPr>
                <w:rFonts w:ascii="宋体" w:hAnsi="宋体" w:eastAsia="宋体"/>
                <w:sz w:val="16"/>
              </w:rPr>
              <w:t>实际完成情况</w:t>
            </w:r>
          </w:p>
        </w:tc>
      </w:tr>
      <w:tr w14:paraId="085CA3C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22002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FA0AE4C">
            <w:pPr>
              <w:jc w:val="both"/>
            </w:pPr>
            <w:r>
              <w:rPr>
                <w:rFonts w:ascii="宋体" w:hAnsi="宋体" w:eastAsia="宋体"/>
                <w:sz w:val="16"/>
              </w:rPr>
              <w:t>目标1：着力提升教学质量。汇聚集体智慧，积极打造精品课程，力争形成一批富有地方特色、具有较好教学效果的特色品牌课程，及时更新授课专题，确保主体班专题更新率保持在60%以上。积极探索创新教学方法，力争形成1个案例式教学专题，组织学员以竞赛、专题研讨、品书会、汇演等方式进行交流，使学员的创造力、凝聚力、战斗力不断增强。</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目标2：强化培训班管理，严肃培训纪律。坚持、完善培训班管理制度、办法，突出党校主责地位，强化培训班管理，严肃教风学风。</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以年轻教师和转型教师为重点，加强师资培养力度。优先选派年轻教师和转型教师外出参加培训，适时组织教师赴上级党校听课学习，为教师学习深造、参与实践、对外交流创造条件、提供平台。二是落实好教科研工作量化考核制度，为每名教师定任务、压担子，常态化开展说课、试讲，确保每名教师保质保量完成年度教科研任务，增加教学有效供给。</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E9E2F9">
            <w:pPr>
              <w:jc w:val="both"/>
            </w:pPr>
            <w:r>
              <w:rPr>
                <w:rFonts w:ascii="宋体" w:hAnsi="宋体" w:eastAsia="宋体"/>
                <w:sz w:val="16"/>
              </w:rPr>
              <w:t>目标1：着力提升教学质量。汇聚集体智慧，积极打造精品课程，力争形成一批富有地方特色、具有较好教学效果的特色品牌课程，及时更新授课专题，确保主体班专题更新率保持在60%以上。积极探索创新教学方法，力争形成1个案例式教学专题，组织学员以竞赛、专题研讨、品书会、汇演等方式进行交流，使学员的创造力、凝聚力、战斗力不断增强。</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目标2：强化培训班管理，严肃培训纪律。坚持、完善培训班管理制度、办法，突出党校主责地位，强化培训班管理，严肃教风学风。</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以年轻教师和转型教师为重点，加强师资培养力度。优先选派年轻教师和转型教师外出参加培训，适时组织教师赴上级党校听课学习，为教师学习深造、参与实践、对外交流创造条件、提供平台。二是落实好教科研工作量化考核制度，为每名教师定任务、压担子，常态化开展说课、试讲，确保每名教师保质保量完成年度教科研任务，增加教学有效供给。</w:t>
            </w:r>
          </w:p>
        </w:tc>
      </w:tr>
      <w:tr w14:paraId="19E925F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EA79E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8BD815">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F1CF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C2CB79">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E82388">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50077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9CA97">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5ABB67">
            <w:pPr>
              <w:jc w:val="center"/>
            </w:pPr>
            <w:r>
              <w:rPr>
                <w:rFonts w:ascii="宋体" w:hAnsi="宋体" w:eastAsia="宋体"/>
                <w:sz w:val="16"/>
              </w:rPr>
              <w:t>得分</w:t>
            </w:r>
          </w:p>
        </w:tc>
      </w:tr>
      <w:tr w14:paraId="3C767B8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7FABA2">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8ADD4F">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64549">
            <w:pPr>
              <w:jc w:val="center"/>
            </w:pPr>
            <w:r>
              <w:rPr>
                <w:rFonts w:ascii="宋体" w:hAnsi="宋体" w:eastAsia="宋体"/>
                <w:sz w:val="16"/>
              </w:rPr>
              <w:t>组织培训班次数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DE8E45">
            <w:pPr>
              <w:jc w:val="center"/>
            </w:pPr>
            <w:r>
              <w:rPr>
                <w:rFonts w:ascii="宋体" w:hAnsi="宋体" w:eastAsia="宋体"/>
                <w:sz w:val="16"/>
              </w:rPr>
              <w:t>&gt;=33次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062228">
            <w:pPr>
              <w:jc w:val="center"/>
            </w:pPr>
            <w:r>
              <w:rPr>
                <w:rFonts w:ascii="宋体" w:hAnsi="宋体" w:eastAsia="宋体"/>
                <w:sz w:val="16"/>
              </w:rPr>
              <w:t>计划工作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B7EE6C">
            <w:pPr>
              <w:jc w:val="center"/>
            </w:pPr>
            <w:r>
              <w:rPr>
                <w:rFonts w:ascii="宋体" w:hAnsi="宋体" w:eastAsia="宋体"/>
                <w:sz w:val="16"/>
              </w:rPr>
              <w:t>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EA7BD0">
            <w:pPr>
              <w:jc w:val="center"/>
            </w:pPr>
            <w:r>
              <w:rPr>
                <w:rFonts w:ascii="宋体" w:hAnsi="宋体" w:eastAsia="宋体"/>
                <w:sz w:val="16"/>
              </w:rPr>
              <w:t>30次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7CC29">
            <w:pPr>
              <w:jc w:val="center"/>
            </w:pPr>
            <w:r>
              <w:rPr>
                <w:rFonts w:ascii="宋体" w:hAnsi="宋体" w:eastAsia="宋体"/>
                <w:sz w:val="16"/>
              </w:rPr>
              <w:t>20.91</w:t>
            </w:r>
          </w:p>
        </w:tc>
      </w:tr>
      <w:tr w14:paraId="3F78A5B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2D2D6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9BA7B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06904">
            <w:pPr>
              <w:jc w:val="center"/>
            </w:pPr>
            <w:r>
              <w:rPr>
                <w:rFonts w:ascii="宋体" w:hAnsi="宋体" w:eastAsia="宋体"/>
                <w:sz w:val="16"/>
              </w:rPr>
              <w:t>培训人数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B2B0D">
            <w:pPr>
              <w:jc w:val="center"/>
            </w:pPr>
            <w:r>
              <w:rPr>
                <w:rFonts w:ascii="宋体" w:hAnsi="宋体" w:eastAsia="宋体"/>
                <w:sz w:val="16"/>
              </w:rPr>
              <w:t>&gt;=10000人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5EF7CC">
            <w:pPr>
              <w:jc w:val="center"/>
            </w:pPr>
            <w:r>
              <w:rPr>
                <w:rFonts w:ascii="宋体" w:hAnsi="宋体" w:eastAsia="宋体"/>
                <w:sz w:val="16"/>
              </w:rPr>
              <w:t>计划工作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50385F">
            <w:pPr>
              <w:jc w:val="center"/>
            </w:pPr>
            <w:r>
              <w:rPr>
                <w:rFonts w:ascii="宋体" w:hAnsi="宋体" w:eastAsia="宋体"/>
                <w:sz w:val="16"/>
              </w:rPr>
              <w:t>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220B53">
            <w:pPr>
              <w:jc w:val="center"/>
            </w:pPr>
            <w:r>
              <w:rPr>
                <w:rFonts w:ascii="宋体" w:hAnsi="宋体" w:eastAsia="宋体"/>
                <w:sz w:val="16"/>
              </w:rPr>
              <w:t>2231人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77434E">
            <w:pPr>
              <w:jc w:val="center"/>
            </w:pPr>
            <w:r>
              <w:rPr>
                <w:rFonts w:ascii="宋体" w:hAnsi="宋体" w:eastAsia="宋体"/>
                <w:sz w:val="16"/>
              </w:rPr>
              <w:t>5.13</w:t>
            </w:r>
          </w:p>
        </w:tc>
      </w:tr>
      <w:tr w14:paraId="5A77EDA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F6733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7EFB5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A32A1">
            <w:pPr>
              <w:jc w:val="center"/>
            </w:pPr>
            <w:r>
              <w:rPr>
                <w:rFonts w:ascii="宋体" w:hAnsi="宋体" w:eastAsia="宋体"/>
                <w:sz w:val="16"/>
              </w:rPr>
              <w:t>培训开设课程数量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8A29B">
            <w:pPr>
              <w:jc w:val="center"/>
            </w:pPr>
            <w:r>
              <w:rPr>
                <w:rFonts w:ascii="宋体" w:hAnsi="宋体" w:eastAsia="宋体"/>
                <w:sz w:val="16"/>
              </w:rPr>
              <w:t>&gt;=24门课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3B2BF">
            <w:pPr>
              <w:jc w:val="center"/>
            </w:pPr>
            <w:r>
              <w:rPr>
                <w:rFonts w:ascii="宋体" w:hAnsi="宋体" w:eastAsia="宋体"/>
                <w:sz w:val="16"/>
              </w:rPr>
              <w:t>计划工作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C8FB3">
            <w:pPr>
              <w:jc w:val="center"/>
            </w:pPr>
            <w:r>
              <w:rPr>
                <w:rFonts w:ascii="宋体" w:hAnsi="宋体" w:eastAsia="宋体"/>
                <w:sz w:val="16"/>
              </w:rPr>
              <w:t>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8615CF">
            <w:pPr>
              <w:jc w:val="center"/>
            </w:pPr>
            <w:r>
              <w:rPr>
                <w:rFonts w:ascii="宋体" w:hAnsi="宋体" w:eastAsia="宋体"/>
                <w:sz w:val="16"/>
              </w:rPr>
              <w:t>18门课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289186">
            <w:pPr>
              <w:jc w:val="center"/>
            </w:pPr>
            <w:r>
              <w:rPr>
                <w:rFonts w:ascii="宋体" w:hAnsi="宋体" w:eastAsia="宋体"/>
                <w:sz w:val="16"/>
              </w:rPr>
              <w:t>16.5</w:t>
            </w:r>
          </w:p>
        </w:tc>
      </w:tr>
      <w:tr w14:paraId="2DA6D6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3BE36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A30DB4">
            <w:pPr>
              <w:jc w:val="center"/>
            </w:pPr>
            <w:r>
              <w:rPr>
                <w:rFonts w:ascii="宋体" w:hAnsi="宋体" w:eastAsia="宋体"/>
                <w:sz w:val="16"/>
              </w:rPr>
              <w:t>质量指标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E8DD2">
            <w:pPr>
              <w:jc w:val="center"/>
            </w:pPr>
            <w:r>
              <w:rPr>
                <w:rFonts w:ascii="宋体" w:hAnsi="宋体" w:eastAsia="宋体"/>
                <w:sz w:val="16"/>
              </w:rPr>
              <w:t>结业率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8D124">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9E0EB6">
            <w:pPr>
              <w:jc w:val="center"/>
            </w:pPr>
            <w:r>
              <w:rPr>
                <w:rFonts w:ascii="宋体" w:hAnsi="宋体" w:eastAsia="宋体"/>
                <w:sz w:val="16"/>
              </w:rPr>
              <w:t>计划工作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6276B4">
            <w:pPr>
              <w:jc w:val="center"/>
            </w:pPr>
            <w:r>
              <w:rPr>
                <w:rFonts w:ascii="宋体" w:hAnsi="宋体" w:eastAsia="宋体"/>
                <w:sz w:val="16"/>
              </w:rPr>
              <w:t>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B3D31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ED642F">
            <w:pPr>
              <w:jc w:val="center"/>
            </w:pPr>
            <w:r>
              <w:rPr>
                <w:rFonts w:ascii="宋体" w:hAnsi="宋体" w:eastAsia="宋体"/>
                <w:sz w:val="16"/>
              </w:rPr>
              <w:t>22</w:t>
            </w:r>
          </w:p>
        </w:tc>
      </w:tr>
    </w:tbl>
    <w:p w14:paraId="4B6CF12C">
      <w:r>
        <w:br w:type="page"/>
      </w:r>
    </w:p>
    <w:p w14:paraId="001490C2">
      <w:pPr>
        <w:spacing w:line="640" w:lineRule="exact"/>
        <w:ind w:firstLine="640"/>
        <w:jc w:val="both"/>
        <w:outlineLvl w:val="2"/>
      </w:pPr>
      <w:r>
        <w:rPr>
          <w:rFonts w:ascii="黑体" w:hAnsi="黑体" w:eastAsia="黑体"/>
          <w:sz w:val="32"/>
        </w:rPr>
        <w:t>十二、其他需说明的事项</w:t>
      </w:r>
    </w:p>
    <w:p w14:paraId="775025BD">
      <w:pPr>
        <w:spacing w:line="580" w:lineRule="exact"/>
        <w:ind w:firstLine="640"/>
        <w:jc w:val="both"/>
      </w:pPr>
      <w:r>
        <w:rPr>
          <w:rFonts w:ascii="仿宋_GB2312" w:hAnsi="仿宋_GB2312" w:eastAsia="仿宋_GB2312"/>
          <w:b w:val="0"/>
          <w:sz w:val="32"/>
        </w:rPr>
        <w:t>本单位无其他需说明的事项。</w:t>
      </w:r>
    </w:p>
    <w:p w14:paraId="015A402C">
      <w:r>
        <w:br w:type="page"/>
      </w:r>
    </w:p>
    <w:p w14:paraId="567F5ED4">
      <w:pPr>
        <w:spacing w:line="240" w:lineRule="auto"/>
        <w:jc w:val="center"/>
        <w:outlineLvl w:val="1"/>
      </w:pPr>
      <w:r>
        <w:rPr>
          <w:rFonts w:ascii="黑体" w:hAnsi="黑体" w:eastAsia="黑体"/>
          <w:sz w:val="32"/>
        </w:rPr>
        <w:t>第三部分 专业名词解释</w:t>
      </w:r>
    </w:p>
    <w:p w14:paraId="3690F8D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EF9065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25F1B2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596609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012969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7AF327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130946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DF6EA5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7D34CC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1498D7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5B51B3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2477F5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59DB01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A412C0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96D08BD">
      <w:r>
        <w:br w:type="page"/>
      </w:r>
    </w:p>
    <w:p w14:paraId="7CCE519C">
      <w:pPr>
        <w:spacing w:line="240" w:lineRule="auto"/>
        <w:jc w:val="center"/>
        <w:outlineLvl w:val="1"/>
      </w:pPr>
      <w:r>
        <w:rPr>
          <w:rFonts w:ascii="黑体" w:hAnsi="黑体" w:eastAsia="黑体"/>
          <w:sz w:val="32"/>
        </w:rPr>
        <w:t>第四部分 部门决算报表（见附表）</w:t>
      </w:r>
    </w:p>
    <w:p w14:paraId="2AA4B50D">
      <w:pPr>
        <w:spacing w:line="240" w:lineRule="auto"/>
        <w:ind w:firstLine="640"/>
        <w:jc w:val="both"/>
      </w:pPr>
      <w:r>
        <w:rPr>
          <w:rFonts w:ascii="仿宋_GB2312" w:hAnsi="仿宋_GB2312" w:eastAsia="仿宋_GB2312"/>
          <w:b w:val="0"/>
          <w:sz w:val="32"/>
        </w:rPr>
        <w:t>一、《收入支出决算总表》</w:t>
      </w:r>
    </w:p>
    <w:p w14:paraId="7C86D9F8">
      <w:pPr>
        <w:spacing w:line="240" w:lineRule="auto"/>
        <w:ind w:firstLine="640"/>
        <w:jc w:val="both"/>
      </w:pPr>
      <w:r>
        <w:rPr>
          <w:rFonts w:ascii="仿宋_GB2312" w:hAnsi="仿宋_GB2312" w:eastAsia="仿宋_GB2312"/>
          <w:b w:val="0"/>
          <w:sz w:val="32"/>
        </w:rPr>
        <w:t>二、《收入决算表》</w:t>
      </w:r>
    </w:p>
    <w:p w14:paraId="0D53904B">
      <w:pPr>
        <w:spacing w:line="240" w:lineRule="auto"/>
        <w:ind w:firstLine="640"/>
        <w:jc w:val="both"/>
      </w:pPr>
      <w:r>
        <w:rPr>
          <w:rFonts w:ascii="仿宋_GB2312" w:hAnsi="仿宋_GB2312" w:eastAsia="仿宋_GB2312"/>
          <w:b w:val="0"/>
          <w:sz w:val="32"/>
        </w:rPr>
        <w:t>三、《支出决算表》</w:t>
      </w:r>
    </w:p>
    <w:p w14:paraId="26207B95">
      <w:pPr>
        <w:spacing w:line="240" w:lineRule="auto"/>
        <w:ind w:firstLine="640"/>
        <w:jc w:val="both"/>
      </w:pPr>
      <w:r>
        <w:rPr>
          <w:rFonts w:ascii="仿宋_GB2312" w:hAnsi="仿宋_GB2312" w:eastAsia="仿宋_GB2312"/>
          <w:b w:val="0"/>
          <w:sz w:val="32"/>
        </w:rPr>
        <w:t>四、《财政拨款收入支出决算总表》</w:t>
      </w:r>
    </w:p>
    <w:p w14:paraId="48E5C5C8">
      <w:pPr>
        <w:spacing w:line="240" w:lineRule="auto"/>
        <w:ind w:firstLine="640"/>
        <w:jc w:val="both"/>
      </w:pPr>
      <w:r>
        <w:rPr>
          <w:rFonts w:ascii="仿宋_GB2312" w:hAnsi="仿宋_GB2312" w:eastAsia="仿宋_GB2312"/>
          <w:b w:val="0"/>
          <w:sz w:val="32"/>
        </w:rPr>
        <w:t>五、《一般公共预算财政拨款支出决算表》</w:t>
      </w:r>
    </w:p>
    <w:p w14:paraId="4DADE44F">
      <w:pPr>
        <w:spacing w:line="240" w:lineRule="auto"/>
        <w:ind w:firstLine="640"/>
        <w:jc w:val="both"/>
      </w:pPr>
      <w:r>
        <w:rPr>
          <w:rFonts w:ascii="仿宋_GB2312" w:hAnsi="仿宋_GB2312" w:eastAsia="仿宋_GB2312"/>
          <w:b w:val="0"/>
          <w:sz w:val="32"/>
        </w:rPr>
        <w:t>六、《一般公共预算财政拨款基本支出决算表》</w:t>
      </w:r>
    </w:p>
    <w:p w14:paraId="5C1F4A91">
      <w:pPr>
        <w:spacing w:line="240" w:lineRule="auto"/>
        <w:ind w:firstLine="640"/>
        <w:jc w:val="both"/>
      </w:pPr>
      <w:r>
        <w:rPr>
          <w:rFonts w:ascii="仿宋_GB2312" w:hAnsi="仿宋_GB2312" w:eastAsia="仿宋_GB2312"/>
          <w:b w:val="0"/>
          <w:sz w:val="32"/>
        </w:rPr>
        <w:t>七、《政府性基金预算财政拨款收入支出决算表》</w:t>
      </w:r>
    </w:p>
    <w:p w14:paraId="7B0B2499">
      <w:pPr>
        <w:spacing w:line="240" w:lineRule="auto"/>
        <w:ind w:firstLine="640"/>
        <w:jc w:val="both"/>
      </w:pPr>
      <w:r>
        <w:rPr>
          <w:rFonts w:ascii="仿宋_GB2312" w:hAnsi="仿宋_GB2312" w:eastAsia="仿宋_GB2312"/>
          <w:b w:val="0"/>
          <w:sz w:val="32"/>
        </w:rPr>
        <w:t>八、《国有资本经营预算财政拨款收入支出决算表》</w:t>
      </w:r>
    </w:p>
    <w:p w14:paraId="611C6370">
      <w:pPr>
        <w:spacing w:line="240" w:lineRule="auto"/>
        <w:ind w:firstLine="640"/>
        <w:jc w:val="both"/>
      </w:pPr>
      <w:r>
        <w:rPr>
          <w:rFonts w:ascii="仿宋_GB2312" w:hAnsi="仿宋_GB2312" w:eastAsia="仿宋_GB2312"/>
          <w:b w:val="0"/>
          <w:sz w:val="32"/>
        </w:rPr>
        <w:t>九、《财政拨款“三公”经费支出决算表》</w:t>
      </w:r>
    </w:p>
    <w:p w14:paraId="1364E83C">
      <w:pPr>
        <w:spacing w:line="240" w:lineRule="auto"/>
        <w:ind w:firstLine="640"/>
        <w:jc w:val="both"/>
      </w:pPr>
    </w:p>
    <w:p w14:paraId="7E93274D">
      <w:pPr>
        <w:spacing w:line="240" w:lineRule="auto"/>
        <w:ind w:firstLine="640"/>
        <w:jc w:val="both"/>
      </w:pPr>
    </w:p>
    <w:p w14:paraId="0ECE211A">
      <w:pPr>
        <w:spacing w:line="240" w:lineRule="auto"/>
        <w:ind w:firstLine="640"/>
        <w:jc w:val="both"/>
      </w:pPr>
    </w:p>
    <w:p w14:paraId="681062E0">
      <w:pPr>
        <w:spacing w:line="240" w:lineRule="auto"/>
        <w:ind w:firstLine="640"/>
        <w:jc w:val="both"/>
      </w:pPr>
    </w:p>
    <w:p w14:paraId="635022D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61F54BA-822A-466E-A73F-798FCA1F9A1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3204C26E-D644-4778-9ED1-85161498E3E1}"/>
  </w:font>
  <w:font w:name="仿宋_GB2312">
    <w:panose1 w:val="02010609030101010101"/>
    <w:charset w:val="86"/>
    <w:family w:val="modern"/>
    <w:pitch w:val="default"/>
    <w:sig w:usb0="00000001" w:usb1="080E0000" w:usb2="00000000" w:usb3="00000000" w:csb0="00040000" w:csb1="00000000"/>
    <w:embedRegular r:id="rId3" w:fontKey="{1C0BF02A-9457-4045-87CF-C523A4E990BC}"/>
  </w:font>
  <w:font w:name="楷体_GB2312">
    <w:panose1 w:val="02010609030101010101"/>
    <w:charset w:val="86"/>
    <w:family w:val="auto"/>
    <w:pitch w:val="default"/>
    <w:sig w:usb0="00000001" w:usb1="080E0000" w:usb2="00000000" w:usb3="00000000" w:csb0="00040000" w:csb1="00000000"/>
    <w:embedRegular r:id="rId4" w:fontKey="{53950AC6-255C-4F1D-B1EF-5315081FFBC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0FF0BAD"/>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6ED93F6D"/>
    <w:rsid w:val="71473612"/>
    <w:rsid w:val="718F7F65"/>
    <w:rsid w:val="73423603"/>
    <w:rsid w:val="737A5923"/>
    <w:rsid w:val="73DE4104"/>
    <w:rsid w:val="73FB6630"/>
    <w:rsid w:val="74CE04EC"/>
    <w:rsid w:val="74E76DCD"/>
    <w:rsid w:val="753F34BB"/>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4532</Words>
  <Characters>5260</Characters>
  <Lines>0</Lines>
  <Paragraphs>0</Paragraphs>
  <TotalTime>4</TotalTime>
  <ScaleCrop>false</ScaleCrop>
  <LinksUpToDate>false</LinksUpToDate>
  <CharactersWithSpaces>5268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2025-09-25T04:06:18Z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eyJoZGlkIjoiYjM4NWYyMWE2NWU1OGNiMmIxMmZkYzA5MWEwNzJlZmIiLCJ1c2VySWQiOiI0MzE2NzY3NzkifQ==</vt:lpwstr>
  </property>
</Properties>
</file>