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2024</w:t>
      </w:r>
      <w:r>
        <w:rPr>
          <w:rFonts w:eastAsia="仿宋_GB2312" w:hAnsi="宋体" w:cs="宋体" w:hint="eastAsia"/>
          <w:kern w:val="0"/>
          <w:sz w:val="36"/>
          <w:szCs w:val="36"/>
        </w:rPr>
        <w:t xml:space="preserve">  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县配套生均公用经费</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实施单位（公章）：</w:t>
      </w:r>
      <w:r>
        <w:rPr>
          <w:rStyle w:val="Strong"/>
          <w:rFonts w:ascii="楷体" w:eastAsia="楷体" w:hAnsi="楷体" w:hint="eastAsia"/>
          <w:spacing w:val="-4"/>
          <w:sz w:val="28"/>
          <w:szCs w:val="28"/>
        </w:rPr>
        <w:t xml:space="preserve">民丰县职业技术学校</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民丰县职业技术学校</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阿卜杜力克木</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2025年04月27日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（一）项目概况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1.项目背景</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关于提高自治区中等职业教育学校生均公用经费拨款标准的通知（新财拨【2020】96号）精神立项并实施，下达2024年县配套生均公用经费项目补助资金45.8万元,生均公用经费标准为1000元/人/年，主要用于保障学校正常运转，完成教育教学活动和其他日常工作任务等方面的支出。通过项目的实施，有效保障学校教育教学工作正常开展，加大职业教育经费保障力度，促进职业教育稳步发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2.主要内容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项目实施方案实施本项目。主要用于保障职业高中的教育教学工作正常开展，按照1000元/年/人的标准对458名学生进行补助。通过项目的实施，有效保障学校教育教学工作正常开展，加大职业教育经费保障力度，促进职业教育稳步发展。3.实施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实施主体：单位编制数18人，实有人数28人，其中：在职 28人，退休12人，学生人数402人。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实施时间：本项目实施期限为2024年01月—2024年12月。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情况：为确保我单位该项目的顺利实施，我单位成立项目实施小组，组长为强晓明，副组长为阿不力克木，项目负责人为阿卜力克木·阿卜杜巴克，成员为斯皮热姆罕·麦提图尔荪，苏比伊努尔·伊力哈尔和月尔古丽·热西提，其中：阿不力克木负责项目全面工作；强晓明负责组织对项目监督工作；苏比伊努尔·伊力哈尔和月尔古丽·热西提负责项目资金支付工作；斯皮热姆罕负责项目资金支付监督核查工作。项目实施前进行充分调研，制定实施方案，项目实施过程中严格按照实施方案进行实施并及时进行监督管理，项目实施后进行及时验收及后期维护。截至目前，该项目已完成保障我县1所中等职业教育学校458人在校期间正常学习，按照每人每年1000元的标准进行补助。 通过项目实施，保障了我校教育教学正常运行，减轻了学生家庭负担，改善了学校办学条件，并提升了学生的身心健康。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4.资金投入和使用情况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（1）项目资金安排落实、总投入等情况分析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本项目预算安排总额为45.8万元，资金来源为地方政府专项资金其中：财政资金45.8万元，其他资金0万元，2024年实际收到预算资金45.8万元，预算资金到位率为100 %。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（2）项目资金实际使用情况分析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本项目实际支付资金45.8万元，预算执行率100%。本项目资金主要用于支付办公费用0.1万元、取暖费用45.7万元。</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1.总体目标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确保中等职业学校工作的顺利开展，并保障家庭经济困难的学生能够顺利完成学业。主要用于保障职业高中的教育教学工作正常开展，按照1000元/年/人的标准对458名学生进行补助。通过项目的实施，有效保障学校教育教学工作正常开展，加大职业教育经费保障力度，促进职业教育稳步发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2.阶段性目标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项目前期准备工作：为了保障我县1所中等职业教育学校458人在校期间正常学习，按照每人每年1000元的标准进行补助。</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项目实施：通过项目实施，保障学校教育教学正常运转、项目资金用于教学活动和后勤服务等方面开支的费用。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项目完成：有效保障学校教育教学工作正常开展，加大职业教育经费保障力度，促进职业教育稳步发展。</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1.绩效评价的目的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全面实施预算绩效管理，建立科学、合理的项目支出绩效评价管理体系，提高财政资源配置效率和使用效益，根据财政部印发《项目支出绩效评价管理办法》（财预〔2020〕10号）《自治区财政支出绩效评价管理暂行办法》（新财预〔2018〕189号）文件精神，我单位针对生均公用经费项目开展本次部门项目支出绩效评价工作。通过绩效评价，促进本单位发现问题、总结经验、改进工作。绩效评价旨在评价本项目前期审批、实施过程及实施效果，促进预算管理不断完善，加快绩效目标的实现，保证财政资金有效、合理使用，具体绩效评价的目的细分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通过部门项目支出绩效评价，进一步严格落实《中华人民共和国预算法》以及党中央、国务院关于加强预算绩效管理的指示精神，建立健全“花钱必问效、无效必问责”的绩效预算管理机制，提升财政资金的使用效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2.绩效评价对象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此次我单位根据《财政支出绩效评价管理暂行办法》（财预〔2020〕10号）文件要求实施评价工作，本次评价对象为生均公用经费项目，评价核心为项目的资金投入、产出及效益。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3.绩效评价范围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（二）绩效评价原则、评价指标体系、评价方法、评价标准</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等要求，绩效评价应遵循如下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（1）科学公正。绩效评价应当运用科学合理的方法，按照规范的程序，对项目绩效进行客观、公正的反映。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（4）公开透明。绩效评价结果应依法依规公开，并自觉接受社会监督。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根据以上原则，绩效评价应遵循如下要求:</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（1）在数据采集时，采取客观数据，主管部门审查、社会中介组织复查，与问卷调查相结合的形式，以保证各项指标的真实性。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（2）保证评价结果的真实性、公正性，提高评价报告的公信力。</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教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2.绩效评价指标体系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通过实施资料研读及前期调研，结合项目的实际开展情况，按照《项目支出绩效评价管理办法》（财预〔2020〕10号）文件要求，结合项目特点，经与专家组充分协商，设置指标体系结构如下：设置一级指标共4个，包括：决策指标（21%）、过程指标（19%）、产出指标（20%）、效益指标（40%）四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项目支出绩效评价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3.评价方法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三级指标分析环节：总体采用比较法，同时辅以文献法、成本效益法、因素分析法以及公众评判法，根据不同三级指标类型进行逐项分析。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定性指标分析环节：主要采用公众评判法，通过问卷及抽样调查等方式评价本项目实施后社会公众对于其实施效果的满意程度，将调研结果按照《项目支出绩效评价管理办法》（财预〔2020〕10号）文要求分为达成年度指标、部分达成年度指标并具有一定效果、未达成年度指标且效果较差三档，分别按照该指标对应分值区间100%-80%（含）、80%-60%（含）、60%-0%合理确定分值，详细评价方法的应用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立项依据充分性：比较法、文献法，查找法律法规政策以及规划，对比实际执行内容和政策支持内容是否匹配。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立项程序规范性：比较法、文献法，查找相关项目设立的政策和文件要求，对比分析实际执行程序是否按照政策及文件要求执行，分析立项程序的规范性。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绩效目标合理性：比较法，对比分析年初编制项目支出绩效目标表与项目内容的相关性、资金的匹配性等。</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绩效指标明确性：比较法，比较分析年初编制项目支出绩效目标表是否符合双七原则，是否可衡量。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预算编制科学性 成本效益分析法 分析在产出一定的情况下，成本取值是否有依据，是否经过询价，是否按照市场最低成本编制。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资金分配合理性：因素分析法，综合分析资金的分配依据是否充分，分配金额是否与项目实施单位需求金额一致，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资金到位率：比较法，资金到位率预期指标值应为100%，通过实际计算，分析实际完成值和预期指标值之间的差距和原因。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预算执行率：比较法，预算执行率预期指标值应为100%，通过实际计算，分析实际完成值和预期指标值之间的差距和原因。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资金使用合规性：文献法、实地勘察法，一是查找资金管理办法，包括专项资金管理办法和单位自有资金管理办法；二是通过查账了解具体开支情况，是否专用专用，是否按照标准支出。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管理制度健全性：文献法、比较法，查阅项目实施人员提供的财务和业务管理制度，将已建立的制度与现行的法律法规和政策要求进行对比，分析项目制度的合法性、合规性、完整性。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制度执行有效性：比较法，结合项目实际实施过程性文件，根据已建设的财务管理制度和项目管理制度综合分析制度执行的有效性。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定性指标：公众评判法，通过问卷及抽样调查等方式评价本项目实施后社会公众对于其实施效果的满意程度。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标准通常包括计划标准、行业标准、历史标准等。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pPr>
        <w:spacing w:line="540" w:lineRule="exact"/>
        <w:ind w:firstLine="579" w:firstLineChars="181"/>
        <w:rPr>
          <w:rStyle w:val="Strong"/>
          <w:rFonts w:ascii="楷体" w:eastAsia="楷体" w:hAnsi="楷体" w:hint="eastAsia"/>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1.前期准备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于2025年3月14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阿卜力克木·阿卜杜巴克（评价小组组长）：主要负责项目的内容和特征制定了评价指标体系;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斯皮热姆罕·麦提图尔荪（评价小组组员）：主要负责项目的评价标准以及评价实施方案;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苏比努尔·伊力哈尔（评价小组组员）：主要负责修正并确定项目所需资料清单，最终确定实施方案。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15日-4月1日，评价工作进入实施阶段。在数据采集方面，评价小组整理单位前期提交的资料，与项目实施负责人沟通，了解资金的内容、操作流程、管理机制、资金使用方向等情况并采集信息，了解项目设置背景及资金使用等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3.分析评价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2025年4月02日-4月07日，评价小组按照绩效评价的原则和规范，对取得的资料进行审查核实，对采集的数据进行分析，按照绩效评价指标评分表逐项进行打分、分析、汇总各方评价结果。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4.撰写与提交评价报告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2025年4月8日-4月10日评价小组撰写绩效评价报告，按照新疆维吾尔自治区财政绩效管理信息系统绩效评价模块中统一格式和文本框架撰写绩效评价报告并提交审核。</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5.问题整改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6.档案整理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建立和落实档案管理制度，将项目相关资料存档，包括但不限于：评价项目基本情况和相关文件、评价实施方案、项目支付资料等相关档案。</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三、综合评价情况及评价结论</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（一）综合评价情况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经评价，本项目达成2024年初设立的绩效目标，在实施过程中取得了良好的成效，具体表现在以下三方面：</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本项目严格按照科学公正绩效评价原则，采用因素分析法评价方法，坚持计划标准绩效评价标准对本项目的立项、项绩效目标、资金投入、资金管理、组织实施、产出数量、产出质量、产出时效、产出成本、项目效益进行了综合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二是：该项目已完成保障我县1所中等职业教育学校458人在校期间正常学习，按照每人每年1000元的标准进行补助。 通过项目实施，保障了我校教育教学正常运行，减轻了学生家庭负担，改善了学校办学条件，并提升了学生的身心健康。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三是：通过项目实施，保障了我校教育教学正常运行，减轻了学生家庭负担，改善了学校办学条件，并提升了学生的身心健康。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绩效评价通过绩效评价小组论证的评价指标体系及评分标准，采用因素分析法和比较法对本项目绩效进行客观评价，最终评分结果：总分为99.51分，绩效评级为“优秀”。综合评价结论如下：本项目共设置三级指标数量18个，实现三级指标数量18个，总体完成率为99.5%。项目决策类指标共设置6个，满分指标6个，得分率100%；过程管理类指标共设置5个，满分指标5个，得分率100%；项目产出类指标共设置5个，满分指标4个，得分率80%；项目效益类指标共设置2个，满分指标2个，得分率100%，详细情况见“附件2：项目综合得分表”。</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四、绩效评价指标分析</w:t>
      </w:r>
      <w:r>
        <w:rPr>
          <w:rStyle w:val="Strong"/>
          <w:rFonts w:ascii="黑体" w:eastAsia="黑体" w:hAnsi="黑体" w:hint="eastAsia"/>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w:t>
      </w:r>
      <w:r>
        <w:rPr>
          <w:rStyle w:val="Strong"/>
          <w:rFonts w:ascii="楷体" w:eastAsia="楷体" w:hAnsi="楷体" w:hint="eastAsia"/>
          <w:spacing w:val="-4"/>
          <w:sz w:val="32"/>
          <w:szCs w:val="32"/>
        </w:rPr>
        <w:t xml:space="preserve">项目决策情况</w:t>
      </w:r>
    </w:p>
    <w:p>
      <w:pPr>
        <w:tabs>
          <w:tab w:val="center" w:pos="4295"/>
        </w:tabs>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项目决策类指标由3个二级指标和6个三级指标构成，权重分21分，实际得分21分。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1.项目立项情况分析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（1）立项依据充分性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立项符合关于提高自治区中等职业教育学校生均公用经费拨款标准的通知（新财拨【2020】96号）生均公用经费标准为1000元/人/年，主要用于保障学校正常运转，完成教育教学活动和其他日常工作任务等方面的支出。通过项目的实施，有效保障学校教育教学工作正常开展，加大职业教育经费保障力度，促进职业教育稳步发展。各级财政、教育部门要按责任、按规定切实落实应承担的“保障机制”类经费。第十条地（州、市）、县（市、区）应将需要各地承担的经费列入预算，并连同自治区本级财政经费及时、足额拨付到纳入补助范围的中等职业教育学校等内容，符合行业发展规划和政策要求；本项目立项符合《单位配置内设机构和人员编制规定》中职责范围中的“中等职业教育支出”，属于我单位履职所需；根据《财政资金直接支付申请书》，本项目资金性质为“公共财政预算”功能分类为“[50502]商品和服务支出”经济分类为“[30208]取暖费”属于公共财政支持范围，符合中央、地方事权支出责任划分原则；经检查我单位财政应用平台指标，本项目不存在重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综上所述，本指标满分为5分，根据评分标准得5分，本项目立项依据充分。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（2）立项程序规范性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非基础建设类模版：本项目为非基础建设类项目，不涉及发改立项批复流程，由我单位自行编制项目实施方案和项目预算申请计划，经过与党委会研究确定最终预算方案。经查看，该项目申请设立过程产生的相关文件，符合相关要求。本项目为非基础建设类项目，属于专项资金安排项目，不涉及事前绩效评估、可行性研究以及风险评估，由我单位严格按照新财拨[2020]96号文件要求实施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综上所述，本指标满分为3分，根据评分标准得3分，本项目立项程序规范。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2.绩效目标情况分析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（1）绩效目标合理性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已设置年度绩效目标，具体内容为“县配套生均公用经费”；本项目实际工作内容为：截止2023年12月31日，本项目实际支出资金45.8万元，预算执行率为100.00%。实际已于完成；绩效目标与实际工作内容一致，两者具有相关性;本项目按照绩效目标完成了数量指标、质量指标、时效指标、成本指标，有效提高教育质量，年度绩效目标完成，预期产出效益和效果符合正常的业绩水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综上所述，本指标满分为4分，根据评分标准得4分，本项目绩效目标设置合理。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（2）绩效指标明确性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检查我单位年初设置的《项目支出绩效目标表》，得出如下结论：本项目已将年度绩效目标进行细化为绩效指标体系，共设置一级指标4个，二级指标6个，三级指标7个，定量指标6个，定性指标1个，指标量化率为85.71%，量化率达70.00%以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综上所述，本指标满分为3分，根据评分标准得3分，本项目所设置绩效指标明确。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3.资金投入情况分析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（1）预算编制科学性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本项目预算编制县配套生均公用经费，即预算编制较科学且经过论证；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预算申请内容为县配套生均公用经费，项目实际内容为县配套生均公用经费，预算申请与《县配套生均公用经费项目实施方案》中涉及的项目内容匹配；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申请资金45.8万元，我单位在预算申请中严格按照单位标准和数量进行核算，其中：单位标准为45.8万元，数量为1个。本项目预算额度测算依据充分，严格按照标准编制，预算确定资金量与实际工作任务相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综上所述，本指标满分为4分，根据评分标准4分，本项目预算编制科学。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（2）资金分配合理性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分配资金以《关于申请县配套生均公用经费项目资金的请示》和《县配套生均公用经费项目实施方案》为依据进行资金分配，预算资金分配依据充分。根据《提高自治区中等职业教育学校生均公用经费拨款标准的通知（新财拨【2020】96号）》文件显示，本项目实际到位资金45.8万元，实际分配资金与我单位提交申请的资金额度一致，资金分配额度合理，与我单位实际需求相适应。</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综上所述，本指标满分为2分，根据评分标准得2分，本项目资金分配合理。</w:t>
      </w:r>
      <w:r>
        <w:rPr>
          <w:rStyle w:val="Strong"/>
          <w:rFonts w:ascii="楷体" w:eastAsia="楷体" w:hAnsi="楷体" w:hint="eastAsia"/>
          <w:b w:val="0"/>
          <w:bCs w:val="0"/>
          <w:spacing w:val="-4"/>
          <w:sz w:val="32"/>
          <w:szCs w:val="32"/>
          <w:lang w:eastAsia="zh-CN"/>
        </w:rPr>
        <w:tab/>
      </w:r>
    </w:p>
    <w:p>
      <w:pPr>
        <w:spacing w:line="540" w:lineRule="exact"/>
        <w:ind w:firstLine="579" w:firstLineChars="181"/>
        <w:rPr>
          <w:rStyle w:val="Strong"/>
          <w:rFonts w:ascii="楷体" w:eastAsia="楷体" w:hAnsi="楷体" w:hint="eastAsia"/>
          <w:b/>
          <w:spacing w:val="-4"/>
          <w:sz w:val="32"/>
          <w:szCs w:val="32"/>
        </w:rPr>
      </w:pPr>
      <w:r>
        <w:rPr>
          <w:rFonts w:ascii="楷体" w:eastAsia="楷体" w:hAnsi="楷体" w:hint="eastAsia"/>
          <w:b/>
          <w:spacing w:val="-4"/>
          <w:sz w:val="32"/>
          <w:szCs w:val="32"/>
        </w:rPr>
        <w:t xml:space="preserve">（</w:t>
      </w:r>
      <w:r>
        <w:rPr>
          <w:rFonts w:ascii="楷体" w:eastAsia="楷体" w:hAnsi="楷体" w:hint="eastAsia"/>
          <w:b/>
          <w:spacing w:val="-4"/>
          <w:sz w:val="32"/>
          <w:szCs w:val="32"/>
          <w:lang w:val="en-US" w:eastAsia="zh-CN"/>
        </w:rPr>
        <w:t xml:space="preserve">二</w:t>
      </w:r>
      <w:r>
        <w:rPr>
          <w:rFonts w:ascii="楷体" w:eastAsia="楷体" w:hAnsi="楷体" w:hint="eastAsia"/>
          <w:b/>
          <w:spacing w:val="-4"/>
          <w:sz w:val="32"/>
          <w:szCs w:val="32"/>
        </w:rPr>
        <w:t xml:space="preserve">）</w:t>
      </w:r>
      <w:r>
        <w:rPr>
          <w:rStyle w:val="Strong"/>
          <w:rFonts w:ascii="楷体" w:eastAsia="楷体" w:hAnsi="楷体" w:hint="eastAsia"/>
          <w:spacing w:val="-4"/>
          <w:sz w:val="32"/>
          <w:szCs w:val="32"/>
        </w:rPr>
        <w:t xml:space="preserve">项目过程情况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项目过程管理类指标由2个二级指标和5个三级指标构成，权重分19分，实际得分19分。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1.资金管理情况分析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（1）资金到位率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本项目预算资金为45.8万元，其中：本级财政安排资金45.8万元，其他资金0万元，实际到位资金45.8万元，资金到位率100%。得分4分。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综上所述，本指标满分为4分，根据评分标准得4分，本项目资金分配合理。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（2）预算执行率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本项目实际支出资金45.8万元，预算执行率100%。得分5分。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综上所述，本指标满分为5分，根据评分标准得5分，本项目资金分配合理。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（3）资金使用合规性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通过检查本项目签订的合同、资金申请文件、发票等财务付款凭证，得出本项目资金支出符合国家财经法规、《政府会计制度》以及《民丰县职业技术学校资金管理办法》《民丰县职业技术学校专项资金管理办法》，资金的拨付有完整的审批程序和手续，资金实际使用方向与预算批复用途一致，不存在截留、挤占、挪用、虚列支出的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综上所述，本指标满分为4分，根据评分标准得4分，资金支出符合我单位财务管理制度规定。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（1）管理制度健全性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已制定《民丰县职业技术学校资金管理办法》、《民丰县职业技术学校收支业务管理制度》、《民丰县职业技术学校政府采购业务管理制度》、《民丰县职业技术学校合同管理制度》，上述已建立的制度均符合行政事业单位内控管理要求，财务和业务管理制度合法、合规、完整，本项目执行符合上述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综上所述，本指标满分为2分，根据评分标准得2分，项目制度建设健全。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（2）制度执行有效性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对比分析本项目实际执行过程资料和已建立的项目管理制度和财务管理制度，得出本项目严格按照本单位已建立制度执行。项目资金支出严格按照自治区、地区、市以及本单位资金管理办法执行，项目启动实施后，为了加快本项目的实施，成立了县配套生均公用经费项目工作领导小组，由党组书记强晓明任组长，负责项目的组织工作；阿卜力克木任副组长，负责项目的实施工作；组员包括：斯皮热姆罕和苏比努尔，主要负责项目监督管理、验收以及资金核拨等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综上所述，本指标满分为4分，根据评分标准得4分，本项目所建立制度执行有效。</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w:t>
      </w:r>
      <w:r>
        <w:rPr>
          <w:rFonts w:ascii="楷体" w:eastAsia="楷体" w:hAnsi="楷体" w:hint="eastAsia"/>
          <w:b/>
          <w:spacing w:val="-4"/>
          <w:sz w:val="32"/>
          <w:szCs w:val="32"/>
          <w:lang w:val="en-US" w:eastAsia="zh-CN"/>
        </w:rPr>
        <w:t xml:space="preserve">三</w:t>
      </w:r>
      <w:r>
        <w:rPr>
          <w:rFonts w:ascii="楷体" w:eastAsia="楷体" w:hAnsi="楷体" w:hint="eastAsia"/>
          <w:b/>
          <w:spacing w:val="-4"/>
          <w:sz w:val="32"/>
          <w:szCs w:val="32"/>
        </w:rPr>
        <w:t xml:space="preserve">）</w:t>
      </w:r>
      <w:r>
        <w:rPr>
          <w:rStyle w:val="Strong"/>
          <w:rFonts w:ascii="楷体" w:eastAsia="楷体" w:hAnsi="楷体" w:hint="eastAsia"/>
          <w:spacing w:val="-4"/>
          <w:sz w:val="32"/>
          <w:szCs w:val="32"/>
        </w:rPr>
        <w:t xml:space="preserve">项目产出情况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项目产出类指标由3个二级指标和4个三级指标构成，权重分20分，实际得分19.51分。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1.数量指标完成情况分析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“保障学生人数”指标：预期指标值为&gt;=458人，实际完成指标值为=402人，指标完成率为100%。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2.质量指标完成情况分析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“资金使用合规率”指标：预期指标值为=100%，实际完成指标值为=100%，指标完成率为100%。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“保障日常工作正常开展率”指标：预期指标值为=100%，实际完成指标值为=100%，指标完成率为100%。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3.时效指标完成情况分析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“资金支付及时率”指标：预期指标值为=100%，实际完成指标值为=100%，指标完成率为100%。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“学生补助标准”指标：预期指标值为&lt;=1000元/人/年，实际完成指标值为=1000元/人/年，指标完成率为100%。</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w:t>
      </w:r>
      <w:r>
        <w:rPr>
          <w:rFonts w:ascii="楷体" w:eastAsia="楷体" w:hAnsi="楷体" w:hint="eastAsia"/>
          <w:b/>
          <w:spacing w:val="-4"/>
          <w:sz w:val="32"/>
          <w:szCs w:val="32"/>
          <w:lang w:val="en-US" w:eastAsia="zh-CN"/>
        </w:rPr>
        <w:t xml:space="preserve">四</w:t>
      </w:r>
      <w:r>
        <w:rPr>
          <w:rFonts w:ascii="楷体" w:eastAsia="楷体" w:hAnsi="楷体" w:hint="eastAsia"/>
          <w:b/>
          <w:spacing w:val="-4"/>
          <w:sz w:val="32"/>
          <w:szCs w:val="32"/>
        </w:rPr>
        <w:t xml:space="preserve">）</w:t>
      </w:r>
      <w:r>
        <w:rPr>
          <w:rStyle w:val="Strong"/>
          <w:rFonts w:ascii="楷体" w:eastAsia="楷体" w:hAnsi="楷体" w:hint="eastAsia"/>
          <w:spacing w:val="-4"/>
          <w:sz w:val="32"/>
          <w:szCs w:val="32"/>
        </w:rPr>
        <w:t xml:space="preserve">项目效益情况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项目效益类指标由2个二级指标和2个三级指标构成，权重分40分，实际得分40分。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1.社会效益完成情况分析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“保障教育教学工作正常开展”指标：预期指标值为有效保障，实际完成指标值为基本达成目标，指标完成率为100%。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2.满意度指标完成情况分析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“受益学生满意度”指标：预期指标值为&gt;=95%，实际完成指标值为=100%，指标完成率为100%。</w:t>
      </w:r>
    </w:p>
    <w:p>
      <w:pPr>
        <w:spacing w:line="540" w:lineRule="exact"/>
        <w:ind w:firstLine="567"/>
        <w:rPr>
          <w:rStyle w:val="Strong"/>
          <w:rFonts w:ascii="楷体" w:eastAsia="楷体" w:hAnsi="楷体" w:hint="eastAsia"/>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五、预算执行进度与绩效指标偏差</w:t>
      </w:r>
    </w:p>
    <w:p>
      <w:pPr>
        <w:spacing w:line="540" w:lineRule="exact"/>
        <w:ind w:firstLine="567"/>
        <w:rPr>
          <w:rStyle w:val="Strong"/>
          <w:rFonts w:ascii="楷体" w:eastAsia="楷体" w:hAnsi="楷体" w:hint="eastAsia"/>
          <w:spacing w:val="-4"/>
          <w:sz w:val="32"/>
          <w:szCs w:val="32"/>
        </w:rPr>
      </w:pPr>
      <w:r>
        <w:rPr>
          <w:rStyle w:val="Strong"/>
          <w:rFonts w:ascii="楷体" w:eastAsia="楷体" w:hAnsi="楷体" w:hint="eastAsia"/>
          <w:b w:val="0"/>
          <w:bCs w:val="0"/>
          <w:spacing w:val="-4"/>
          <w:sz w:val="32"/>
          <w:szCs w:val="32"/>
        </w:rPr>
        <w:t xml:space="preserve">本项目年初预算资金总额为45.8万元，全年预算数为45.8万元，全年执行数为45.8万元，预算执行率为100%。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本项目共设置三级指标数量7个，满分指标数量6个，扣分指标数量1个，经分析计算所有三级指标完成率得出，本项目总体完成率为98.25%。</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综上所述本项目预算执行率与总体完成率之间的偏差为1.75%。</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六、主要经验及做法、存在的问题及原因分析</w:t>
      </w:r>
    </w:p>
    <w:p>
      <w:pPr>
        <w:spacing w:line="540" w:lineRule="exact"/>
        <w:ind w:firstLine="567"/>
        <w:rPr>
          <w:rFonts w:ascii="仿宋_GB2312" w:eastAsia="仿宋_GB2312"/>
          <w:spacing w:val="-4"/>
          <w:sz w:val="32"/>
          <w:szCs w:val="32"/>
        </w:rPr>
      </w:pPr>
      <w:r>
        <w:rPr>
          <w:rStyle w:val="Strong"/>
          <w:rFonts w:ascii="楷体" w:eastAsia="楷体" w:hAnsi="楷体" w:hint="eastAsia"/>
          <w:b w:val="0"/>
          <w:bCs w:val="0"/>
          <w:spacing w:val="-4"/>
          <w:sz w:val="32"/>
          <w:szCs w:val="32"/>
        </w:rPr>
        <w:t xml:space="preserve">（一）主要经验及做法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1.科学设计绩效指标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经验;结合部门职能和年度目标，建立“投入-过程-产出-效益”全链条指标体系，涵盖经济性，效率性，效果性，公平性等维度。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做法：采用定量指标（资金执行率）与定性指标（效益和满意度）相结合，确保指标可量化，可考核。</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2.强化过程管理与数据支撑</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经验：通过信息化系统实时监控资金使用和任务进展，定期开展绩效自评和动态调整。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做法：引入第三方评估机构，结合部门自评和外部审计，确保数据客观性。3.注重结果应用与激励约束</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经验:将绩效评价结果与预算安排，资金配置，干部考核挂钩。</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做法：对绩效优秀的部门给予表彰，对问题部门进行约谈整改。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4.建立多方参与机制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经验：通过学生，家长满意度调查，吸纳利益相关方意见。做法:公开绩效评价报告，接受社会监督，增强透明度和公信力。</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（二）存在的问题及原因分析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问题一：绩效指标设计不合理。 表现：指标过于笼统或脱离实际，难以量化考核；定性指标主观性强，缺乏统一标准。原因：对部门职能理解不深，未充分结合业务特点；缺乏科学指标设计方法。问题二：数据质量与真实性不足。表现：自评数据“报喜不报忧”，例如，数量指标为保障学生人数，预期指标值为458人，实际完成值为402人，指标未达到预期目标。原因：数据采集机制不健全，缺乏动态监控手段；部门存在“重结果轻过程”倾向。</w:t>
      </w:r>
    </w:p>
    <w:p>
      <w:pPr>
        <w:spacing w:line="540" w:lineRule="exact"/>
        <w:ind w:firstLine="640"/>
        <w:rPr>
          <w:rStyle w:val="Strong"/>
          <w:rFonts w:ascii="黑体" w:eastAsia="黑体" w:hAnsi="黑体" w:hint="eastAsia"/>
          <w:b w:val="0"/>
          <w:spacing w:val="-4"/>
          <w:sz w:val="32"/>
          <w:szCs w:val="32"/>
        </w:rPr>
      </w:pPr>
      <w:r>
        <w:rPr>
          <w:rStyle w:val="Strong"/>
          <w:rFonts w:ascii="黑体" w:eastAsia="黑体" w:hAnsi="黑体" w:hint="eastAsia"/>
          <w:b w:val="0"/>
          <w:spacing w:val="-4"/>
          <w:sz w:val="32"/>
          <w:szCs w:val="32"/>
          <w:lang w:val="en-US" w:eastAsia="zh-CN"/>
        </w:rPr>
        <w:t xml:space="preserve">七</w:t>
      </w:r>
      <w:r>
        <w:rPr>
          <w:rStyle w:val="Strong"/>
          <w:rFonts w:ascii="黑体" w:eastAsia="黑体" w:hAnsi="黑体" w:hint="eastAsia"/>
          <w:b w:val="0"/>
          <w:spacing w:val="-4"/>
          <w:sz w:val="32"/>
          <w:szCs w:val="32"/>
        </w:rPr>
        <w:t xml:space="preserve">、有关建议</w:t>
      </w:r>
    </w:p>
    <w:p>
      <w:pPr>
        <w:spacing w:line="540" w:lineRule="exact"/>
        <w:ind w:firstLine="567"/>
        <w:rPr>
          <w:rStyle w:val="Strong"/>
          <w:rFonts w:ascii="楷体" w:eastAsia="楷体" w:hAnsi="楷体" w:hint="eastAsia"/>
          <w:spacing w:val="-4"/>
          <w:sz w:val="32"/>
          <w:szCs w:val="32"/>
        </w:rPr>
      </w:pPr>
      <w:r>
        <w:rPr>
          <w:rStyle w:val="Strong"/>
          <w:rFonts w:ascii="楷体" w:eastAsia="楷体" w:hAnsi="楷体" w:hint="eastAsia"/>
          <w:b w:val="0"/>
          <w:bCs w:val="0"/>
          <w:spacing w:val="-4"/>
          <w:sz w:val="32"/>
          <w:szCs w:val="32"/>
        </w:rPr>
        <w:t xml:space="preserve">1.加强年初预算精准度。2.加强数据治理;建立信息化平台整合多源数据，强化第三方独立审计。3.强化结果应用：将绩效评价纳入部门考核制度，明确奖惩措施。4.推动多源参与：通过听证会，线上平台等方式扩大公众和专家参与。5.促进战略协同：将绩效目标与部门中长期规划结合，定期评估动态调整。</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八</w:t>
      </w:r>
      <w:r>
        <w:rPr>
          <w:rStyle w:val="Strong"/>
          <w:rFonts w:ascii="黑体" w:eastAsia="黑体" w:hAnsi="黑体" w:hint="eastAsia"/>
          <w:b w:val="0"/>
          <w:spacing w:val="-4"/>
          <w:sz w:val="32"/>
          <w:szCs w:val="32"/>
        </w:rPr>
        <w:t xml:space="preserve">、其他需要说明的问题</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（一）本项目部分间接产生的效果无法准确在短期内衡量，因此很难认定项目产生的全部效果。通过指标来反映绩效，指标的科学性和全面性需要不断地完善和研究。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（二）评价结果作为安排政府预算、完善政策和改进管理的重要依据。原则上，对评价等级为优、良的，根据情况予以支持；对评价等级为中、差的，要完善政策、改进管理，根据情况核减预算。</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（三）评价结果分别编入政府决算和部门预算，报送本级人民代表大会常务委员会，并依法予以公开。</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工作人员在绩效评价管理工作中存在违反《项目支出绩效评价管理办法》（财预〔2020〕10号）文件行为的，其他滥用职权、玩忽职守、徇私舞弊等违法违纪行为的，依照《中华人民共和国预算法》《中华人民共和国公务员法》《中华人民共和国监察法》《财政违法行为处罚处分条例》等国家有关规定追究相应责任，涉嫌犯罪的，依法移送司法机关处理。</w:t>
      </w:r>
    </w:p>
    <w:p>
      <w:pPr>
        <w:spacing w:line="540" w:lineRule="exact"/>
        <w:ind w:firstLine="567"/>
        <w:rPr>
          <w:rStyle w:val="Strong"/>
          <w:rFonts w:ascii="仿宋" w:eastAsia="仿宋" w:hAnsi="仿宋"/>
          <w:b w:val="0"/>
          <w:spacing w:val="-4"/>
          <w:sz w:val="32"/>
          <w:szCs w:val="32"/>
        </w:rPr>
      </w:pPr>
      <w:bookmarkStart w:id="0" w:name="_GoBack"/>
      <w:bookmarkEnd w:id="0"/>
    </w:p>
    <w:sectPr>
      <w:footerReference w:type="default" r:id="rId3"/>
      <w:pgSz w:w="11906" w:h="16838" w:orient="portrait"/>
      <w:pgMar w:top="1440" w:right="1558" w:bottom="1440" w:left="1757" w:header="851" w:footer="992" w:gutter="0"/>
      <w:pgBorders/>
      <w:cols w:num="1" w:space="425">
        <w:col w:w="8591"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docPartObj>
        <w:docPartGallery w:val="autotext"/>
      </w:docPartObj>
    </w:sdtPr>
    <w:sdtContent>
      <w:p>
        <w:pPr>
          <w:pStyle w:val="Footer"/>
          <w:jc w:val="center"/>
        </w:pPr>
        <w:r>
          <w:fldChar w:fldCharType="begin"/>
        </w:r>
        <w:r>
          <w:instrText xml:space="preserve">PAGE   \* MERGEFORMAT</w:instrText>
        </w:r>
        <w:r>
          <w:fldChar w:fldCharType="separate"/>
        </w:r>
        <w:r>
          <w:rPr>
            <w:lang w:val="zh-CN"/>
          </w:rPr>
          <w:t xml:space="preserve">1</w:t>
        </w:r>
        <w:r>
          <w:fldChar w:fldCharType="end"/>
        </w:r>
      </w:p>
    </w:sdtContent>
  </w:sdt>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9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semiHidden/>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alloonText">
    <w:name w:val="Balloon Text"/>
    <w:basedOn w:val="Normal"/>
    <w:link w:val="批注框文本字符"/>
    <w:uiPriority w:val="99"/>
    <w:semiHidden/>
    <w:unhideWhenUsed/>
    <w:qFormat/>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semiHidden/>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qFormat/>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qFormat/>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rPr>
      <w:rFonts w:ascii="Calibri" w:eastAsia="宋体" w:hAnsi="Calibri"/>
      <w:kern w:val="2"/>
      <w:sz w:val="18"/>
      <w:szCs w:val="18"/>
    </w:rPr>
  </w:style>
  <w:style w:type="character" w:customStyle="1" w:styleId="页脚字符">
    <w:name w:val="页脚 字符"/>
    <w:basedOn w:val="DefaultParagraphFont"/>
    <w:link w:val="Footer"/>
    <w:uiPriority w:val="99"/>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footer" Target="footer1.xml"/><Relationship Id="rId4" Type="http://schemas.openxmlformats.org/officeDocument/2006/relationships/theme" Target="theme/theme1.xml"/><Relationship Id="rId5" Type="http://schemas.openxmlformats.org/officeDocument/2006/relationships/styles" Target="style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C734C92AAAF24344A0E4232D8EB3359B</vt:lpwstr>
  </property>
</Properties>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137</TotalTime>
  <Pages>3</Pages>
  <Words>273</Words>
  <Characters>581</Characters>
  <Application>WPS Office_11.1.0.11365_F1E327BC-269C-435d-A152-05C5408002CA</Application>
  <DocSecurity>0</DocSecurity>
  <Lines>5</Lines>
  <Paragraphs>1</Paragraphs>
  <CharactersWithSpaces>595</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然后呢！</cp:lastModifiedBy>
  <cp:revision>19</cp:revision>
  <cp:lastPrinted>2018-12-31T10:56:00Z</cp:lastPrinted>
  <dcterms:created xsi:type="dcterms:W3CDTF">2018-08-15T02:06:00Z</dcterms:created>
  <dcterms:modified xsi:type="dcterms:W3CDTF">2022-03-22T10:09:27Z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2052-11.1.0.11365</vt:lpwstr>
  </property>
  <property fmtid="{D5CDD505-2E9C-101B-9397-08002B2CF9AE}" pid="3" name="ICV">
    <vt:lpwstr>C734C92AAAF24344A0E4232D8EB3359B</vt:lpwstr>
  </property>
</Properties>
</file>