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县配套学前教育经费（伙食费）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民丰县萨勒吾则克乡中心幼儿园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民丰县萨勒吾则克乡中心幼儿园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图迪罕·麦提赛依迪</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财教[2017]19号）文件立项，《自治区农村学前三年免费教育经费保障机制管理办法》按照每人每年516元标准进行补助。各级财政、教育部门要按责任、按规定切实落实应承担的“保障机制”类经费。2024年幼儿园151名学生县配套学前教育经费项目补助资金7.79万元,旨在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自治区农村学前三年免费教育经费保障机制管理办法》新财教[2017]19号文件要求实施本项目。项目实施内容：保障我县2所幼儿园151名学生220天的伙食补助，按照每人每年516元标准进行补助。通过项目实施，减轻学前教育困难家庭幼儿生活费负担，促进教育资源公平均衡配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实施主体：民丰县萨勒吾则克乡中心幼儿园（中心和分校）单位编制数12人，实有人数20人，其中：在职 18人，退休2人，学生人数102人。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2、坚决防范和化解意识形态领域重大风险，持续推进校园安全活动常态化长效化，全力维护学校安全稳定。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4、实施学前教育重点项目，支持和引导市县扩大学前教育资源，缓解当前存在的“入园难”、“入园贵”问题。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组长曾建华，副组长图迪罕·麦提赛迪，项目负责阿曼妮萨，成员托合提罕·奥斯曼，其中：曾建华负责项目全面工作；图迪罕负责组织对项目监督工作；托合提罕负责项目资金支付工作；阿曼尼萨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实施情况：截至目前，该项目已完成保障我县1个幼儿园102人在校期间正常学习，按照地县516元/生/年的标准进行补助。 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本项目预算安排总额为7.79万元，资金来源为本级部门预算（县配套资金），其中：财政资金7.79万元，其他资金0万元，2024年实际收到预算资金7.79万元，预算资金到位率为100%。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本项目实际支付资金7.79万元，预算执行率100%。本项目资金主要用于支付取暖费用7.79万元。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自治区农村学前三年免费教育经费保障机制管理办法》新财教[2017]19号文件要求实施本项目。项目实施内容：保障我县2所幼儿园151名学生220天的伙食补助，按照每人每年516元标准进行补助。通过项目实施，减轻学前教育困难家庭幼儿生活费负担，促进教育资源公平均衡配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项目前期准备工作：保障我县1个幼儿园（中心和分校）151人在校期间正常学习，按照地县516元/生/年的标准进行补助。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项目完成：学前教育补助保教费,可以让孩子,尤其是贫困家庭孩子接受学前教育。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县配套学前教育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此次我单位根据《财政支出绩效评价管理暂行办法》（财预〔2020〕10号）文件要求实施评价工作，本次评价对象为县配套学前教育经费项目，评价核心为项目的资金投入、产出及效益。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曾建华（评价小组组长）：主要负责项目的内容和特征制定了评价指标体系;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图迪罕·麦提赛迪（评价小组组员）：主要负责项目的评价标准以及评价实施方案;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托合提罕·奥斯曼（评价小组组员）：主要负责修正并确定项目所需资料清单，最终确定实施方案。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一是该项目已完成保障我县1个幼儿园（中心和分校）102人在校期间正常学习，按照每人每年516元的标准进行补助。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97.4分，绩效评级为“优秀”。综合评价结论如下：本项目共设置三级指标数量19个，实现三级指标数量19个，总体完成率为97.4%。项目决策类指标共设置6个，满分指标6个，得分率100%；过程管理类指标共设置5个，满分指标5个，得分率100%；项目产出类指标共设置6个，满分指标4个，得分率66.67%；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财教[2017]19号颁发的《自治区农村学前三年免费双语教育经费保障机制管理办法》第七条（二）伙食费、幼儿园保教费、幼儿园采暖费等生均2670元，其中南疆四地州自治区本级承担年生均2154元，其他地州市由自治区本级承担年生均516元。各级财政、教育部门要按责任、按规定切实落实应承担的“保障机制”类经费。第十条地（州、市）、县（市、区）应将需要各地承担的经费列入预算，并连同自治区本级财政经费及时、足额拨付到纳入补助范围的农村幼儿园等内容，符合行业发展规划和政策要求；本项目立项符合《单位配置内设机构和人员编制规定》中职责范围中的“学前教育支出”，属于我单位履职所需；根据《财政资金直接支付申请书》，本项目资金性质为“公共财政预算”功能分类为“[50502]商品和服务支出”经济分类为“[30208]取暖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教[2017]19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县配套学前教育经费”；本项目实际工作内容为：截止2024年12月31日，本项目实际支出资金7.79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80.00%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本项目预算编制县配套学前教育经费，即预算编制较科学且经过论证；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预算申请内容为县配套学前教育经费，项目实际内容为县配套学前教育经费，预算申请与《县配套学前教育经费项目实施方案》中涉及的项目内容匹配；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7.79万元，我单位在预算申请中严格按照单位标准和数量进行核算，其中：单位标准为7.79，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本项目实际分配资金以《关于申请县配套学前教育经费项目资金的请示》和《县配套学前教育经费项目实施方案》为依据进行资金分配，预算资金分配依据充分。根据《 新财教[2017]19号》文件显示，本项目实际到位资金7.79万元，实际分配资金与我单位提交申请的资金额度一致，资金分配额度合理，与我单位实际需求相适应。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本项目预算资金为7.79万元，其中：本级财政安排资金7.79万元，其他资金0万元，实际到位资金7.79万元，资金到位率100%。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本项目实际支出资金7.79万元，预算执行率100%。综上所述，本指标满分为5分，根据评分标准得5分，本项目资金分配合理。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萨勒吾则克乡中心幼儿园资金管理办法》《民丰县萨勒吾则克乡中心幼儿园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萨勒吾则克乡中心幼儿园资金管理办法》、《民丰县萨勒吾则克乡中心幼儿园收支业务管理制度》、《民丰县萨勒吾则克乡中心幼儿园政府采购业务管理制度》、《民丰县萨勒吾则克乡中心幼儿园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县配套学前教育经费项目工作领导小组，由党组书记张娟荣任组长，负责项目的组织工作；热杰普·艾麦尔 任副组长，负责项目的实施工作；组员包括：布威海杰尔和热孜万古丽  ，主要负责项目监督管理、验收以及资金核拨等工作。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项目产出类指标由4个二级指标和6个三级指标构成，权重分20分，实际得分17.4分。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“幼儿园数量”指标：预期指标值为=2所，实际完成指标值为=2所，指标完成率为100%。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“幼儿园幼儿数量”指标：预期指标值为&gt;=151人，实际完成指标值为=102人，指标完成率为67.55%。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“幼儿园教师数量”指标：预期指标值为&gt;=18人，实际完成指标值为=18人，指标完成率为100%。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“补助发放覆盖率”指标：预期指标值为=100%，实际完成指标值为=67.55%，指标完成率为67.55%。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“项目按期完成率”指标：预期指标值为=100%，实际完成指标值为=100%，指标完成率为100%。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“人均补助标准”指标：预期指标值为&lt;=516元/人，实际完成指标值为=516元/人，指标完成率为100%。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“促进教育资源公平均衡配置”指标：预期指标值为有效促进，实际完成指标值为基本达成目标，指标完成率为100%。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“受益幼儿园满意度”指标：预期指标值为&gt;=95%，实际完成指标值为=100%，指标完成率为100%。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本项目年初预算资金总额为7.79万元，全年预算数为7.79万元，全年执行数为7.79万元，预算执行率为100%。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本项目共设置三级指标数量8个，满分指标数量6个，扣分指标数量2个，经分析计算所有三级指标完成率得出，本项目总体完成率为91.89%。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综上所述本项目预算执行率与总体完成率之间的偏差为8.11%。</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1.科学设计绩效指标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经验;结合部门职能和年度目标，建立“投入-过程-产出-效益”全链条指标体系，涵盖经济性，效率性，效果性，公平性等维度。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做法：采用定量指标（资金执行率）与定性指标（效益和满意度）相结合，确保指标可量化，可考核。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2.强化过程管理与数据支撑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经验：通过信息化系统实时监控资金使用和任务进展，定期开展绩效自评和动态调整。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做法：引入第三方评估机构，结合部门自评和外部审计，确保数据客观性。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3.注重结果应用与激励约束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经验:将绩效评价结果与预算安排，资金配置，干部考核挂钩。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做法：对绩效优秀的部门给予表彰，对问题部门进行约谈整改。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4.建立多方参与机制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经验：通过学生，家长满意度调查，吸纳利益相关方意见。做法:公开绩效评价报告，接受社会监督，增强透明度和公信力。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问题一：绩效指标设计不合理。 表现：指标过于笼统或脱离实际，难以量化考核；定性指标主观性强，缺乏统一标准。原因：对部门职能理解不深，未充分结合业务特点；缺乏科学指标设计方法。问题二：数据质量与真实性不足。表现：自评数据“报喜不报忧”，例如，数量指标为保障学生人数，预期指标值为151人，实际完成值为102人，指标未达到预期目标。原因：数据采集机制不健全，缺乏动态监控手段；部门存在“重结果轻过程”倾向。</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（一）加强新行政单位会计制度和新预算法学习培训，规范账务处理，加强新</w:t>
      </w:r>
      <w:r>
        <w:rPr>
          <w:rStyle w:val="Strong"/>
          <w:rFonts w:ascii="楷体" w:eastAsia="楷体" w:hAnsi="楷体" w:hint="eastAsia"/>
          <w:b w:val="0"/>
          <w:bCs w:val="0"/>
          <w:spacing w:val="-4"/>
          <w:sz w:val="32"/>
          <w:szCs w:val="32"/>
        </w:rPr>
        <w:t xml:space="preserve">《中华人民共和国预算法》</w:t>
      </w:r>
      <w:r>
        <w:rPr>
          <w:rStyle w:val="Strong"/>
          <w:rFonts w:ascii="楷体" w:eastAsia="楷体" w:hAnsi="楷体" w:hint="eastAsia"/>
          <w:b w:val="0"/>
          <w:bCs w:val="0"/>
          <w:spacing w:val="-4"/>
          <w:sz w:val="32"/>
          <w:szCs w:val="32"/>
        </w:rPr>
        <w:t xml:space="preserve">、《行政单位会计制度》 、《会计法》 、《行政单位财务规则》等学习培训,规范单位预算收支核算。制定和完善基本支出、项目支出等各项支出标准,严格按项目和进度执行预算, 增强预算的约束力和严肃性；落实预算执行分析,及时了解预算执行差异,合理调整、纠正预算执行偏差，切实提高单位预算收支管理水平。尽可能地做到决算与预算相衔接。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（二）完善管理制度,进一步加强资产管理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严格按照《固定资产管理办法》的规定加强固定资产管理,及时登记、更新台账，加强资产卡片管理,对各类实物资产进行全面盘点,确保账账、账实相符。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学习如何科学合理制定绩效目标及考核体系，充分发挥绩效工作效用。（四）财务上，会计核算要更加详细，为本单位各项工作的开展、总结、评估提供有效数据资料支撑,为各项业务工作更好的开展提供帮助。</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