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BAEB5"/>
    <w:p w14:paraId="62EB2CA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3B7465A">
      <w:pPr>
        <w:spacing w:line="540" w:lineRule="exact"/>
        <w:jc w:val="center"/>
        <w:rPr>
          <w:rFonts w:ascii="华文中宋" w:hAnsi="华文中宋" w:eastAsia="华文中宋" w:cs="宋体"/>
          <w:b/>
          <w:kern w:val="0"/>
          <w:sz w:val="52"/>
          <w:szCs w:val="52"/>
        </w:rPr>
      </w:pPr>
    </w:p>
    <w:p w14:paraId="70C3373E">
      <w:pPr>
        <w:spacing w:line="540" w:lineRule="exact"/>
        <w:jc w:val="center"/>
        <w:rPr>
          <w:rFonts w:ascii="华文中宋" w:hAnsi="华文中宋" w:eastAsia="华文中宋" w:cs="宋体"/>
          <w:b/>
          <w:kern w:val="0"/>
          <w:sz w:val="52"/>
          <w:szCs w:val="52"/>
        </w:rPr>
      </w:pPr>
    </w:p>
    <w:p w14:paraId="3FA1391F">
      <w:pPr>
        <w:spacing w:line="540" w:lineRule="exact"/>
        <w:jc w:val="center"/>
        <w:rPr>
          <w:rFonts w:ascii="华文中宋" w:hAnsi="华文中宋" w:eastAsia="华文中宋" w:cs="宋体"/>
          <w:b/>
          <w:kern w:val="0"/>
          <w:sz w:val="52"/>
          <w:szCs w:val="52"/>
        </w:rPr>
      </w:pPr>
    </w:p>
    <w:p w14:paraId="321C2B20">
      <w:pPr>
        <w:spacing w:line="540" w:lineRule="exact"/>
        <w:jc w:val="center"/>
        <w:rPr>
          <w:rFonts w:ascii="华文中宋" w:hAnsi="华文中宋" w:eastAsia="华文中宋" w:cs="宋体"/>
          <w:b/>
          <w:kern w:val="0"/>
          <w:sz w:val="52"/>
          <w:szCs w:val="52"/>
        </w:rPr>
      </w:pPr>
    </w:p>
    <w:p w14:paraId="5E86B97A">
      <w:pPr>
        <w:spacing w:line="540" w:lineRule="exact"/>
        <w:jc w:val="center"/>
        <w:rPr>
          <w:rFonts w:ascii="华文中宋" w:hAnsi="华文中宋" w:eastAsia="华文中宋" w:cs="宋体"/>
          <w:b/>
          <w:kern w:val="0"/>
          <w:sz w:val="52"/>
          <w:szCs w:val="52"/>
        </w:rPr>
      </w:pPr>
    </w:p>
    <w:p w14:paraId="4C98F41C">
      <w:pPr>
        <w:spacing w:line="540" w:lineRule="exact"/>
        <w:jc w:val="center"/>
        <w:rPr>
          <w:rFonts w:ascii="华文中宋" w:hAnsi="华文中宋" w:eastAsia="华文中宋" w:cs="宋体"/>
          <w:b/>
          <w:kern w:val="0"/>
          <w:sz w:val="52"/>
          <w:szCs w:val="52"/>
        </w:rPr>
      </w:pPr>
    </w:p>
    <w:p w14:paraId="1166ACB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FF5D798">
      <w:pPr>
        <w:spacing w:line="540" w:lineRule="exact"/>
        <w:jc w:val="center"/>
        <w:rPr>
          <w:rFonts w:ascii="华文中宋" w:hAnsi="华文中宋" w:eastAsia="华文中宋" w:cs="宋体"/>
          <w:b/>
          <w:kern w:val="0"/>
          <w:sz w:val="52"/>
          <w:szCs w:val="52"/>
        </w:rPr>
      </w:pPr>
    </w:p>
    <w:p w14:paraId="654DC91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BD81F73">
      <w:pPr>
        <w:spacing w:line="540" w:lineRule="exact"/>
        <w:jc w:val="center"/>
        <w:rPr>
          <w:rFonts w:hAnsi="宋体" w:eastAsia="仿宋_GB2312" w:cs="宋体"/>
          <w:kern w:val="0"/>
          <w:sz w:val="30"/>
          <w:szCs w:val="30"/>
        </w:rPr>
      </w:pPr>
    </w:p>
    <w:p w14:paraId="4313543B">
      <w:pPr>
        <w:spacing w:line="540" w:lineRule="exact"/>
        <w:jc w:val="center"/>
        <w:rPr>
          <w:rFonts w:hAnsi="宋体" w:eastAsia="仿宋_GB2312" w:cs="宋体"/>
          <w:kern w:val="0"/>
          <w:sz w:val="30"/>
          <w:szCs w:val="30"/>
        </w:rPr>
      </w:pPr>
    </w:p>
    <w:p w14:paraId="14A99AD6">
      <w:pPr>
        <w:spacing w:line="540" w:lineRule="exact"/>
        <w:jc w:val="center"/>
        <w:rPr>
          <w:rFonts w:hAnsi="宋体" w:eastAsia="仿宋_GB2312" w:cs="宋体"/>
          <w:kern w:val="0"/>
          <w:sz w:val="30"/>
          <w:szCs w:val="30"/>
        </w:rPr>
      </w:pPr>
    </w:p>
    <w:p w14:paraId="2C697E7A">
      <w:pPr>
        <w:spacing w:line="540" w:lineRule="exact"/>
        <w:jc w:val="center"/>
        <w:rPr>
          <w:rFonts w:hAnsi="宋体" w:eastAsia="仿宋_GB2312" w:cs="宋体"/>
          <w:kern w:val="0"/>
          <w:sz w:val="30"/>
          <w:szCs w:val="30"/>
        </w:rPr>
      </w:pPr>
    </w:p>
    <w:p w14:paraId="161C1A59">
      <w:pPr>
        <w:spacing w:line="540" w:lineRule="exact"/>
        <w:jc w:val="center"/>
        <w:rPr>
          <w:rFonts w:hAnsi="宋体" w:eastAsia="仿宋_GB2312" w:cs="宋体"/>
          <w:kern w:val="0"/>
          <w:sz w:val="30"/>
          <w:szCs w:val="30"/>
        </w:rPr>
      </w:pPr>
    </w:p>
    <w:p w14:paraId="1F3D478B">
      <w:pPr>
        <w:spacing w:line="540" w:lineRule="exact"/>
        <w:jc w:val="center"/>
        <w:rPr>
          <w:rFonts w:hAnsi="宋体" w:eastAsia="仿宋_GB2312" w:cs="宋体"/>
          <w:kern w:val="0"/>
          <w:sz w:val="30"/>
          <w:szCs w:val="30"/>
        </w:rPr>
      </w:pPr>
    </w:p>
    <w:p w14:paraId="688308CF">
      <w:pPr>
        <w:spacing w:line="540" w:lineRule="exact"/>
        <w:rPr>
          <w:rFonts w:hAnsi="宋体" w:eastAsia="仿宋_GB2312" w:cs="宋体"/>
          <w:kern w:val="0"/>
          <w:sz w:val="30"/>
          <w:szCs w:val="30"/>
        </w:rPr>
      </w:pPr>
    </w:p>
    <w:p w14:paraId="4BABE98E">
      <w:pPr>
        <w:spacing w:line="700" w:lineRule="exact"/>
        <w:ind w:firstLine="900" w:firstLineChars="250"/>
        <w:jc w:val="left"/>
        <w:rPr>
          <w:rFonts w:hAnsi="宋体" w:eastAsia="仿宋_GB2312" w:cs="宋体"/>
          <w:kern w:val="0"/>
          <w:sz w:val="36"/>
          <w:szCs w:val="36"/>
        </w:rPr>
      </w:pPr>
      <w:bookmarkStart w:id="0" w:name="_GoBack"/>
      <w:bookmarkEnd w:id="0"/>
      <w:r>
        <w:rPr>
          <w:rFonts w:hint="eastAsia" w:hAnsi="宋体" w:eastAsia="仿宋_GB2312" w:cs="宋体"/>
          <w:kern w:val="0"/>
          <w:sz w:val="36"/>
          <w:szCs w:val="36"/>
        </w:rPr>
        <w:t>项目名称：</w:t>
      </w:r>
      <w:r>
        <w:rPr>
          <w:rStyle w:val="19"/>
          <w:rFonts w:hint="eastAsia" w:ascii="楷体" w:hAnsi="楷体" w:eastAsia="楷体"/>
          <w:spacing w:val="-4"/>
          <w:sz w:val="32"/>
          <w:szCs w:val="32"/>
        </w:rPr>
        <w:t>2024年网信办互联网网络链路租费</w:t>
      </w:r>
    </w:p>
    <w:p w14:paraId="33E6020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中共民丰县委网络安全和信息化工作委员会办公室</w:t>
      </w:r>
    </w:p>
    <w:p w14:paraId="0286AE0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中共民丰县委网络安全和信息化工作委员会办公室</w:t>
      </w:r>
    </w:p>
    <w:p w14:paraId="196C1FC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刘冠超</w:t>
      </w:r>
    </w:p>
    <w:p w14:paraId="1308A6A3">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2025年05月23日</w:t>
      </w:r>
    </w:p>
    <w:p w14:paraId="62A0F60C">
      <w:pPr>
        <w:spacing w:line="700" w:lineRule="exact"/>
        <w:ind w:firstLine="708" w:firstLineChars="236"/>
        <w:jc w:val="left"/>
        <w:rPr>
          <w:rFonts w:hAnsi="宋体" w:eastAsia="仿宋_GB2312" w:cs="宋体"/>
          <w:kern w:val="0"/>
          <w:sz w:val="30"/>
          <w:szCs w:val="30"/>
        </w:rPr>
      </w:pPr>
    </w:p>
    <w:p w14:paraId="357E3D73">
      <w:pPr>
        <w:spacing w:line="540" w:lineRule="exact"/>
        <w:rPr>
          <w:rStyle w:val="19"/>
          <w:rFonts w:ascii="黑体" w:hAnsi="黑体" w:eastAsia="黑体"/>
          <w:b w:val="0"/>
          <w:spacing w:val="-4"/>
          <w:sz w:val="32"/>
          <w:szCs w:val="32"/>
        </w:rPr>
      </w:pPr>
    </w:p>
    <w:p w14:paraId="1F41333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03DEE01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2BD5879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做好全县各类网站、论坛、微博、微信公众号、新闻客户端等互联网信息内容的监督管理。二是做好网络舆情监测、搜集、研判和信息报送等工作。三是做好网上正能传播，使网络正能量的文化内涵不至于失去时代感和亲近感，从而提高全县网民网络安全意识，引导全县网民依法上网、文明上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资金2.1万元，其中：财政资金2.1万元。通过支付2024年全年互联网链路租费2.1万元，确保单位网络运行正常，更好地做好全县各类网站、论坛、微博、微信公众号、新闻客户端等互联网信息内容的监督管理，进一步强化网络舆情监测、搜集、研判和信息报送等工作的同时做好网上正能传播。使网络正能量的文化内涵不至于失去时代感和亲近感，从而提高全县网民网络安全意识，引导全县网民依法上网、文明上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实施主体：中共民丰县委员会网络安全和信息化委员会办公。</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实施时间：本项目实施期限为2024年1月—2024年12月。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截至目前，该项目已完成开展培训次数4次，2024年网信办互联网网络链路租费服务期限1年。通过项目实施，网络安全事件发生率较上年较低，提高内保、安防工作，对项目实施前进行充分调研，制定实施方案，项目实施过程中严格按照实施方案进行实施并及时进行监督管理，项目实施后进行及时验收及后期维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本项目预算安排总额为2.1万元，资金来源本级财政拨款资金。其中：财政资金2.1万元，其他资金0万元，2024年实际收到预算资金2.1万元，预算资金到位率为100 %。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本项目实际支付资金2.08万万元，预算执行率99.05% 。本项目资金主要用于支付办理互联网专线1条，费用0.9万元/年、办理工作卡20个，费用1.18万元/年，资金执行率达到99.05%。具体使用情况如下：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2024年网信办互联网网络链路租费2.08万元/年。</w:t>
      </w:r>
    </w:p>
    <w:p w14:paraId="7B0F161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6EEF928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目标1：本项目总投资2.1万元，主要用于支付2024年全年互联网网络专项费用。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目标2：本项目互联网网络运行维修响应时间必须在30分钟之内完成，并且保证在30分钟之内及时发现上报网络舆情。</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目标3：开展互联网网络安全培训次数4次，从而有效提高互联网网络专线使用安全率。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项目实施，做好网络舆情监测、搜集、研判和信息报送等工作的同时做好网上正能传播，使网络正能量的文化内涵不至于失去时代感和亲近感，从而提高全县网民网络安全意识，引导全县网民依法上网、文明上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前期准备工作：为确保互联网网络专线项目实施，成立了专门的领导小组，进行了专题会议研究，单位内控制度健全、组织保障到位，经费保障充足，项目实施中监督检查、绩效管理监督到位，做到制度在先，有据可依。此项目资金投入较为合理、保障较为完备、可行性较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项目实施：开展一个季度开一次互联网网络安全培训次数，全面提高了全县网民网络安全意识，有效降低了网络安全事件发生率。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开展一个季度开一次互联网网络安全培训次数，全面提高了全县网民网络安全意识，有效降低了网络安全事件发生率。2024年5月资金已支付完成，从而保障了互联网网络运行维修响应时间在30分钟之内并在30分钟之内及时发现上报网络舆情。</w:t>
      </w:r>
    </w:p>
    <w:p w14:paraId="00A60BF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6944C13C">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06FA304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网信办互联网网络链路租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此次我单位根据《财政支出绩效评价管理暂行办法》（财预〔2020〕10号）文件要求实施评价工作，本次评价对象为2024年网信办互联网网络链路租费项目，评价核心为项目的资金投入、产出及效益。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1C3A569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27E57D7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 成本效益分析法 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资金使用合规性：文献法、实地勘察法，一是查找资金管理办法，包括专项资金管理办法和单位自有资金管理办法；二是通过查账了解具体开支情况，是否专用专用，是否按照标准支出。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A735F71">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4C22E2D4">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3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组长：崔佳妮负责单位项目管理和资金绩效管理全面工作；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成员：石培雪负责预算项目管理工作；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成员：凯姆拜尔妮萨·喀迪尔负责预算支出管理和预算绩效管理工作。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3日-4月10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2025年4月11日-4月17日，评价小组按照绩效评价的原则和规范，对取得的资料进行审查核实，对采集的数据进行分析，按照绩效评价指标评分表逐项进行打分、分析、汇总各方评价结果。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2025年4月18日-4月28日评价小组撰写绩效评价报告，按照新疆维吾尔自治区财政绩效管理信息系统绩效评价模块中统一格式和文本框架撰写绩效评价报告并提交审核。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DF50B63">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3EFD1D7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经评价，本项目达成年初设立的绩效目标，在实施过程中取得了良好的成效，具体表现在以下两个方面：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该项目做好网络舆情监测、搜集、研判和信息报送等工作的同时做好网上正能传播，使网络正能量的文化内涵不至于失去时代感和亲近感，从而提高全县网民网络安全意识，引导全县网民依法上网、文明上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该项目确保单位网络运行正常，更好地做好全县各类网站、论坛、微博、微信公众号、新闻客户端等互联网信息内容的监督管理，进一步强化网络舆情监测、搜集、研判和信息报送等工作的同时做好网上正能传播。</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秀”。综合评价结论如下：本项目共设置三级指标数量21个，实现三级指标数量21个，总体完成率为100%。项目决策类指标共设置6个，满分指标6个，得分率100%；过程管理类指标共设置5个，满分指标5个，得分率100%；项目产出类指标共设置7个，满分指标7个，得分率100%；项目效益类指标共设置3个，满分指标3个，得分率100%，详细情况见“附件2：项目综合得分表”。</w:t>
      </w:r>
    </w:p>
    <w:p w14:paraId="273531F1">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5318125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3FB1BC76">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项目决策类指标由3个二级指标和6个三级指标构成，权重分21分，实际得分21分。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行业发展规划和政策要求；本项目立项符合《中共民丰县委网络安全和信息化工作委员会办公室配置内设机构和人员编制规定》中职责范围中，属于我单位履职所需；根据《财政资金直接支付申请书》，本项目资金性质为“公共财政预算”功能分类为“【2013701】行政运行”经济分类为“办公经费”属于公共财政支持范围，符合中央、地方事权支出责任划分原则；经检查我单位财政应用平台指标，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已设置年度绩效目标，具体内容为“2024年网信办互联网网络链路租费”；本项目实际工作内容为：截止2024年12月31日，本项目实际支出资金2.08万元，预算执行率为99.05%。实际已于2024年12月31日完成开展培训次数4次，917视频专线服务期限1年。通过项目实施，网络安全事件发生率较上年较低，提高内保、安防工作。完成；绩效目标与实际工作内容一致，两者具有相关性;本项目按照绩效目标完成了数量指标、质量指标、时效指标、成本指标，社会效益指标，年度绩效目标完成，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7个，三级指标10个，定量指标8个，定性指标2个，指标量化率为80%，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本项目预算编制2024年度互联网网络专线，即预算编制较科学且经过论证；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预算申请内容为2024年度互联网网络专线，项目实际内容为2024年度互联网网络专线，预算申请与《中共民丰县委员会网络安全和信息化委员会办公室2024年度互联网网络专线项目实施方案》中涉及的项目内容匹配；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2.1万元，我单位在预算申请中严格按照单位标准和数量进行核算，其中：单位标准为2.08万元，数量为1。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2024年度互联网网络专线项目资金的请示》和《2024年度互联网网络专线项目实施方案》为依据进行资金分配，预算资金分配依据充分。，本项目实际到位资金2.1万元，实际分配资金与我单位提交申请的资金额度一致，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综上所述，本指标满分为2分，根据评分标准得2分，本项目资金分配合理。</w:t>
      </w:r>
      <w:r>
        <w:rPr>
          <w:rStyle w:val="19"/>
          <w:rFonts w:hint="eastAsia" w:ascii="楷体" w:hAnsi="楷体" w:eastAsia="楷体"/>
          <w:b w:val="0"/>
          <w:bCs w:val="0"/>
          <w:spacing w:val="-4"/>
          <w:sz w:val="32"/>
          <w:szCs w:val="32"/>
          <w:lang w:eastAsia="zh-CN"/>
        </w:rPr>
        <w:tab/>
      </w:r>
    </w:p>
    <w:p w14:paraId="2A19F60C">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6114669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项目过程管理类指标由1个一级指标，2个二级指标和5个三级指标构成，权重分19分，实际得分19分。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本项目预算资金为2.1万元，其中：本级财政安排资金2.1万元，其他资金0万元，实际到位资金2.1万元，资金到位率=100%。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本项目实际支出资金2.08万元，预算执行率99.05%。综上所述，本指标满分为5分，根据评分标准得5分，本项目资金分配合理。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民丰县委网信办单位资金管理办法》《民丰县委网信办专项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民丰县委网信办资金管理办法》、《民丰县委网信办收支业务管理制度》、《民丰县委网信办政府采购业务管理制度》、《民丰县委网信办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委网信办项目工作领导小组，由党组书记刘冠超任组长，负责项目的组织工作；崔佳妮任副组长，负责项目的实施工作；组员包括：石培雪和凯姆拜尔妮萨，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综上所述，本指标满分为4分，根据评分标准得4分，本项目所建立制度执行有效。</w:t>
      </w:r>
    </w:p>
    <w:p w14:paraId="1E5EDDF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275556B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项目产出类指标由1个一级指标，4个二级指标和7个三级指标，权重分20份，实际得分20分。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"开展互联网网络安全培训次数:预期指标值为=4次，实际完成值为 =4次,指标完成率为100%。"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服务期限为:预期指标值为=12月，实际完成值为=12月,指标完成率为100%。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互联网网络专线使用安全率:预期指标值为=100%，实际完成值为=100%，,指标完成率为100%。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“互联网网络运行维修响应时间”指标：预期指标值为&lt;=30分钟，实际完成指标值为=30分钟，指标完成率为100%。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“报送网络舆情时间”指标：预期指标值为&lt;=30分钟，实际完成指标值为=30分钟，指标完成率为100%%。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“互联网专线网络服务费”指标：预期指标值为&lt;=9000元/年，实际完成指标值为=9000元/年，指标完成率为100%。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“办理工作卡费用”指标：预期指标值为&lt;=11760元/年，实际完成指标值为=11760元/年，指标完成率为100%。</w:t>
      </w:r>
    </w:p>
    <w:p w14:paraId="1C9F15C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3D1665D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项目效益类指标由2个二级指标和3个三级指标构成，权重分40分，实际得分40分。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“网络安全事件发生率”指标：预期指标值为较上年较低，实际完成指标值为基本达成目标，指标完成率为100%。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“提高全县网民网络安全意识”指标：预期指标值为较有效提高，实际完成指标值为基本达成目标，指标完成率为100%。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2.满意度指标完成情况分析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“受益单位满意度”指标：预期指标值为=95%，实际完成指标值为100%，指标完成率为100%。</w:t>
      </w:r>
    </w:p>
    <w:p w14:paraId="56C6B3F3">
      <w:pPr>
        <w:spacing w:line="540" w:lineRule="exact"/>
        <w:ind w:firstLine="567"/>
        <w:rPr>
          <w:rStyle w:val="19"/>
          <w:rFonts w:hint="eastAsia" w:ascii="楷体" w:hAnsi="楷体" w:eastAsia="楷体"/>
          <w:spacing w:val="-4"/>
          <w:sz w:val="32"/>
          <w:szCs w:val="32"/>
        </w:rPr>
      </w:pPr>
    </w:p>
    <w:p w14:paraId="5F8BD38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0D288244">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本项目年初预算资金总额为2.1万元，全年预算数为2.1万元，全年执行数为2.08万元，预算执行率为99.05%。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本项目共设置三级指标数量10个，满分指标数量10个，扣分指标数量0个，经分析计算所有三级指标完成率得出，本项目总体完成率为100%。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综上所述本项目预算执行率与总体完成率之间的偏差为0%。</w:t>
      </w:r>
    </w:p>
    <w:p w14:paraId="737A988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583FA019">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按照项目工作内容、工作措施、工作时限和要达到的预期效果，进一步分解细化，将责任落实到岗位，形成完整的绩效管理工作方案和指标考核评价体系，使单位工作任务与绩效评价指标紧密结合起来，推动各项工作落实。2.健全预算项目管理制度，项目前期合理设置内部管理机构和岗位，明确职责权限，注重团队协作，明确业务各个环节流程、时间要求、审批权限等，保障信息对接及时，领导分工明确，事事有人管，件件有人抓，注重风险评估，明确单位内部各个业务归口管理责任，强化预算绩效意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进一步加强财务人员对《中华人民共和国预算法》《中华人民共和国预算法实施条例》等相关规定的学习，严格按照预算管理一体化要求对本单位预算进行编制工作，严格按照财政业务规范执行各类收支预算指标管理，进一步深化预算管理制度，不断提高预算编制的科学性、规范性和准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二是严格预算管理及收支管理，确保财务资金按规范列支，确保报销票据、内容和标准符合有关规定，严格按照厉行节约有关规定，做好相关经费支出预算规划，严控相关经费支出。</w:t>
      </w:r>
    </w:p>
    <w:p w14:paraId="22CA98D2">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57C0B43D">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项目在资金投入方面，预算编制经过科学论证、有明确标准，资金额度与年度目标相适应，用以反映和考核项目预算编制的科学性、合理性情况。项目预算资金分配有测算依据，与补助单位或地方实际相适应。2.由于目前的预算管理在编制和实施中还存在编制不细、预算调整较多、追加预算比重较大等现象,因此项目预算执行的准确性还有待加强,同时分析手段和技术水平上还有待完善。在今后的工作中,我们将加强与财政单位的紧密配合,开展好整体支出及项目资金绩效管理工作,运用好绩 效评价的结果,不断提升预算管理水平。3.在资金管理方面，项目资金到位足额及时，及时支付，资金使用符合国家法规和财务管理制度；资金拨付有完整的审批程序和手续，符合项目预算批复或合同规定的用途；不存在截留、挤占、挪用、虚列支出等情况。4.对项目申请进行严格审核、筛选。根据拟申请预算项目，从相关性、预期绩效的可实现性、实施方案的有效性、预期绩效的可持续性及财政资金投入的可行性风险五个方面进行客观、公正的评估。</w:t>
      </w:r>
    </w:p>
    <w:p w14:paraId="535FE62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26DB4C0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02F12897">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EF7CD8D">
        <w:pPr>
          <w:pStyle w:val="12"/>
          <w:jc w:val="center"/>
        </w:pPr>
        <w:r>
          <w:fldChar w:fldCharType="begin"/>
        </w:r>
        <w:r>
          <w:instrText xml:space="preserve">PAGE   \* MERGEFORMAT</w:instrText>
        </w:r>
        <w:r>
          <w:fldChar w:fldCharType="separate"/>
        </w:r>
        <w:r>
          <w:rPr>
            <w:lang w:val="zh-CN"/>
          </w:rPr>
          <w:t>1</w:t>
        </w:r>
        <w:r>
          <w:fldChar w:fldCharType="end"/>
        </w:r>
      </w:p>
    </w:sdtContent>
  </w:sdt>
  <w:p w14:paraId="6CEAFB0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01560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Props1.xml><?xml version="1.0" encoding="utf-8"?>
<ds:datastoreItem xmlns:ds="http://schemas.openxmlformats.org/officeDocument/2006/customXml" ds:itemID="{fc55849c-a6e0-4e93-9673-de5e51a56b1d}">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10421</Words>
  <Characters>10841</Characters>
  <Lines>5</Lines>
  <Paragraphs>1</Paragraphs>
  <TotalTime>137</TotalTime>
  <ScaleCrop>false</ScaleCrop>
  <LinksUpToDate>false</LinksUpToDate>
  <CharactersWithSpaces>10863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2018-12-31T10:56:00Z</cp:lastPrinted>
  <dcterms:modified xsi:type="dcterms:W3CDTF">2025-09-24T11:21:52Z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C734C92AAAF24344A0E4232D8EB3359B</vt:lpwstr>
  </property>
  <property fmtid="{D5CDD505-2E9C-101B-9397-08002B2CF9AE}" pid="4" name="KSOTemplateDocerSaveRecord">
    <vt:lpwstr>eyJoZGlkIjoiN2E1ZDY0MDI5MTE3YjM0ZGMyMzg4N2EwMDI4ZjJiM2YiLCJ1c2VySWQiOiIyNTk4NTcxMjUifQ==</vt:lpwstr>
  </property>
</Properties>
</file>