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2024年县级基本财力保障机制奖补资金项目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民丰县财政局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民丰县财政局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解决基层政府（尤其是欠发达地区县级政府）财政困难、保障其基本运转和基本公共服务供给能力、促进区域间基本公共服务均等化、维护国家治理体系基础稳固而建立的一项关键性、制度化的中央财政转移支付安排。它源于对现实问题的深刻认识和对国家长治久安的战略考量，是财政体系发挥“稳定器”和“调节器”作用的重要体现。该预算项目直接服务于“保基本民生、保工资、保运转”的核心目标，是中央财政预算中具有高度优先性和保障性的重要支出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提前下达2024年县级基本财力保障机制奖补资金预算的通知》和地财预[2023]46号文件要求，实施本项目。主要内容：保障全县预算81个单位的4370名在职、退休及离休人员发3个月工资，保基本民生、保工资、保运转工资。通过此项目的实施，有效弥补县级财力不足，保障全县干部的生活水平，提高县级基本财力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实施主体：民丰县财政局。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完成保障全县预算81个单位的4370名在职、退休及离休人员发3个月工资，保基本民生、保工资、保运转工资。通过此项目的实施，有效弥补县级财力不足，保障全县干部的生活水平，提高县级基本财力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本项目预算安排总额为7265.00万元，资金来源为中央专项资金、自治区专项资金，其中：财政资金7265.00万元，其他资金7265.00万元，2023年实际收到预算资金7265.00万元，预算资金到位率为100%。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本项目实际支付资金7265.00万元，预算执行率100%本项目资金主要用于支付人员工资、社保医保费用7265.00万元、。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提前下达2024年县级基本财力保障机制奖补资金预算的通知》和地财预[2023]46号文件要求，实施本项目。主要内容：保障全县预算81个单位的4370名在职、退休及离休人员发3个月工资，保基本民生、保工资、保运转工资。通过此项目的实施，有效弥补县级财力不足，保障全县干部的生活水平，提高县级基本财力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项目前期准备工作：确保基础数据（人口、经济、财政收支等）的真实性、准确性、完整性</w:t>
      </w:r>
      <w:r>
        <w:rPr>
          <w:rStyle w:val="Strong"/>
          <w:rFonts w:ascii="楷体" w:eastAsia="楷体" w:hAnsi="楷体" w:hint="eastAsia"/>
          <w:b w:val="0"/>
          <w:bCs w:val="0"/>
          <w:spacing w:val="-4"/>
          <w:sz w:val="32"/>
          <w:szCs w:val="32"/>
        </w:rPr>
        <w:t xml:space="preserve">及</w:t>
      </w:r>
      <w:r>
        <w:rPr>
          <w:rStyle w:val="Strong"/>
          <w:rFonts w:ascii="楷体" w:eastAsia="楷体" w:hAnsi="楷体" w:hint="eastAsia"/>
          <w:b w:val="0"/>
          <w:bCs w:val="0"/>
          <w:spacing w:val="-4"/>
          <w:sz w:val="32"/>
          <w:szCs w:val="32"/>
        </w:rPr>
        <w:t xml:space="preserve">时性是前期准备工作的核心和难点。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项目实施：按照时间节点，制定项目具体开展实施计划及每个节点对应的实施内容。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项目完成：按照时间节点，按照时间计划进行支付。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县级基本财力保障机制奖补资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此次我单位根据《财政支出绩效评价管理暂行办法》（财预〔2020〕10号）文件要求实施评价工作，本次评价对象为2024年县级基本财力保障机制奖补资金项目，评价核心为项目的资金投入、产出及效益。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20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李健（评价小组组长）：主要负责全盘工作;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李江会（评价小组组员）：主要负责印证资料提供;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童云巧（评价小组组员）：主要负责绩效评价报告编写。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20日-4月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2025年4月1日-4月10日，评价小组按照绩效评价的原则和规范，对取得的资料进行审查核实，对采集的数据进行分析，按照绩效评价指标评分表逐项进行打分、分析、汇总各方评价结果。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2025年4月10日-420日评价小组撰写绩效评价报告，按照新疆维吾尔自治区财政绩效管理信息系统绩效评价模块中统一格式和文本框架撰写绩效评价报告并提交审核。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困难群众救助工作。根据自治区民政厅、财政厅《关于提高全区困难群众基本生活救助保障标准的通知》，进一步做好提高困难群众基本生活救助保障，及时调整了困难群众救助补助标准，有效提升了低保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19个，实现三级指标数量19个，总体完成率为100%。项目决策类指标共设置6个，满分指标6个，得分率100.00%；过程管理类指标共设置5个，满分指标5个，得分率100.00%；项目产出类指标共设置6个，满分指标6个，得分率100.00%；项目效益类指标共设置2个，满分指标2个，得分率100.00%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  于提前下达2024年县级基本财力保障机制奖补资金预算的通知》  (新财预〔2023〕71号)内容，符合行业发展规划和政策要求；本项目立项符合《民丰县财政局配置内设机构和人员编制规定》中职责范围中的“预算编制及执行”，属于我单位履职所需；根据《财政资金直接支付申请书》，本项目资金性质为“公共财政预算”，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2024年县级基本财力保障机制 奖补资金预算的通知》和地财预〔2023〕46号文件要求实施项目。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根据《关于提前下达2024年县级基本财力保障机制奖补资金预算的通知》和地财预[2023]46号文件要求，实施本项目。主要内容：保障全县预算81个单位的4370名在职、退休及离休人员发3个月工资，保基本民生、保工资、保运转工资。通过此项目的实施，有效弥补县级财力不足，保障全县干部的生活水平，提高县级基本财力水平。”；本项目实际工作内容为：截止2023年12月31日，本项目实际支出资金7265万元，预算执行率为100.00%。绩效目标与实际工作内容一致，两者具有相关性;本项目按照绩效目标完成了数量指标、质量指标、时效指标、成本指标，效益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本项目预算编制符合要求，即预算编制较科学且经过论证；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预算申请与《关于提前下达2024年县级基本财力保障机制 奖补资金预算的通知》和地财预〔2023〕46号文件中涉及的项目内容匹配；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本项目预算申请资金7265.00万元，我单位在预算申请中严格按照单位标准和数量进行核算，本项目预算额度测算依据充分，严格按照标准编制，预算确定资金量与实际工作任务相匹配；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本项目实际分配资金以《关于提前下达2024年县级基本财力保障机制 奖补资金预算的通知》和地财预〔2023〕46号文件为依据进行资金分配，预算资金分配依据充分。根据《关于提前下达2024年县级基本财力保障机制 奖补资金预算的通知》和地财预〔2023〕46号文件文件显示，本项目实际到位资金7265.00万元，实际分配资金与我单位提交申请的资金额度一致，资金分配额度合理，与我单位实际需求相适应。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本项目预算资金为7265.00万元，其中：本级财政安排资金7265.00万元，其他资金7265.00万元，实际到位资金7265.00万元，资金到位率100%。得分4分。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本项目实际支出资金7265.00万元，预算执行率100%。得分5分。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财政局单位资金管理办法》《民丰县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我单位已制定《直达资金管理办法》，上述已建立的制度均符合行政事业单位内控管理要求，财务和业务管理制度合法、合规、完整，本项目执行符合上述制度规定。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综上所述，本指标满分为2分，根据评分标准得XX分，项目制度建设健全。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项目工作领导小组，由李健任组长，负责项目的组织工作；李江会任副组长，负责项目的实施工作；组员包括：童云巧，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"保障全县预算单位个数:预期指标值为=81个，实际完成值为=81个个,指标完成率为100%。"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单位工作人员数量:预期指标值为&gt;=4370人，实际完成值为=4370人,指标完成率为100%。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资金发放月数:预期指标值为=3个月，实际完成值为=3个月,指标完成率为100%。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“全县干部职工资金发放及时率”指标：预期指标值为=100%，实际完成指标值为=100%，指标完成率为100%。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“人均工资发放标准”指标：预期指标值为&lt;=5541.57元/月/人，实际完成指标值为=5541.57元/月/人，指标完成率为100%。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“保障全县干部的生活水平”指标：预期指标值为有效保障，实际完成指标值为基本达成预期目标，指标完成率为100%。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“受益干部职工满意度”指标：预期指标值为&gt;=95%，实际完成指标值为=95%，指标完成率为100%。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本项目年初预算资金总额为7265.00万元，全年预算数为7265.00万元，全年执行数为7265.00万元，预算执行率为100%。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本项目共设置三级指标数量19个，满分指标数量19个，扣分指标数量0个，经分析计算所有三级指标完成率得出，本项目总体完成率为100%。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1.目标设定科学性及评价存在难度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对于目标设定需要分科室单位分解,汇总后制定整体目标，如何科学整合全单位绩效目标比较困难；目标设定后如何科学设定考核评价标准，特别是对于不能量化的目标如何评价。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2.财务管理方面，会计核算还不够细致,对于有些能够细分的工作,未能详细分类核算,绩效评价基础数据不够精准。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领导重视、周密安排，认真做好项目申报审批工作，积极配合相关人员做好相关申报资料的收集整理归档工作，思路清晰，保证时效性。</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在项目决策中，严格按照上级单位及领导的要求，建设完善的管理模式，成立管理协调领导机构，负责解决相关的顶层设计、协调关系，拟定项目执行的任务，建章立制，扎实推进相关要求，健全符合本项目的项目确立机制、价值评估机制、项目合理回报机制、风险管控和分担机制、项目资金追踪机制、融资机制，做好项目进度计划设定，强化计划实施与组织管理，加强内外部协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