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2024年中央食品药品监管补助资金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民丰县市场监督管理局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民丰县市场监督管理局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麦提赛伊迪·麦提托合提</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本项目依据和地财行[2024]29号文件实施，项目总投资5万元，为了加强食品药品安全监管，提升监管能力，保障群众健康。通过提供专项资金支持，</w:t>
      </w:r>
      <w:r>
        <w:rPr>
          <w:rStyle w:val="Strong"/>
          <w:rFonts w:ascii="楷体" w:eastAsia="楷体" w:hAnsi="楷体" w:hint="eastAsia"/>
          <w:b w:val="0"/>
          <w:bCs w:val="0"/>
          <w:spacing w:val="-4"/>
          <w:sz w:val="32"/>
          <w:szCs w:val="32"/>
        </w:rPr>
        <w:t xml:space="preserve">能够更好地</w:t>
      </w:r>
      <w:r>
        <w:rPr>
          <w:rStyle w:val="Strong"/>
          <w:rFonts w:ascii="楷体" w:eastAsia="楷体" w:hAnsi="楷体" w:hint="eastAsia"/>
          <w:b w:val="0"/>
          <w:bCs w:val="0"/>
          <w:spacing w:val="-4"/>
          <w:sz w:val="32"/>
          <w:szCs w:val="32"/>
        </w:rPr>
        <w:t xml:space="preserve">履行监管职责，确保食品药品市场的安全和秩序。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内容为：药品科印刷印刷化妆品经营单位进货、销售登记本印刷费0.5万元；日常监管所需办公用品费0.5万元；食品快速抽检车费用0.79万元；印刷食品日常检查登记本费用1.2885万元；食品药品日常宣传单及宣传栏费用1.1215万元；食品药品科办公设备维修护费0.8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实施主体：民丰县市场监督管理局。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实施时间：本项目实施期限为2024年01月—2024年12月。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为了加强食品药品安全监管，提升监管能力，保障群众健康。根据项目需求，合理分配资金，确保资金使用效率，按照项目计划，及时支付资金，确保资金专款专用。项目实施后食品药品安全水平提高，执法人员监管能力提升，资金使用效率100%，资金完成及时率100%，社会公众满意度达到95%。项目的实施是一个系统性工程，需要经过前期准备、实施推进、效果评价三个阶段，为食品药品市场的规范提供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本项目预算安排总额为5万元，资金来源为本级部门预算-中央专项资金，其中：财政资金5万元，其他资金0万元，2024年实际收到预算资金5万元，预算资金到位率为100 %。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4.95万元，预算执行率99%。本项目资金主要用于支付药品科印刷印刷化妆品经营单位进货、销售登记本印刷、日常宣传单及宣传栏费用1.7945万元；日常监管所需办公用品费0.4950万元；食品快速抽检车费用0.75174万元；食品药品宣传海报1.1215万元；食品药品科办公设备维修护费0.79503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和地财行[2024]29号文件要求实施本项目，主要内容：食品药品经营单位专项检查不少于3次，印刷食品监管登记本200本，印刷化妆品经营单位进货、销售登记本125本。通过此项目的实施，保障食品药品日常监管检查；完善化妆品经营单位进货、销售查验台账；加大宣传力度。推进落实食品药品安全管理和企业主体两个责任，健全完善我县食品药品安全体系，全面提升食品药品监管保障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项目前期准备工作：依据和地财行[2024]29号文件要求，我单位主要领导曾艳荣组织食品药品科及相关科室学习国家监管总局、国家药监总局引发关于《食品药品监管补助资金管理办法》，合理分配资金。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资金下达时间2024年9月，具体实施计划：药品科印刷印刷化妆品经营单位进货、销售登记本印刷费0.5万元；日常监管所需办公用品费0.5万元；食品快速抽检车费用0.79万元；印刷食品日常检查登记本费用1.2885万元；食品药品日常宣传单及宣传栏费用1.1215万元；食品药品科办公设备维修护费0.8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项目完成：2024年12月项目基本完成。</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2024年中央食品药品监管补助资金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此次我单位根据《财政支出绩效评价管理暂行办法》（财预〔2020〕10号）文件要求实施评价工作，本次评价对象为2024年中央食品药品监管补助资金项目，评价核心为项目的资金投入、产出及效益。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绩效评价小组组长：麦提赛伊迪·麦提托合提，主要负责整体工作的协调和管理；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绩效评价小组组员：魏兰、毛丽，主要负责收集与评价相关的数据和资料，包括文件、支付凭证、对相关人员进行调查问卷，根据相关资料填写绩效自评及相关报告等。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2025年3月15日-4月10日，评价小组按照绩效评价的原则和规范，对取得的资料进行审查核实，对采集的数据进行分析，按照绩效评价指标评分表逐项进行打分、分析、汇总各方评价结果。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2025年4月10日-4月20日评价小组撰写绩效评价报告，按照新疆维吾尔自治区财政绩效管理信息系统绩效评价模块中统一格式和文本框架撰写绩效评价报告并提交审核。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一是：加强食品药品安全监管,对食品、药品生产，消费等环节进行全面监控，有效保障食品药品市场的安全性。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二是：通过开展培训，提高监管队伍整体素质，为食品药品安全监管提供了有力保障。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三是：以消费者需求为导向，积极回应社会关切，不断提高服务质量，听取消费者意见建议，强化监管措施，切实维护消费者合法权益，保障群众健康。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分，绩效评级为“良好”。综合评价结论如下：本项目共设置三级指标数量18个，实现三级指标数量18个，总体完成率为99%。项目决策类指标共设置6个，满分指标6个，得分率100%；过程管理类指标共设置5个，满分指标5个，得分率100%；项目产出类指标共设置5个，满分指标3个，得分率60%；项目效益类指标共设置1个，满分指标1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和地财行[2024]29号文件；根据《财政资金直接支付申请书》，本项目资金性质为“一般公共预算资金”功能分类为“2013899”经济分类为“办公经费”属于般公共预算资金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和地财行[2024]29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食品药品经营单位专项检查不少于3次，印刷食品监管登记本200本，印刷化妆品经营单位进货、销售登记本125本。本项目实际工作内容为：截止2024年12月31日，本项目实际支出资金4.95万元，预算执行率为99%。绩效目标与实际工作内容基本一致，两者具有相关性;本项目按照绩效目标完成了数量指标、质量指标、时效指标、成本指标，有效保障食品药品日常监管检查；完善化妆品经营单位进货、销售查验台账；加大宣传力度。推进落实食品药品安全管理和企业主体两个责任，健全完善我县食品药品安全体系，全面提升食品药品监管保障水平。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7个，定量指标6个，定性指标1个，指标量化率为85.71%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明确项目目标，收集与项目相关的数据；明确预算编制的政策依据，如&lt;食品药品监管补助资金管理办法&gt;等；合理分配预算资金，确保重点任务和关键环节的资金保障；对预算内容进行审核，确保各项费用合理，根据审核意见进行调整，优化预算结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药品科印刷印刷化妆品经营单位进货、销售登记本印刷费0.5万元；日常监管所需办公用品费0.5万元；食品快速抽检车费用0.79万元；印刷食品日常检查登记本费用1.2885万元；食品药品日常宣传单及宣传栏费用1.1215万元；食品药品科办公设备维修护费0.8万元。项目实际内容为主要用于支付药品科印刷印刷化妆品经营单位进货、销售登记本印刷、日常宣传单及宣传栏费用1.7945万元；日常监管所需办公用品费0.4950万元；食品快速抽检车费用0.75174万元；食品药品宣传海报1.1215万元；食品药品科办公设备维修护费0.79503万元，预算申请与《2024年中央食品药品监管补助资金项目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本项目预算申请资金5万元，我单位在预算申请中严格按照单位标准和数量进行核算。本项目预算额度测算依据充分，严格按照标准编制，预算确定资金量与实际工作任务相匹配。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本项目依据和地财行[2024]29号文件下拨上级专项资金。根据民财行[2024]20号文件显示，本项目实际到位资金5万元，实际到位资金与上级下拨资金一致，与我单位实际需求相适应。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本项目预算资金为5万元，其中：本级财政安排资金5万元，其他资金0万元，实际到位资金5万元，资金到位率100%。得分4。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本项目实际支出资金4.95万元，预算执行率99%。得分4.95分。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综上所述，本指标满分为5分，根据评分标准得4.95分，本项目资金分配合理。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单位资金管理办法》《食品药品专项补助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单位专项资金管理办法》、《单位收支业务管理制度》、《政府采购业务管理制度》、《单位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食品药品监管补助资金项目工作领导小组，由党组书记韩国辉任组长，负责项目的组织工作；阿里木江·迪力穆拉提任副组长，负责项目的实施工作；组员包括：魏兰和毛丽，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项目产出类指标由3个二级指标和5个三级指标构成，权重分20分，实际得分19分。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“食品药品经营单位专项检查次数”:预期指标值为≥3次，实际完成值为=4次,指标完成率为100%。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“印刷食品监管登记本数量”:预期指标值为≥200本，实际完成值为=200本,指标完成率为100%。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“印刷化妆品经营单位进货、销售登记本”:预期指标值为≥125本，实际完成值为=95本,指标完成率为76%。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“资金使用合规率”指标：预期指标值为=100%，实际完成指标值为=99%，指标完成率为99%。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“项目完成及时率”指标：预期指标值为=100%，实际完成指标值为=100%，指标完成率为100%。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“提高食品药品监管保障水平”指标：预期指标值为有效提高，实际完成指标值为基本达成目标，指标完成率为100%。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“社会公众满意度”指标：预期指标值为&gt;=95%，实际完成指标值为=95%，指标完成率为100%。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本项目年初预算资金总额为5万元，全年预算数为5万元，全年执行数为4.95万元，预算执行率为99%，项目已完成，剩下为结转结余资金。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本项目共设置三级指标数量7个，满分指标数量5个，扣分指标数量2个，经分析计算所有三级指标完成率得出，本项目总体完成率为96.43%。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综上所述本项目预算执行率与总体完成率之间的偏差为2.57%。</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一是高度重视。高度重视绩效评价工作，积极加强部门之间沟通协调，在总结以往工作经验的基础上，按照财政局通知要求，认真开展绩效自评工作。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二是明确责任。明确了绩效自评工作责任分工和完成时限，并提出了具体要求。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三是领导重视、周密安排，认真做好项目申报审批工作，积极配合相关人员做好相关申报资料的收集整理归档工作，思路清晰，保证时效性。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四是合理分工，安排专人负责相关工作，责任到人，认真落实各时间节点的相关工作，各部门人员紧密配合，做好相关协调工作。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按计划基本已经完成。印刷化妆品经营单位进货、销售登记本目标值125本，实际完成95本，偏差的主要原因是：年初计划不够科学、全面、准确；资金使用合规率目标值100%，实际完成99%，项目已完成，剩下0.05万为结转结余资金。</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一</w:t>
      </w:r>
      <w:r>
        <w:rPr>
          <w:rStyle w:val="Strong"/>
          <w:rFonts w:ascii="楷体" w:eastAsia="楷体" w:hAnsi="楷体" w:hint="eastAsia"/>
          <w:b w:val="0"/>
          <w:bCs w:val="0"/>
          <w:spacing w:val="-4"/>
          <w:sz w:val="32"/>
          <w:szCs w:val="32"/>
        </w:rPr>
        <w:t xml:space="preserve">是</w:t>
      </w:r>
      <w:r>
        <w:rPr>
          <w:rStyle w:val="Strong"/>
          <w:rFonts w:ascii="楷体" w:eastAsia="楷体" w:hAnsi="楷体" w:hint="eastAsia"/>
          <w:b w:val="0"/>
          <w:bCs w:val="0"/>
          <w:spacing w:val="-4"/>
          <w:sz w:val="32"/>
          <w:szCs w:val="32"/>
        </w:rPr>
        <w:t xml:space="preserve">严格规范部门预算执行。提高用款计划的科学性和准确性，切实做好全年用款计划编报工作，跟踪监测预算执行情况。加强预算资金支付管理，提前做好项目的前期准备工作，根据预算安排、项目实施进度和用款计划，及时办理资金支付手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二是切实严肃财经纪律。我单位要加强对基层单位预算分配、执行情况的检查和监督。严格执行各项法律法规，对本单位及所属单位预算管理中出现的违法违规行为，及时予以纠正，并依法依规严肃处理。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制定合理的预算计划。预算计划需要根据具体情况制定,不能过于激进或保守，在制定预算计划时,应该同时考虑经济目标和实际情况,综合决定。此外,对于预算方案的编制,还应特别注意预算的灵活性和可调整性,以适应环境的变化。</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