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F80E8C">
      <w:pPr>
        <w:keepNext w:val="0"/>
        <w:keepLines w:val="0"/>
        <w:pageBreakBefore w:val="0"/>
        <w:widowControl w:val="0"/>
        <w:kinsoku/>
        <w:wordWrap/>
        <w:overflowPunct w:val="0"/>
        <w:topLinePunct/>
        <w:autoSpaceDE/>
        <w:autoSpaceDN w:val="0"/>
        <w:bidi w:val="0"/>
        <w:adjustRightInd/>
        <w:snapToGrid/>
        <w:spacing w:line="540" w:lineRule="exact"/>
        <w:jc w:val="center"/>
        <w:textAlignment w:val="auto"/>
        <w:rPr>
          <w:rFonts w:hint="eastAsia" w:ascii="楷体_GB2312" w:hAnsi="楷体_GB2312" w:eastAsia="楷体_GB2312" w:cs="楷体_GB2312"/>
          <w:b/>
          <w:bCs/>
          <w:sz w:val="36"/>
          <w:szCs w:val="36"/>
          <w:lang w:val="en-US" w:eastAsia="zh-CN"/>
        </w:rPr>
      </w:pPr>
      <w:r>
        <w:rPr>
          <w:rFonts w:hint="eastAsia" w:ascii="楷体_GB2312" w:hAnsi="楷体_GB2312" w:eastAsia="楷体_GB2312" w:cs="楷体_GB2312"/>
          <w:b/>
          <w:bCs/>
          <w:sz w:val="36"/>
          <w:szCs w:val="36"/>
          <w:lang w:val="en-US" w:eastAsia="zh-CN"/>
        </w:rPr>
        <w:t>2024年度民丰县预算绩效工作开展情况说明</w:t>
      </w:r>
    </w:p>
    <w:p w14:paraId="6A0ADBA7">
      <w:pPr>
        <w:keepNext w:val="0"/>
        <w:keepLines w:val="0"/>
        <w:pageBreakBefore w:val="0"/>
        <w:widowControl w:val="0"/>
        <w:kinsoku/>
        <w:wordWrap/>
        <w:overflowPunct w:val="0"/>
        <w:topLinePunct/>
        <w:autoSpaceDE/>
        <w:autoSpaceDN w:val="0"/>
        <w:bidi w:val="0"/>
        <w:adjustRightInd/>
        <w:snapToGrid/>
        <w:spacing w:line="300" w:lineRule="exact"/>
        <w:jc w:val="center"/>
        <w:textAlignment w:val="auto"/>
        <w:rPr>
          <w:rFonts w:hint="default" w:ascii="楷体_GB2312" w:hAnsi="楷体_GB2312" w:eastAsia="楷体_GB2312" w:cs="楷体_GB2312"/>
          <w:b/>
          <w:bCs/>
          <w:sz w:val="32"/>
          <w:szCs w:val="32"/>
          <w:lang w:val="en-US" w:eastAsia="zh-CN"/>
        </w:rPr>
      </w:pPr>
    </w:p>
    <w:p w14:paraId="7C055E9B">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left"/>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eastAsia="zh-CN"/>
        </w:rPr>
        <w:t>（一）</w:t>
      </w:r>
      <w:r>
        <w:rPr>
          <w:rFonts w:hint="eastAsia" w:ascii="仿宋" w:hAnsi="仿宋" w:eastAsia="仿宋" w:cs="仿宋"/>
          <w:b/>
          <w:bCs/>
          <w:color w:val="auto"/>
          <w:sz w:val="32"/>
          <w:szCs w:val="32"/>
        </w:rPr>
        <w:t>全面实施预算绩效管理制度建设情况</w:t>
      </w:r>
    </w:p>
    <w:p w14:paraId="116E717A">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为实现绩效管理工作的科学化和规范化，我县制定了《关于成立民丰县预算绩效管理工作领导小组的通知》《民丰县地方政府债务绩效管理暂行办法》《关于民丰县全面实施预算绩效管理的工作方案》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这些文件的印发，进一步强化了绩效管理的制度约束，明确了预算绩效管理的指导思想，确定了绩效管理的实施范围，细化了绩效管理的工作步骤针对不同层次评价对象特点，确定了绩效管理过程中的职责分工和操作规程。　</w:t>
      </w:r>
    </w:p>
    <w:p w14:paraId="159FFA12">
      <w:pPr>
        <w:keepNext w:val="0"/>
        <w:keepLines w:val="0"/>
        <w:pageBreakBefore w:val="0"/>
        <w:widowControl w:val="0"/>
        <w:numPr>
          <w:ilvl w:val="0"/>
          <w:numId w:val="0"/>
        </w:numPr>
        <w:kinsoku/>
        <w:wordWrap/>
        <w:overflowPunct w:val="0"/>
        <w:topLinePunct/>
        <w:autoSpaceDE/>
        <w:autoSpaceDN w:val="0"/>
        <w:bidi w:val="0"/>
        <w:adjustRightInd/>
        <w:snapToGrid/>
        <w:spacing w:line="540" w:lineRule="exact"/>
        <w:ind w:firstLine="643" w:firstLineChars="200"/>
        <w:jc w:val="left"/>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工作开展情况</w:t>
      </w:r>
    </w:p>
    <w:p w14:paraId="07371F95">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1、</w:t>
      </w:r>
      <w:r>
        <w:rPr>
          <w:rFonts w:hint="eastAsia" w:ascii="仿宋" w:hAnsi="仿宋" w:eastAsia="仿宋" w:cs="仿宋"/>
          <w:b/>
          <w:bCs/>
          <w:color w:val="auto"/>
          <w:sz w:val="32"/>
          <w:szCs w:val="32"/>
          <w:lang w:val="en-US" w:eastAsia="zh-CN"/>
        </w:rPr>
        <w:t>2023年部门（单位）整体支出绩效评价</w:t>
      </w:r>
      <w:r>
        <w:rPr>
          <w:rFonts w:hint="eastAsia" w:ascii="仿宋" w:hAnsi="仿宋" w:eastAsia="仿宋" w:cs="仿宋"/>
          <w:color w:val="auto"/>
          <w:sz w:val="32"/>
          <w:szCs w:val="32"/>
          <w:lang w:val="en-US" w:eastAsia="zh-CN"/>
        </w:rPr>
        <w:t>。2023年部门单位整体支出绩效评价自评表76个及自评报告76个（不含涉密单位）。整体绩效目标预算金额为123235.09万元，财政部门评价得分96.03分，绩效评价中心得分98.30分。其中：</w:t>
      </w:r>
    </w:p>
    <w:p w14:paraId="4378CC7C">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2023年部门单位整体支出绩效评价自评表以部门单位年初上报整体支出绩效目标表为依据，单位自行填报整体支出绩效评价自评表。部门单位以2022年底决算报表为导向编制2023年部门单位整体支出绩效评价自评报告，截至2024年6月20日，已完成民丰县2023年部门整体支出绩效评价自评表76个及自评报告76个（不含涉密单位），已按照要求提交。</w:t>
      </w:r>
    </w:p>
    <w:p w14:paraId="73A5CE25">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2、</w:t>
      </w:r>
      <w:r>
        <w:rPr>
          <w:rFonts w:hint="eastAsia" w:ascii="仿宋" w:hAnsi="仿宋" w:eastAsia="仿宋" w:cs="仿宋"/>
          <w:b/>
          <w:bCs/>
          <w:color w:val="auto"/>
          <w:sz w:val="32"/>
          <w:szCs w:val="32"/>
          <w:lang w:val="en-US" w:eastAsia="zh-CN"/>
        </w:rPr>
        <w:t>2023年项目支出绩效评价。</w:t>
      </w:r>
      <w:r>
        <w:rPr>
          <w:rFonts w:hint="eastAsia" w:ascii="仿宋" w:hAnsi="仿宋" w:eastAsia="仿宋" w:cs="仿宋"/>
          <w:color w:val="auto"/>
          <w:sz w:val="32"/>
          <w:szCs w:val="32"/>
          <w:lang w:val="en-US" w:eastAsia="zh-CN"/>
        </w:rPr>
        <w:t>按照自治区财政厅要求，由承担管理职能的部门在单位自评的基础上组织实施。评价对象为本部门重点项目，以5年为周期，实现项目全覆盖。评价重点是决策情况、资金管理和使用情况、相关管理制度办法的健全性及执行情况、实现的产出情况、取得的效益情况等。评价结果通过《项目支出绩效评价报告》反映。2022年项目支出绩效评价自评表697个及自评报告76个。项目支出目标全年预算金额为55134.12万元，项目支出目标实际执行金额47967.66万元，执行率为86.9%，绩效目标总体完成率为91.7%，单位自评平均得分91.3分，财政部门对单位项目支出绩效自评表审核得分96.6分，绩效评价报告评价得分91.3分，财政部门对部门绩效评价报告审核得分99.2分，已按照2022年度支出绩效评价要求提交。</w:t>
      </w:r>
    </w:p>
    <w:p w14:paraId="7E241E9C">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3、</w:t>
      </w:r>
      <w:r>
        <w:rPr>
          <w:rFonts w:hint="eastAsia" w:ascii="仿宋" w:hAnsi="仿宋" w:eastAsia="仿宋" w:cs="仿宋"/>
          <w:b/>
          <w:bCs/>
          <w:color w:val="auto"/>
          <w:sz w:val="32"/>
          <w:szCs w:val="32"/>
          <w:lang w:val="en-US" w:eastAsia="zh-CN"/>
        </w:rPr>
        <w:t>2023年重点项目支出绩效评价。</w:t>
      </w:r>
      <w:r>
        <w:rPr>
          <w:rFonts w:hint="eastAsia" w:ascii="仿宋" w:hAnsi="仿宋" w:eastAsia="仿宋" w:cs="仿宋"/>
          <w:color w:val="auto"/>
          <w:sz w:val="32"/>
          <w:szCs w:val="32"/>
          <w:lang w:val="en-US" w:eastAsia="zh-CN"/>
        </w:rPr>
        <w:t>按照自治区财政厅的要求，由各级财政部门在单位自评、部门评价的基础上组织实施。评价对象为本级预算安排的重点项目。评价重点是决策情况、资金管理和使用情况、相关管理制度办法的健全性及执行情况、实现的产出情况、取得的效益情况等。评价结果通过《项目支出绩效评价报告》反映。以下为我县选取的5个重点评价项目，总金额为11285.11万元，涉及实施单位6个，具体情况如下：</w:t>
      </w:r>
    </w:p>
    <w:tbl>
      <w:tblPr>
        <w:tblStyle w:val="9"/>
        <w:tblW w:w="8895" w:type="dxa"/>
        <w:tblInd w:w="-14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68"/>
        <w:gridCol w:w="1102"/>
        <w:gridCol w:w="2880"/>
        <w:gridCol w:w="945"/>
        <w:gridCol w:w="795"/>
        <w:gridCol w:w="825"/>
        <w:gridCol w:w="720"/>
        <w:gridCol w:w="1260"/>
      </w:tblGrid>
      <w:tr w14:paraId="790E9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2" w:hRule="atLeast"/>
        </w:trPr>
        <w:tc>
          <w:tcPr>
            <w:tcW w:w="889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435364">
            <w:pPr>
              <w:keepNext w:val="0"/>
              <w:keepLines w:val="0"/>
              <w:widowControl/>
              <w:suppressLineNumbers w:val="0"/>
              <w:jc w:val="center"/>
              <w:textAlignment w:val="center"/>
              <w:rPr>
                <w:rFonts w:ascii="仿宋" w:hAnsi="仿宋" w:eastAsia="仿宋" w:cs="仿宋"/>
                <w:i w:val="0"/>
                <w:color w:val="000000"/>
                <w:sz w:val="22"/>
                <w:szCs w:val="22"/>
                <w:u w:val="none"/>
              </w:rPr>
            </w:pPr>
            <w:r>
              <w:rPr>
                <w:rFonts w:hint="eastAsia" w:ascii="仿宋" w:hAnsi="仿宋" w:eastAsia="仿宋" w:cs="仿宋"/>
                <w:b/>
                <w:bCs/>
                <w:i w:val="0"/>
                <w:color w:val="000000"/>
                <w:kern w:val="0"/>
                <w:sz w:val="28"/>
                <w:szCs w:val="28"/>
                <w:u w:val="none"/>
                <w:lang w:val="en-US" w:eastAsia="zh-CN" w:bidi="ar"/>
              </w:rPr>
              <w:t>2023年重点评价清单</w:t>
            </w:r>
          </w:p>
        </w:tc>
      </w:tr>
      <w:tr w14:paraId="655D9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0" w:hRule="atLeast"/>
        </w:trPr>
        <w:tc>
          <w:tcPr>
            <w:tcW w:w="36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C7F53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序号</w:t>
            </w:r>
          </w:p>
        </w:tc>
        <w:tc>
          <w:tcPr>
            <w:tcW w:w="110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88B7E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部门单位</w:t>
            </w:r>
          </w:p>
        </w:tc>
        <w:tc>
          <w:tcPr>
            <w:tcW w:w="288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E009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 xml:space="preserve">项目名称 </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D213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年初预算金额</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AAD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资金执行金额</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100FD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执行率</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DE41A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评价  得分</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6A3CA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项目属性</w:t>
            </w:r>
          </w:p>
        </w:tc>
      </w:tr>
      <w:tr w14:paraId="10D94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36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A9D615">
            <w:pPr>
              <w:jc w:val="center"/>
              <w:rPr>
                <w:rFonts w:hint="eastAsia" w:ascii="仿宋" w:hAnsi="仿宋" w:eastAsia="仿宋" w:cs="仿宋"/>
                <w:b/>
                <w:i w:val="0"/>
                <w:color w:val="000000"/>
                <w:sz w:val="18"/>
                <w:szCs w:val="18"/>
                <w:u w:val="none"/>
              </w:rPr>
            </w:pPr>
          </w:p>
        </w:tc>
        <w:tc>
          <w:tcPr>
            <w:tcW w:w="110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3EBBE9">
            <w:pPr>
              <w:jc w:val="center"/>
              <w:rPr>
                <w:rFonts w:hint="eastAsia" w:ascii="仿宋" w:hAnsi="仿宋" w:eastAsia="仿宋" w:cs="仿宋"/>
                <w:b/>
                <w:i w:val="0"/>
                <w:color w:val="000000"/>
                <w:sz w:val="18"/>
                <w:szCs w:val="18"/>
                <w:u w:val="none"/>
              </w:rPr>
            </w:pPr>
          </w:p>
        </w:tc>
        <w:tc>
          <w:tcPr>
            <w:tcW w:w="288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8CDFEE">
            <w:pPr>
              <w:jc w:val="center"/>
              <w:rPr>
                <w:rFonts w:hint="eastAsia" w:ascii="仿宋" w:hAnsi="仿宋" w:eastAsia="仿宋" w:cs="仿宋"/>
                <w:b/>
                <w:i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E3DDB">
            <w:pPr>
              <w:jc w:val="center"/>
              <w:rPr>
                <w:rFonts w:hint="eastAsia" w:ascii="仿宋" w:hAnsi="仿宋" w:eastAsia="仿宋" w:cs="仿宋"/>
                <w:b/>
                <w:i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C8C542">
            <w:pPr>
              <w:jc w:val="center"/>
              <w:rPr>
                <w:rFonts w:hint="eastAsia" w:ascii="仿宋" w:hAnsi="仿宋" w:eastAsia="仿宋" w:cs="仿宋"/>
                <w:b/>
                <w:i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F4CF0B">
            <w:pPr>
              <w:jc w:val="center"/>
              <w:rPr>
                <w:rFonts w:hint="eastAsia" w:ascii="仿宋" w:hAnsi="仿宋" w:eastAsia="仿宋" w:cs="仿宋"/>
                <w:b/>
                <w:i w:val="0"/>
                <w:color w:val="000000"/>
                <w:sz w:val="18"/>
                <w:szCs w:val="18"/>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83F4B3">
            <w:pPr>
              <w:jc w:val="center"/>
              <w:rPr>
                <w:rFonts w:hint="eastAsia" w:ascii="仿宋" w:hAnsi="仿宋" w:eastAsia="仿宋" w:cs="仿宋"/>
                <w:b/>
                <w:i w:val="0"/>
                <w:color w:val="000000"/>
                <w:sz w:val="18"/>
                <w:szCs w:val="18"/>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4B8FA8">
            <w:pPr>
              <w:jc w:val="center"/>
              <w:rPr>
                <w:rFonts w:hint="eastAsia" w:ascii="仿宋" w:hAnsi="仿宋" w:eastAsia="仿宋" w:cs="仿宋"/>
                <w:b/>
                <w:i w:val="0"/>
                <w:color w:val="000000"/>
                <w:sz w:val="18"/>
                <w:szCs w:val="18"/>
                <w:u w:val="none"/>
              </w:rPr>
            </w:pPr>
          </w:p>
        </w:tc>
      </w:tr>
      <w:tr w14:paraId="6D7E5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5" w:hRule="atLeast"/>
        </w:trPr>
        <w:tc>
          <w:tcPr>
            <w:tcW w:w="3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8674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39BA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民丰县住</w:t>
            </w:r>
            <w:r>
              <w:rPr>
                <w:rFonts w:hint="eastAsia" w:asciiTheme="minorEastAsia" w:hAnsiTheme="minorEastAsia" w:cstheme="minorEastAsia"/>
                <w:i w:val="0"/>
                <w:color w:val="000000"/>
                <w:kern w:val="0"/>
                <w:sz w:val="20"/>
                <w:szCs w:val="20"/>
                <w:u w:val="none"/>
                <w:lang w:val="en-US" w:eastAsia="zh-CN" w:bidi="ar"/>
              </w:rPr>
              <w:t xml:space="preserve"> </w:t>
            </w:r>
            <w:r>
              <w:rPr>
                <w:rFonts w:hint="eastAsia" w:asciiTheme="minorEastAsia" w:hAnsiTheme="minorEastAsia" w:eastAsiaTheme="minorEastAsia" w:cstheme="minorEastAsia"/>
                <w:i w:val="0"/>
                <w:color w:val="000000"/>
                <w:kern w:val="0"/>
                <w:sz w:val="20"/>
                <w:szCs w:val="20"/>
                <w:u w:val="none"/>
                <w:lang w:val="en-US" w:eastAsia="zh-CN" w:bidi="ar"/>
              </w:rPr>
              <w:t>房和城乡</w:t>
            </w:r>
            <w:r>
              <w:rPr>
                <w:rFonts w:hint="eastAsia" w:asciiTheme="minorEastAsia" w:hAnsiTheme="minorEastAsia" w:cstheme="minorEastAsia"/>
                <w:i w:val="0"/>
                <w:color w:val="000000"/>
                <w:kern w:val="0"/>
                <w:sz w:val="20"/>
                <w:szCs w:val="20"/>
                <w:u w:val="none"/>
                <w:lang w:val="en-US" w:eastAsia="zh-CN" w:bidi="ar"/>
              </w:rPr>
              <w:t xml:space="preserve"> </w:t>
            </w:r>
            <w:r>
              <w:rPr>
                <w:rFonts w:hint="eastAsia" w:asciiTheme="minorEastAsia" w:hAnsiTheme="minorEastAsia" w:eastAsiaTheme="minorEastAsia" w:cstheme="minorEastAsia"/>
                <w:i w:val="0"/>
                <w:color w:val="000000"/>
                <w:kern w:val="0"/>
                <w:sz w:val="20"/>
                <w:szCs w:val="20"/>
                <w:u w:val="none"/>
                <w:lang w:val="en-US" w:eastAsia="zh-CN" w:bidi="ar"/>
              </w:rPr>
              <w:t>建设局</w:t>
            </w:r>
          </w:p>
        </w:tc>
        <w:tc>
          <w:tcPr>
            <w:tcW w:w="2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9453E">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民丰县污水处理厂日常运营管理采购服务项目（服务费）</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492646">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881AA7">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B08F2C">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100.00%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7AA54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99.37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0672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政府采购服务</w:t>
            </w:r>
          </w:p>
        </w:tc>
      </w:tr>
      <w:tr w14:paraId="1BAE1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5" w:hRule="atLeast"/>
        </w:trPr>
        <w:tc>
          <w:tcPr>
            <w:tcW w:w="3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6BF69E">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7DBD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民丰县</w:t>
            </w:r>
            <w:r>
              <w:rPr>
                <w:rFonts w:hint="eastAsia" w:asciiTheme="minorEastAsia" w:hAnsiTheme="minorEastAsia" w:cstheme="minorEastAsia"/>
                <w:i w:val="0"/>
                <w:color w:val="000000"/>
                <w:kern w:val="0"/>
                <w:sz w:val="20"/>
                <w:szCs w:val="20"/>
                <w:u w:val="none"/>
                <w:lang w:val="en-US" w:eastAsia="zh-CN" w:bidi="ar"/>
              </w:rPr>
              <w:t xml:space="preserve">   </w:t>
            </w:r>
            <w:r>
              <w:rPr>
                <w:rFonts w:hint="eastAsia" w:asciiTheme="minorEastAsia" w:hAnsiTheme="minorEastAsia" w:eastAsiaTheme="minorEastAsia" w:cstheme="minorEastAsia"/>
                <w:i w:val="0"/>
                <w:color w:val="000000"/>
                <w:kern w:val="0"/>
                <w:sz w:val="20"/>
                <w:szCs w:val="20"/>
                <w:u w:val="none"/>
                <w:lang w:val="en-US" w:eastAsia="zh-CN" w:bidi="ar"/>
              </w:rPr>
              <w:t>民政局</w:t>
            </w:r>
          </w:p>
        </w:tc>
        <w:tc>
          <w:tcPr>
            <w:tcW w:w="2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330E8">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2023年困难群众救助资金</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C4B9C8">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940</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D675D6">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928.56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95797E">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98.78%</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784B5E">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96.49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0262BF">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一般公共预算</w:t>
            </w:r>
          </w:p>
        </w:tc>
      </w:tr>
      <w:tr w14:paraId="0DE86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69" w:hRule="atLeast"/>
        </w:trPr>
        <w:tc>
          <w:tcPr>
            <w:tcW w:w="3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EB72E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F470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民丰县文化体育广播电视和旅游局</w:t>
            </w:r>
          </w:p>
        </w:tc>
        <w:tc>
          <w:tcPr>
            <w:tcW w:w="2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ACB8C">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2023年中央专项彩票公益金支持地方社会公益事业发展（体育健身）资金和地财综[2022]20号</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FD7296">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300</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16F53">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281.17</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A54D9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93.72%</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66B92E">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96.42</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E2587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政府性基金</w:t>
            </w:r>
          </w:p>
        </w:tc>
      </w:tr>
      <w:tr w14:paraId="211C2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60" w:hRule="atLeast"/>
        </w:trPr>
        <w:tc>
          <w:tcPr>
            <w:tcW w:w="3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3B6DB7">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A868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民丰县农</w:t>
            </w:r>
            <w:r>
              <w:rPr>
                <w:rFonts w:hint="eastAsia" w:asciiTheme="minorEastAsia" w:hAnsiTheme="minorEastAsia" w:cstheme="minorEastAsia"/>
                <w:i w:val="0"/>
                <w:color w:val="000000"/>
                <w:kern w:val="0"/>
                <w:sz w:val="20"/>
                <w:szCs w:val="20"/>
                <w:u w:val="none"/>
                <w:lang w:val="en-US" w:eastAsia="zh-CN" w:bidi="ar"/>
              </w:rPr>
              <w:t xml:space="preserve"> </w:t>
            </w:r>
            <w:r>
              <w:rPr>
                <w:rFonts w:hint="eastAsia" w:asciiTheme="minorEastAsia" w:hAnsiTheme="minorEastAsia" w:eastAsiaTheme="minorEastAsia" w:cstheme="minorEastAsia"/>
                <w:i w:val="0"/>
                <w:color w:val="000000"/>
                <w:kern w:val="0"/>
                <w:sz w:val="20"/>
                <w:szCs w:val="20"/>
                <w:u w:val="none"/>
                <w:lang w:val="en-US" w:eastAsia="zh-CN" w:bidi="ar"/>
              </w:rPr>
              <w:t>业</w:t>
            </w:r>
            <w:r>
              <w:rPr>
                <w:rFonts w:hint="eastAsia" w:asciiTheme="minorEastAsia" w:hAnsiTheme="minorEastAsia" w:cstheme="minorEastAsia"/>
                <w:i w:val="0"/>
                <w:color w:val="000000"/>
                <w:kern w:val="0"/>
                <w:sz w:val="20"/>
                <w:szCs w:val="20"/>
                <w:u w:val="none"/>
                <w:lang w:val="en-US" w:eastAsia="zh-CN" w:bidi="ar"/>
              </w:rPr>
              <w:t>农村</w:t>
            </w:r>
            <w:r>
              <w:rPr>
                <w:rFonts w:hint="eastAsia" w:asciiTheme="minorEastAsia" w:hAnsiTheme="minorEastAsia" w:eastAsiaTheme="minorEastAsia" w:cstheme="minorEastAsia"/>
                <w:i w:val="0"/>
                <w:color w:val="000000"/>
                <w:kern w:val="0"/>
                <w:sz w:val="20"/>
                <w:szCs w:val="20"/>
                <w:u w:val="none"/>
                <w:lang w:val="en-US" w:eastAsia="zh-CN" w:bidi="ar"/>
              </w:rPr>
              <w:t>和</w:t>
            </w:r>
            <w:r>
              <w:rPr>
                <w:rFonts w:hint="eastAsia" w:asciiTheme="minorEastAsia" w:hAnsiTheme="minorEastAsia" w:cstheme="minorEastAsia"/>
                <w:i w:val="0"/>
                <w:color w:val="000000"/>
                <w:kern w:val="0"/>
                <w:sz w:val="20"/>
                <w:szCs w:val="20"/>
                <w:u w:val="none"/>
                <w:lang w:val="en-US" w:eastAsia="zh-CN" w:bidi="ar"/>
              </w:rPr>
              <w:t xml:space="preserve"> </w:t>
            </w:r>
            <w:r>
              <w:rPr>
                <w:rFonts w:hint="eastAsia" w:asciiTheme="minorEastAsia" w:hAnsiTheme="minorEastAsia" w:eastAsiaTheme="minorEastAsia" w:cstheme="minorEastAsia"/>
                <w:i w:val="0"/>
                <w:color w:val="000000"/>
                <w:kern w:val="0"/>
                <w:sz w:val="20"/>
                <w:szCs w:val="20"/>
                <w:u w:val="none"/>
                <w:lang w:val="en-US" w:eastAsia="zh-CN" w:bidi="ar"/>
              </w:rPr>
              <w:t>水利局</w:t>
            </w:r>
          </w:p>
        </w:tc>
        <w:tc>
          <w:tcPr>
            <w:tcW w:w="2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96136">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2023年民丰县农业</w:t>
            </w:r>
            <w:r>
              <w:rPr>
                <w:rFonts w:hint="eastAsia" w:asciiTheme="minorEastAsia" w:hAnsiTheme="minorEastAsia" w:cstheme="minorEastAsia"/>
                <w:i w:val="0"/>
                <w:color w:val="000000"/>
                <w:kern w:val="0"/>
                <w:sz w:val="20"/>
                <w:szCs w:val="20"/>
                <w:u w:val="none"/>
                <w:lang w:val="en-US" w:eastAsia="zh-CN" w:bidi="ar"/>
              </w:rPr>
              <w:t>农村</w:t>
            </w:r>
            <w:r>
              <w:rPr>
                <w:rFonts w:hint="eastAsia" w:asciiTheme="minorEastAsia" w:hAnsiTheme="minorEastAsia" w:eastAsiaTheme="minorEastAsia" w:cstheme="minorEastAsia"/>
                <w:i w:val="0"/>
                <w:color w:val="000000"/>
                <w:kern w:val="0"/>
                <w:sz w:val="20"/>
                <w:szCs w:val="20"/>
                <w:u w:val="none"/>
                <w:lang w:val="en-US" w:eastAsia="zh-CN" w:bidi="ar"/>
              </w:rPr>
              <w:t>和水利局部门整体支出</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CE07AC">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10,113.65</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607BFB">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9993.67</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E4447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98.81%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7200A9">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96.97</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AABB0D">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单位部门单位整体</w:t>
            </w:r>
          </w:p>
        </w:tc>
      </w:tr>
      <w:tr w14:paraId="476BE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5" w:hRule="atLeast"/>
        </w:trPr>
        <w:tc>
          <w:tcPr>
            <w:tcW w:w="3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AAA389">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5A0E8">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民丰县尼雅镇人民政府</w:t>
            </w:r>
          </w:p>
        </w:tc>
        <w:tc>
          <w:tcPr>
            <w:tcW w:w="2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599D9">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民丰县尼雅镇农村污水处理项目</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1E2050">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631.46</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524504">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520.22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1671D6">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82.38%</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B0FD2D">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96.99</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0FAC4">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债务</w:t>
            </w:r>
          </w:p>
        </w:tc>
      </w:tr>
    </w:tbl>
    <w:p w14:paraId="5A2EEB5E">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4、绩效目标设置</w:t>
      </w:r>
      <w:r>
        <w:rPr>
          <w:rFonts w:hint="eastAsia" w:ascii="仿宋" w:hAnsi="仿宋" w:eastAsia="仿宋" w:cs="仿宋"/>
          <w:color w:val="auto"/>
          <w:sz w:val="32"/>
          <w:szCs w:val="32"/>
          <w:lang w:val="en-US" w:eastAsia="zh-CN"/>
        </w:rPr>
        <w:t>：按照“谁申请资金谁编制目标”的原则，对81个部门、13.304271亿元整体预算，535个项目、6.027085亿元资金设定预期目标、制定绩效指标、确定绩效指标值，在批复部门预算时，一并批复至部门单位。</w:t>
      </w:r>
    </w:p>
    <w:p w14:paraId="007A10ED">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5、注重过程，开展绩效监控管理</w:t>
      </w:r>
      <w:r>
        <w:rPr>
          <w:rFonts w:hint="eastAsia" w:ascii="仿宋" w:hAnsi="仿宋" w:eastAsia="仿宋" w:cs="仿宋"/>
          <w:color w:val="auto"/>
          <w:sz w:val="32"/>
          <w:szCs w:val="32"/>
          <w:lang w:val="en-US" w:eastAsia="zh-CN"/>
        </w:rPr>
        <w:t>。以2024年度5月、8月为时间节点，对351个项目资金预算执行、绩效目标完成、效益和预期目标偏差等情况进行跟踪监控。</w:t>
      </w:r>
    </w:p>
    <w:p w14:paraId="7AE1AF1C">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月监控共跟踪监控279个项目，其中70个项目无偏差，得分为“优”，涉及资金2.006179亿元；188个项目偏差小于等于20%，得分为“良”，涉及资金2.193062亿元；21个项目偏差大于20%，得分为“差”，涉及资金0.18778亿元。</w:t>
      </w:r>
    </w:p>
    <w:p w14:paraId="183CB93B">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月监控共跟踪监控351个项目，其中102个项目无偏差，得分为“优”，涉及资金0.988877亿元；203个项目偏差小于等于20%，得分为“良”，涉及资金3.314601亿元；46个项目偏差大于20%，得分为“差”，涉及资金0.377299亿元。</w:t>
      </w:r>
    </w:p>
    <w:p w14:paraId="43E8C70E">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民丰县财政局将8月监控结果为“红标”的项目，属于项目预算执行或绩效目标完成情况处于超预警状态，由县财政局督促各部门单位在30日内完成项目资金支付和绩效目标完成等工作，确保项目能顺利完成。</w:t>
      </w:r>
    </w:p>
    <w:p w14:paraId="0061B093">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6、重视结果，实施绩效评价管理。</w:t>
      </w:r>
      <w:r>
        <w:rPr>
          <w:rFonts w:hint="eastAsia" w:ascii="仿宋" w:hAnsi="仿宋" w:eastAsia="仿宋" w:cs="仿宋"/>
          <w:color w:val="auto"/>
          <w:sz w:val="32"/>
          <w:szCs w:val="32"/>
          <w:lang w:val="en-US" w:eastAsia="zh-CN"/>
        </w:rPr>
        <w:t>按照“谁设置目标、谁自评”的原则和“一项目、一评价、一报告”的要求，对2023年697个项目开展单位自评，76个部门/单位开展整体绩效评价、5个项目开展重点绩效评价，5个项目绩效评级均为“优”。</w:t>
      </w:r>
    </w:p>
    <w:p w14:paraId="57FD38A2">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7、认真总结，强化绩效结果应用。</w:t>
      </w:r>
      <w:r>
        <w:rPr>
          <w:rFonts w:hint="eastAsia" w:ascii="仿宋" w:hAnsi="仿宋" w:eastAsia="仿宋" w:cs="仿宋"/>
          <w:color w:val="auto"/>
          <w:sz w:val="32"/>
          <w:szCs w:val="32"/>
          <w:lang w:val="en-US" w:eastAsia="zh-CN"/>
        </w:rPr>
        <w:t>按照“实事求是、公平公正、奖优罚劣”的原则，将项目评价结果应用于2025年预算编制，并将535个项目绩效目标与预决算同步向社会公开，自觉接受社会各界监督。</w:t>
      </w:r>
    </w:p>
    <w:p w14:paraId="44B333DC">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8、抓重点支出，落实关键领域绩效管理。</w:t>
      </w:r>
      <w:r>
        <w:rPr>
          <w:rFonts w:hint="eastAsia" w:ascii="仿宋" w:hAnsi="仿宋" w:eastAsia="仿宋" w:cs="仿宋"/>
          <w:color w:val="auto"/>
          <w:sz w:val="32"/>
          <w:szCs w:val="32"/>
          <w:lang w:val="en-US" w:eastAsia="zh-CN"/>
        </w:rPr>
        <w:t>一是乡村振兴衔接资金绩效管理。按照“特事特办、急事急办”的原则，对39个项目、8.12962157亿元衔接资金的预算执行情况和绩效目标实现程度实行重点监控，确保绩效目标如期实现。二是涉密单位绩效管理。按照“谁申请项目、谁负责执行谁承担绩效”的原则，对33个0.335875亿元涉密项目开展绩效目标设置和资金使用过程监控管理，在有效缓解各级财政支出压力的同时降低了资金使用风险。</w:t>
      </w:r>
    </w:p>
    <w:p w14:paraId="69396E28">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eastAsia="zh-CN"/>
        </w:rPr>
        <w:t>（三）</w:t>
      </w:r>
      <w:r>
        <w:rPr>
          <w:rFonts w:hint="eastAsia" w:ascii="仿宋" w:hAnsi="仿宋" w:eastAsia="仿宋" w:cs="仿宋"/>
          <w:b/>
          <w:bCs/>
          <w:color w:val="auto"/>
          <w:sz w:val="32"/>
          <w:szCs w:val="32"/>
        </w:rPr>
        <w:t>民丰县预算绩效管理保障措施建设情况</w:t>
      </w:r>
    </w:p>
    <w:p w14:paraId="72FFAD97">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1、机构和人员建设情况。</w:t>
      </w:r>
      <w:r>
        <w:rPr>
          <w:rFonts w:hint="eastAsia" w:ascii="仿宋" w:hAnsi="仿宋" w:eastAsia="仿宋" w:cs="仿宋"/>
          <w:color w:val="auto"/>
          <w:sz w:val="32"/>
          <w:szCs w:val="32"/>
        </w:rPr>
        <w:t>目前我县已成立预算绩效管理领导小组，但人员未配备，一直由</w:t>
      </w:r>
      <w:r>
        <w:rPr>
          <w:rFonts w:hint="eastAsia" w:ascii="仿宋" w:hAnsi="仿宋" w:eastAsia="仿宋" w:cs="仿宋"/>
          <w:color w:val="auto"/>
          <w:sz w:val="32"/>
          <w:szCs w:val="32"/>
          <w:lang w:val="en-US" w:eastAsia="zh-CN"/>
        </w:rPr>
        <w:t>各股室主管</w:t>
      </w:r>
      <w:r>
        <w:rPr>
          <w:rFonts w:hint="eastAsia" w:ascii="仿宋" w:hAnsi="仿宋" w:eastAsia="仿宋" w:cs="仿宋"/>
          <w:color w:val="auto"/>
          <w:sz w:val="32"/>
          <w:szCs w:val="32"/>
        </w:rPr>
        <w:t>兼管。　　</w:t>
      </w:r>
    </w:p>
    <w:p w14:paraId="516119F7">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2</w:t>
      </w:r>
      <w:r>
        <w:rPr>
          <w:rFonts w:hint="eastAsia" w:ascii="仿宋" w:hAnsi="仿宋" w:eastAsia="仿宋" w:cs="仿宋"/>
          <w:b/>
          <w:bCs/>
          <w:color w:val="auto"/>
          <w:sz w:val="32"/>
          <w:szCs w:val="32"/>
          <w:highlight w:val="none"/>
        </w:rPr>
        <w:t>、工作经费落实情况。</w:t>
      </w:r>
      <w:r>
        <w:rPr>
          <w:rFonts w:hint="eastAsia" w:ascii="仿宋" w:hAnsi="仿宋" w:eastAsia="仿宋" w:cs="仿宋"/>
          <w:color w:val="auto"/>
          <w:sz w:val="32"/>
          <w:szCs w:val="32"/>
          <w:highlight w:val="none"/>
        </w:rPr>
        <w:t>我</w:t>
      </w:r>
      <w:r>
        <w:rPr>
          <w:rFonts w:hint="eastAsia" w:ascii="仿宋" w:hAnsi="仿宋" w:eastAsia="仿宋" w:cs="仿宋"/>
          <w:color w:val="auto"/>
          <w:sz w:val="32"/>
          <w:szCs w:val="32"/>
          <w:highlight w:val="none"/>
          <w:lang w:val="en-US" w:eastAsia="zh-CN"/>
        </w:rPr>
        <w:t>县</w:t>
      </w:r>
      <w:r>
        <w:rPr>
          <w:rFonts w:hint="eastAsia" w:ascii="仿宋" w:hAnsi="仿宋" w:eastAsia="仿宋" w:cs="仿宋"/>
          <w:color w:val="auto"/>
          <w:sz w:val="32"/>
          <w:szCs w:val="32"/>
          <w:highlight w:val="none"/>
        </w:rPr>
        <w:t>安排预算绩效管理工作经费</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保证预算绩效各工作经费及时到位。</w:t>
      </w:r>
      <w:r>
        <w:rPr>
          <w:rFonts w:hint="eastAsia" w:ascii="仿宋" w:hAnsi="仿宋" w:eastAsia="仿宋" w:cs="仿宋"/>
          <w:color w:val="auto"/>
          <w:sz w:val="32"/>
          <w:szCs w:val="32"/>
          <w:highlight w:val="none"/>
          <w:lang w:val="en-US" w:eastAsia="zh-CN"/>
        </w:rPr>
        <w:t>主要用于保障组织安排培训及日常审核工作。</w:t>
      </w:r>
    </w:p>
    <w:p w14:paraId="484FDB26">
      <w:pPr>
        <w:keepNext w:val="0"/>
        <w:keepLines w:val="0"/>
        <w:pageBreakBefore w:val="0"/>
        <w:widowControl w:val="0"/>
        <w:numPr>
          <w:ilvl w:val="0"/>
          <w:numId w:val="2"/>
        </w:numPr>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信息化建设情况。</w:t>
      </w:r>
      <w:r>
        <w:rPr>
          <w:rFonts w:hint="eastAsia" w:ascii="仿宋" w:hAnsi="仿宋" w:eastAsia="仿宋" w:cs="仿宋"/>
          <w:color w:val="auto"/>
          <w:sz w:val="32"/>
          <w:szCs w:val="32"/>
        </w:rPr>
        <w:t>目前我县已</w:t>
      </w:r>
      <w:r>
        <w:rPr>
          <w:rFonts w:hint="eastAsia" w:ascii="仿宋" w:hAnsi="仿宋" w:eastAsia="仿宋" w:cs="仿宋"/>
          <w:color w:val="auto"/>
          <w:sz w:val="32"/>
          <w:szCs w:val="32"/>
          <w:lang w:eastAsia="zh-CN"/>
        </w:rPr>
        <w:t>运用</w:t>
      </w:r>
      <w:r>
        <w:rPr>
          <w:rFonts w:hint="eastAsia" w:ascii="仿宋" w:hAnsi="仿宋" w:eastAsia="仿宋" w:cs="仿宋"/>
          <w:color w:val="auto"/>
          <w:sz w:val="32"/>
          <w:szCs w:val="32"/>
        </w:rPr>
        <w:t>预算绩效信息管理系统，全县预算单位绩效目标、监控、整体绩效在财政应用大平台预算绩效管理信息系统上报</w:t>
      </w:r>
      <w:r>
        <w:rPr>
          <w:rFonts w:hint="eastAsia" w:ascii="仿宋" w:hAnsi="仿宋" w:eastAsia="仿宋" w:cs="仿宋"/>
          <w:color w:val="auto"/>
          <w:sz w:val="32"/>
          <w:szCs w:val="32"/>
          <w:lang w:eastAsia="zh-CN"/>
        </w:rPr>
        <w:t>。</w:t>
      </w:r>
    </w:p>
    <w:p w14:paraId="2181BE66">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第三方机构库、专家库建设情况。</w:t>
      </w:r>
      <w:r>
        <w:rPr>
          <w:rFonts w:hint="eastAsia" w:ascii="仿宋" w:hAnsi="仿宋" w:eastAsia="仿宋" w:cs="仿宋"/>
          <w:color w:val="auto"/>
          <w:sz w:val="32"/>
          <w:szCs w:val="32"/>
        </w:rPr>
        <w:t>目前民丰县第三方机构只有一家，</w:t>
      </w:r>
      <w:r>
        <w:rPr>
          <w:rFonts w:hint="eastAsia" w:ascii="仿宋" w:hAnsi="仿宋" w:eastAsia="仿宋" w:cs="仿宋"/>
          <w:color w:val="auto"/>
          <w:sz w:val="32"/>
          <w:szCs w:val="32"/>
          <w:lang w:eastAsia="zh-CN"/>
        </w:rPr>
        <w:t>为</w:t>
      </w:r>
      <w:r>
        <w:rPr>
          <w:rFonts w:hint="eastAsia" w:ascii="仿宋" w:hAnsi="仿宋" w:eastAsia="仿宋" w:cs="仿宋"/>
          <w:color w:val="auto"/>
          <w:sz w:val="32"/>
          <w:szCs w:val="32"/>
          <w:lang w:val="en-US" w:eastAsia="zh-CN"/>
        </w:rPr>
        <w:t>新疆天恒会计师事务所</w:t>
      </w:r>
      <w:r>
        <w:rPr>
          <w:rFonts w:hint="eastAsia" w:ascii="仿宋" w:hAnsi="仿宋" w:eastAsia="仿宋" w:cs="仿宋"/>
          <w:color w:val="auto"/>
          <w:sz w:val="32"/>
          <w:szCs w:val="32"/>
        </w:rPr>
        <w:t>，主要聘请第三方审核</w:t>
      </w:r>
      <w:r>
        <w:rPr>
          <w:rFonts w:hint="eastAsia" w:ascii="仿宋" w:hAnsi="仿宋" w:eastAsia="仿宋" w:cs="仿宋"/>
          <w:color w:val="auto"/>
          <w:sz w:val="32"/>
          <w:szCs w:val="32"/>
          <w:lang w:val="en-US" w:eastAsia="zh-CN"/>
        </w:rPr>
        <w:t>预算资金项目绩效目标、监控、自评等指导、审核及重点项目评价工作，包括乡村振兴衔接资金</w:t>
      </w:r>
      <w:r>
        <w:rPr>
          <w:rFonts w:hint="eastAsia" w:ascii="仿宋" w:hAnsi="仿宋" w:eastAsia="仿宋" w:cs="仿宋"/>
          <w:color w:val="auto"/>
          <w:sz w:val="32"/>
          <w:szCs w:val="32"/>
        </w:rPr>
        <w:t>绩效目标及监控及重点项目评价报告。</w:t>
      </w:r>
    </w:p>
    <w:p w14:paraId="31A54909">
      <w:pPr>
        <w:keepNext w:val="0"/>
        <w:keepLines w:val="0"/>
        <w:pageBreakBefore w:val="0"/>
        <w:widowControl w:val="0"/>
        <w:numPr>
          <w:ilvl w:val="0"/>
          <w:numId w:val="0"/>
        </w:numPr>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全面实施预算绩效管理下一步工作措施</w:t>
      </w:r>
    </w:p>
    <w:p w14:paraId="6F3CE50C">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加大绩效考核力度，</w:t>
      </w:r>
      <w:r>
        <w:rPr>
          <w:rFonts w:hint="eastAsia" w:ascii="仿宋" w:hAnsi="仿宋" w:eastAsia="仿宋" w:cs="仿宋"/>
          <w:color w:val="auto"/>
          <w:sz w:val="32"/>
          <w:szCs w:val="32"/>
          <w:lang w:val="en-US" w:eastAsia="zh-CN"/>
        </w:rPr>
        <w:t>加强财政与预算单位沟通，如今</w:t>
      </w:r>
      <w:r>
        <w:rPr>
          <w:rFonts w:hint="eastAsia" w:ascii="仿宋" w:hAnsi="仿宋" w:eastAsia="仿宋" w:cs="仿宋"/>
          <w:color w:val="auto"/>
          <w:sz w:val="32"/>
          <w:szCs w:val="32"/>
        </w:rPr>
        <w:t>各部门预算绩效管理理念开始转变，部门对预算绩效管理的知晓率达到100%，逐渐开始重视财政支出绩效问题，重分配轻管理、重使用轻效益的现象有所遏制，“使用财政资金要进行评价，必须讲究效益”，以绩效为目标、以结果为导向的全过程预算绩效管理理念逐步形成，营造了政府高度重视、部门大力支持、社会广泛参与的财政支出绩效评价工作良好氛围。</w:t>
      </w:r>
    </w:p>
    <w:p w14:paraId="2781BB4D">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1.</w:t>
      </w:r>
      <w:r>
        <w:rPr>
          <w:rFonts w:hint="eastAsia" w:ascii="仿宋" w:hAnsi="仿宋" w:eastAsia="仿宋" w:cs="仿宋"/>
          <w:b/>
          <w:bCs/>
          <w:color w:val="auto"/>
          <w:sz w:val="32"/>
          <w:szCs w:val="32"/>
        </w:rPr>
        <w:t>进一步夯实绩效管理基础</w:t>
      </w:r>
    </w:p>
    <w:p w14:paraId="649D203E">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一是健全</w:t>
      </w:r>
      <w:r>
        <w:rPr>
          <w:rFonts w:hint="eastAsia" w:ascii="仿宋" w:hAnsi="仿宋" w:eastAsia="仿宋" w:cs="仿宋"/>
          <w:color w:val="auto"/>
          <w:sz w:val="32"/>
          <w:szCs w:val="32"/>
          <w:lang w:val="en-US" w:eastAsia="zh-CN"/>
        </w:rPr>
        <w:t>绩效指标体系</w:t>
      </w:r>
      <w:r>
        <w:rPr>
          <w:rFonts w:hint="eastAsia" w:ascii="仿宋" w:hAnsi="仿宋" w:eastAsia="仿宋" w:cs="仿宋"/>
          <w:color w:val="auto"/>
          <w:sz w:val="32"/>
          <w:szCs w:val="32"/>
        </w:rPr>
        <w:t>。在我县现有绩效指标的基础上，</w:t>
      </w:r>
      <w:r>
        <w:rPr>
          <w:rFonts w:hint="eastAsia" w:ascii="仿宋" w:hAnsi="仿宋" w:eastAsia="仿宋" w:cs="仿宋"/>
          <w:color w:val="auto"/>
          <w:sz w:val="32"/>
          <w:szCs w:val="32"/>
          <w:lang w:val="en-US" w:eastAsia="zh-CN"/>
        </w:rPr>
        <w:t>积极组织学习地区下发的《分行业分领域绩效指标体系》，不断提高单位预算绩效目标编制水平，促进预算管理提质增效</w:t>
      </w:r>
      <w:r>
        <w:rPr>
          <w:rFonts w:hint="eastAsia" w:ascii="仿宋" w:hAnsi="仿宋" w:eastAsia="仿宋" w:cs="仿宋"/>
          <w:color w:val="auto"/>
          <w:sz w:val="32"/>
          <w:szCs w:val="32"/>
        </w:rPr>
        <w:t>。二是加强队伍建设、提升队伍素质。作为预算绩效管理工作的组织者、指导者和执行者，自我施压，不断加强学习，通过各种形式的学习培训，提升自身的业务素质。三是注重宣传引导，营造</w:t>
      </w:r>
      <w:r>
        <w:rPr>
          <w:rFonts w:hint="eastAsia" w:ascii="仿宋" w:hAnsi="仿宋" w:eastAsia="仿宋" w:cs="仿宋"/>
          <w:color w:val="auto"/>
          <w:sz w:val="32"/>
          <w:szCs w:val="32"/>
          <w:lang w:val="en-US" w:eastAsia="zh-CN"/>
        </w:rPr>
        <w:t>预算管理</w:t>
      </w:r>
      <w:r>
        <w:rPr>
          <w:rFonts w:hint="eastAsia" w:ascii="仿宋" w:hAnsi="仿宋" w:eastAsia="仿宋" w:cs="仿宋"/>
          <w:color w:val="auto"/>
          <w:sz w:val="32"/>
          <w:szCs w:val="32"/>
        </w:rPr>
        <w:t>工作的良好氛围。积极采取措施，</w:t>
      </w:r>
      <w:r>
        <w:rPr>
          <w:rFonts w:hint="eastAsia" w:ascii="仿宋" w:hAnsi="仿宋" w:eastAsia="仿宋" w:cs="仿宋"/>
          <w:color w:val="auto"/>
          <w:sz w:val="32"/>
          <w:szCs w:val="32"/>
          <w:lang w:val="en-US" w:eastAsia="zh-CN"/>
        </w:rPr>
        <w:t>开展实施全面预算管理</w:t>
      </w:r>
      <w:r>
        <w:rPr>
          <w:rFonts w:hint="eastAsia" w:ascii="仿宋" w:hAnsi="仿宋" w:eastAsia="仿宋" w:cs="仿宋"/>
          <w:color w:val="auto"/>
          <w:sz w:val="32"/>
          <w:szCs w:val="32"/>
        </w:rPr>
        <w:t>工作重要性的宣传。以预算编制、绩效培训、重点评价碰头会等为契机加以强调、使</w:t>
      </w:r>
      <w:r>
        <w:rPr>
          <w:rFonts w:hint="eastAsia" w:ascii="仿宋" w:hAnsi="仿宋" w:eastAsia="仿宋" w:cs="仿宋"/>
          <w:color w:val="auto"/>
          <w:sz w:val="32"/>
          <w:szCs w:val="32"/>
          <w:lang w:val="en-US" w:eastAsia="zh-CN"/>
        </w:rPr>
        <w:t>预算管理</w:t>
      </w:r>
      <w:r>
        <w:rPr>
          <w:rFonts w:hint="eastAsia" w:ascii="仿宋" w:hAnsi="仿宋" w:eastAsia="仿宋" w:cs="仿宋"/>
          <w:color w:val="auto"/>
          <w:sz w:val="32"/>
          <w:szCs w:val="32"/>
        </w:rPr>
        <w:t>理念深入人心，积极争取各预算部门领导对</w:t>
      </w:r>
      <w:r>
        <w:rPr>
          <w:rFonts w:hint="eastAsia" w:ascii="仿宋" w:hAnsi="仿宋" w:eastAsia="仿宋" w:cs="仿宋"/>
          <w:color w:val="auto"/>
          <w:sz w:val="32"/>
          <w:szCs w:val="32"/>
          <w:lang w:val="en-US" w:eastAsia="zh-CN"/>
        </w:rPr>
        <w:t>预算管理</w:t>
      </w:r>
      <w:r>
        <w:rPr>
          <w:rFonts w:hint="eastAsia" w:ascii="仿宋" w:hAnsi="仿宋" w:eastAsia="仿宋" w:cs="仿宋"/>
          <w:color w:val="auto"/>
          <w:sz w:val="32"/>
          <w:szCs w:val="32"/>
        </w:rPr>
        <w:t>工作的重视。同时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注意调动各方面的积极性，善于利用各方面的力量，加强沟通联系，多听取意见，做好解释、说明工作，达到相互理解、配合和支持，形成共识，推动绩效</w:t>
      </w:r>
      <w:r>
        <w:rPr>
          <w:rFonts w:hint="eastAsia" w:ascii="仿宋" w:hAnsi="仿宋" w:eastAsia="仿宋" w:cs="仿宋"/>
          <w:color w:val="auto"/>
          <w:sz w:val="32"/>
          <w:szCs w:val="32"/>
          <w:lang w:val="en-US" w:eastAsia="zh-CN"/>
        </w:rPr>
        <w:t>管理</w:t>
      </w:r>
      <w:r>
        <w:rPr>
          <w:rFonts w:hint="eastAsia" w:ascii="仿宋" w:hAnsi="仿宋" w:eastAsia="仿宋" w:cs="仿宋"/>
          <w:color w:val="auto"/>
          <w:sz w:val="32"/>
          <w:szCs w:val="32"/>
        </w:rPr>
        <w:t>工作的开展。</w:t>
      </w:r>
      <w:r>
        <w:rPr>
          <w:rFonts w:hint="eastAsia" w:ascii="仿宋" w:hAnsi="仿宋" w:eastAsia="仿宋" w:cs="仿宋"/>
          <w:color w:val="auto"/>
          <w:sz w:val="32"/>
          <w:szCs w:val="32"/>
          <w:lang w:val="en-US" w:eastAsia="zh-CN"/>
        </w:rPr>
        <w:t>四是积极引导和规范第三方机构。第三方作为独立的专业机构，已参与到预算管理绩效多个环节，成为推动全面实施预算绩效管理的重要力量，为确保其工作的质量，我县持续加强对第三方机构参与管理的监督。</w:t>
      </w:r>
    </w:p>
    <w:p w14:paraId="4DCAEABE">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继续完善绩效评价结果应用机制</w:t>
      </w:r>
    </w:p>
    <w:p w14:paraId="11D827AB">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一是继续完善绩效评价结果与预算资金安排的有机结合机制。</w:t>
      </w:r>
      <w:r>
        <w:rPr>
          <w:rFonts w:hint="eastAsia" w:ascii="仿宋" w:hAnsi="仿宋" w:eastAsia="仿宋" w:cs="仿宋"/>
          <w:color w:val="auto"/>
          <w:sz w:val="32"/>
          <w:szCs w:val="32"/>
          <w:lang w:eastAsia="zh-CN"/>
        </w:rPr>
        <w:t>将</w:t>
      </w:r>
      <w:r>
        <w:rPr>
          <w:rFonts w:hint="eastAsia" w:ascii="仿宋" w:hAnsi="仿宋" w:eastAsia="仿宋" w:cs="仿宋"/>
          <w:color w:val="auto"/>
          <w:sz w:val="32"/>
          <w:szCs w:val="32"/>
        </w:rPr>
        <w:t>绩效评价结果作为财政部门每年安排部门预算的重要依据，为预算编制提供参考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积极与上级预算主管部门进行对接，形成多方合力，将绩效评价结果与预算编制紧密结合在一起，对绩效评价结果为优的，在下一预算年度的同类项目中优先予以安排；对绩效评价结果为良的项目安排下一预算年度同类项目资金时予以调减或取消，对绩效评价结果为差的项目进行通报批评，同时列入财政审计等部门的重点监督对象，予以监督。另外对于预算单位在绩效评价结果中存在的问题，积极督促落实整改，及时督促部门调整工作计划、绩效目标，加强部门财务管理，切实提高项目资金使用效益。二是继续完善绩效评价结果报送和公开机制。及时对每年的绩效评价结果进行汇总、总结，将绩效评价结果总体情况向县委、县政府报告，对党委政府关心、社会公众关注、对经济社会发展有重要影响的重大项目的绩效评价结果</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向县委、县政府进行专题报告，为政府决策提供参考。另外根据需要，将相关评价结果呈报县人大，并抄送审计、监察等有关部门。同时进一步推进绩效评价结果的外部公开，逐步将绩效评价结果，尤其是一些社会关注高、影响力大的民生项目和重点项目支出绩效情况，按照规定的程序和方式向社会公开，在网上进行公示，回应社会关切，接受社会监督。三是完善绩效评价问责机制。对于预算单位在预算资金的申请、监管、使用过程中，由于故意过失等原因导致的预算资金无效或低效等情况，提出追究相应部门、单位或个人绩效责任的建议，并提交相关职能部门。</w:t>
      </w:r>
    </w:p>
    <w:p w14:paraId="6285457F">
      <w:pPr>
        <w:keepNext w:val="0"/>
        <w:keepLines w:val="0"/>
        <w:pageBreakBefore w:val="0"/>
        <w:widowControl w:val="0"/>
        <w:kinsoku/>
        <w:wordWrap/>
        <w:overflowPunct w:val="0"/>
        <w:topLinePunct/>
        <w:autoSpaceDE/>
        <w:autoSpaceDN w:val="0"/>
        <w:bidi w:val="0"/>
        <w:adjustRightInd/>
        <w:snapToGrid/>
        <w:spacing w:line="540" w:lineRule="exact"/>
        <w:ind w:firstLine="643" w:firstLineChars="200"/>
        <w:jc w:val="both"/>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rPr>
        <w:t>加强绩效评价结果的再监督</w:t>
      </w:r>
    </w:p>
    <w:p w14:paraId="06D697B3">
      <w:pPr>
        <w:keepNext w:val="0"/>
        <w:keepLines w:val="0"/>
        <w:pageBreakBefore w:val="0"/>
        <w:widowControl w:val="0"/>
        <w:kinsoku/>
        <w:wordWrap/>
        <w:overflowPunct w:val="0"/>
        <w:topLinePunct/>
        <w:autoSpaceDE/>
        <w:autoSpaceDN w:val="0"/>
        <w:bidi w:val="0"/>
        <w:adjustRightInd/>
        <w:snapToGrid/>
        <w:spacing w:line="540" w:lineRule="exact"/>
        <w:ind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绩效评价和财政监督检查作为财政监管财政支出的有效手段，具有其各自的特点。财政监督检查侧重于财政支出实施过程的规范性、合法性，绩效评价侧重于财政支出的经济性、效率性、效益性，二者相辅相成、互通有无。为进一步提高绩效评价工作的科学性、公正性，提高绩效评价结果的权威性，将以绩效评价为载体，一方面以财政监督检查为突破口，根据财政重点绩效评价的结果，将评价结果为优或者差的项目，作为财政监督检查的重点对象，重点检查绩效评价工作质量，促进评价结果客观、公正和有效。另一方面</w:t>
      </w:r>
      <w:bookmarkStart w:id="0" w:name="_GoBack"/>
      <w:bookmarkEnd w:id="0"/>
      <w:r>
        <w:rPr>
          <w:rFonts w:hint="eastAsia" w:ascii="仿宋" w:hAnsi="仿宋" w:eastAsia="仿宋" w:cs="仿宋"/>
          <w:color w:val="auto"/>
          <w:sz w:val="32"/>
          <w:szCs w:val="32"/>
        </w:rPr>
        <w:t>不断提高绩效评价的透明度，对社会关注度高的民生项目和重点项目，依法向社会公开，接受群众监督。将绩效监督结果作为县委、县政府决策的重要参考和部门预算资金安排的重要依据。</w:t>
      </w:r>
    </w:p>
    <w:p w14:paraId="4DA00A52"/>
    <w:sectPr>
      <w:footerReference r:id="rId3" w:type="default"/>
      <w:pgSz w:w="11906" w:h="16838"/>
      <w:pgMar w:top="1440" w:right="1689" w:bottom="1440" w:left="1689" w:header="851" w:footer="992" w:gutter="0"/>
      <w:pgNumType w:fmt="decimal" w:start="9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3337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CEF5EA">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CEF5EA">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870922"/>
    <w:multiLevelType w:val="singleLevel"/>
    <w:tmpl w:val="B7870922"/>
    <w:lvl w:ilvl="0" w:tentative="0">
      <w:start w:val="1"/>
      <w:numFmt w:val="decimal"/>
      <w:pStyle w:val="5"/>
      <w:lvlText w:val="%1."/>
      <w:lvlJc w:val="left"/>
      <w:pPr>
        <w:tabs>
          <w:tab w:val="left" w:pos="2040"/>
        </w:tabs>
        <w:ind w:left="2040" w:hanging="360"/>
      </w:pPr>
    </w:lvl>
  </w:abstractNum>
  <w:abstractNum w:abstractNumId="1">
    <w:nsid w:val="5D26C8DB"/>
    <w:multiLevelType w:val="singleLevel"/>
    <w:tmpl w:val="5D26C8DB"/>
    <w:lvl w:ilvl="0" w:tentative="0">
      <w:start w:val="3"/>
      <w:numFmt w:val="decimal"/>
      <w:suff w:val="nothing"/>
      <w:lvlText w:val="%1、"/>
      <w:lvlJc w:val="left"/>
      <w:rPr>
        <w:rFonts w:hint="default"/>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1B39AE"/>
    <w:rsid w:val="054B6454"/>
    <w:rsid w:val="07E45C12"/>
    <w:rsid w:val="0DFA6C7A"/>
    <w:rsid w:val="1292060E"/>
    <w:rsid w:val="17162C84"/>
    <w:rsid w:val="17EF4984"/>
    <w:rsid w:val="2DEC63A2"/>
    <w:rsid w:val="311B39AE"/>
    <w:rsid w:val="33DA3556"/>
    <w:rsid w:val="5C7159CC"/>
    <w:rsid w:val="6FFE4969"/>
    <w:rsid w:val="72663412"/>
    <w:rsid w:val="7422751D"/>
    <w:rsid w:val="78934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line="560" w:lineRule="exact"/>
      <w:ind w:firstLine="570"/>
    </w:pPr>
    <w:rPr>
      <w:sz w:val="24"/>
    </w:rPr>
  </w:style>
  <w:style w:type="paragraph" w:styleId="3">
    <w:name w:val="Body Text First Indent 2"/>
    <w:basedOn w:val="2"/>
    <w:next w:val="4"/>
    <w:qFormat/>
    <w:uiPriority w:val="0"/>
    <w:pPr>
      <w:tabs>
        <w:tab w:val="left" w:pos="180"/>
        <w:tab w:val="left" w:pos="540"/>
      </w:tabs>
      <w:ind w:firstLine="420" w:firstLineChars="200"/>
    </w:pPr>
  </w:style>
  <w:style w:type="paragraph" w:styleId="4">
    <w:name w:val="Plain Text"/>
    <w:basedOn w:val="1"/>
    <w:next w:val="5"/>
    <w:qFormat/>
    <w:uiPriority w:val="0"/>
    <w:rPr>
      <w:rFonts w:ascii="宋体" w:hAnsi="Courier New" w:eastAsia="宋体" w:cs="Times New Roman"/>
      <w:sz w:val="28"/>
      <w:szCs w:val="20"/>
    </w:rPr>
  </w:style>
  <w:style w:type="paragraph" w:styleId="5">
    <w:name w:val="List Number 5"/>
    <w:basedOn w:val="1"/>
    <w:qFormat/>
    <w:uiPriority w:val="0"/>
    <w:pPr>
      <w:numPr>
        <w:ilvl w:val="0"/>
        <w:numId w:val="1"/>
      </w:numPr>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34</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2024-10-15T09:20:00Z</dcterms:created>
  <dc:creator>Administrator</dc:creator>
  <cp:lastModifiedBy>Administrator</cp:lastModifiedBy>
  <dcterms:modified xsi:type="dcterms:W3CDTF">2025-09-18T03:47:36Z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9C9C5B739E1D49AFBA7C358401EB0E05_12</vt:lpwstr>
  </property>
</Properties>
</file>