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6EA8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3" w:firstLineChars="200"/>
        <w:jc w:val="left"/>
        <w:textAlignment w:val="auto"/>
        <w:rPr>
          <w:rFonts w:hint="eastAsia" w:eastAsia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-10"/>
          <w:sz w:val="32"/>
          <w:szCs w:val="32"/>
          <w:u w:val="none"/>
          <w:lang w:val="en-US" w:eastAsia="zh-CN"/>
        </w:rPr>
        <w:t>二、一般公共预算税收返还和转移支付表</w:t>
      </w:r>
    </w:p>
    <w:tbl>
      <w:tblPr>
        <w:tblStyle w:val="8"/>
        <w:tblW w:w="8790" w:type="dxa"/>
        <w:tblInd w:w="-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7"/>
        <w:gridCol w:w="3353"/>
      </w:tblGrid>
      <w:tr w14:paraId="34D5E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7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6C09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2024年度民丰县一般公共预算税收返还转移支付表</w:t>
            </w:r>
          </w:p>
        </w:tc>
      </w:tr>
      <w:tr w14:paraId="6BC84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879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 w14:paraId="1F7A9BDB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单位:万元</w:t>
            </w:r>
          </w:p>
        </w:tc>
      </w:tr>
      <w:tr w14:paraId="63D5E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D56FF">
            <w:pPr>
              <w:widowControl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  <w:t>项目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72C52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  <w:t>民丰县</w:t>
            </w:r>
          </w:p>
        </w:tc>
      </w:tr>
      <w:tr w14:paraId="2A75A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AD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返还性支出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284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7E064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D2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所得税基数返还支出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688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A6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0D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成品油税费改革税收返还支出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B8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66D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42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增值税税收返还支出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DF6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64B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F0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消费税税收返还支出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5E5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A4E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58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增值税“五五分享”税收返还支出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862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DBD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8B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其他返还性支出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19E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CAA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B1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一般性转移支付支出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E8F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09087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38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体制补助支出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3D4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F39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C2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均衡性转移支付支出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4AF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E77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0F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县级基本财力保障机制奖补资金支出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D57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488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8F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结算补助支出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12F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533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FB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资源枯竭型城市转移支付补助支出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18F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3A0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00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企业事业单位划转补助支出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BFB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C91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15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产粮(油)大县奖励资金支出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28C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D44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C0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重点生态功能区转移支付支出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4D8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0CA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5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固定数额补助支出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0A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29B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22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革命老区转移支付支出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131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426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33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民族地区转移支付支出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206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4F2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D4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边境地区转移支付支出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631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28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16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巩固脱贫攻坚成果衔接乡村振兴转移支付支出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7F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EDC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C0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一般公共服务共同财政事权转移支付支出 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368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60F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E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外交共同财政事权转移支付支出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21E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A30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E5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国防共同财政事权转移支付支出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522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3DD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29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公共安全共同财政事权转移支付支出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1ED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37E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11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教育共同财政事权转移支付支出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9B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E89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15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科学技术共同财政事权转移支付支出 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CDE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8F1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13F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文化旅游体育与传媒共同财政事权转移支付支出 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5BA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029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6F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社会保障和就业共同财政事权转移支付支出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C73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7D7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0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医疗卫生共同财政事权转移支付支出 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1E0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9E8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82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节能环保共同财政事权转移支付支出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2A1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213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AA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城乡社区共同财政事权转移支付支出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FA3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8B6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66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农林水共同财政事权转移支付支出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614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333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59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交通运输共同财政事权转移支付支出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932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575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5E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资源勘探工业信息等共同财政事权转移支付支出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E7C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D42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DC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商业服务业等共同财政事权转移支付支出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2E5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7000D5B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sectPr>
          <w:footerReference r:id="rId3" w:type="default"/>
          <w:pgSz w:w="11906" w:h="16838"/>
          <w:pgMar w:top="1327" w:right="1633" w:bottom="1327" w:left="1633" w:header="851" w:footer="992" w:gutter="0"/>
          <w:pgNumType w:fmt="decimal" w:start="13"/>
          <w:cols w:space="425" w:num="1"/>
          <w:docGrid w:type="lines" w:linePitch="312" w:charSpace="0"/>
        </w:sectPr>
      </w:pPr>
    </w:p>
    <w:tbl>
      <w:tblPr>
        <w:tblStyle w:val="8"/>
        <w:tblW w:w="8790" w:type="dxa"/>
        <w:tblInd w:w="-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7"/>
        <w:gridCol w:w="3353"/>
      </w:tblGrid>
      <w:tr w14:paraId="1DFAD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66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金融共同财政事权转移支付支出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E68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C49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CF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自然资源海洋气象等共同财政事权转移支付支出 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6A0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10D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9A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住房保障共同财政事权转移支付支出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E1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7F8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1E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粮油物资储备共同财政事权转移支付支出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6C8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CD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2C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灾害防治及应急管理共同财政事权转移支付支出 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5D9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134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46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其他共同财政事权转移支付支出 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2A1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A6A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56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其他一般性转移支付支出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776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3D9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50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专项转移支付支出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9D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F0F8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CF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一般公共服务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4DF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7B7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47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外交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F86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869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6C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国防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9DB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46A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2D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公共安全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C4D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B38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2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教育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DFE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948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F5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科学技术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49A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A1A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7B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文化旅游体育与传媒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2F0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53D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46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社会保障和就业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C1D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E18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22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卫生健康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FBF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B44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7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节能环保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E6F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479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BD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城乡社区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7A8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E8B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C5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农林水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A1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D7A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D5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交通运输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88A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02C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6C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资源勘探工业信息等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50A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371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12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商业服务业等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E02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4EB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6A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金融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0AC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C4C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A7D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自然资源海洋气象等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41F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FF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31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住房保障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DF6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FFF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4E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粮油物资储备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3B9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17F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3D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灾害防治及应急管理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F10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9AE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4D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其他支出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72F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302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9CF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备注：民丰县无转移支付支出，一般公共预算税收返还转移支付表为空表。</w:t>
            </w:r>
          </w:p>
        </w:tc>
      </w:tr>
    </w:tbl>
    <w:p w14:paraId="5480E12F">
      <w:bookmarkStart w:id="0" w:name="_GoBack"/>
      <w:bookmarkEnd w:id="0"/>
    </w:p>
    <w:sectPr>
      <w:footerReference r:id="rId4" w:type="default"/>
      <w:pgSz w:w="11906" w:h="16838"/>
      <w:pgMar w:top="1327" w:right="1633" w:bottom="1327" w:left="1633" w:header="851" w:footer="992" w:gutter="0"/>
      <w:pgNumType w:fmt="decimal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8693CE">
    <w:pPr>
      <w:pStyle w:val="5"/>
      <w:tabs>
        <w:tab w:val="center" w:pos="4320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71F2D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71F2D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6D6848">
                          <w:pPr>
                            <w:pStyle w:val="5"/>
                            <w:rPr>
                              <w:rFonts w:hint="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13</w:t>
                          </w:r>
                        </w:p>
                        <w:p w14:paraId="3C0C23F5">
                          <w:pPr>
                            <w:pStyle w:val="5"/>
                            <w:rPr>
                              <w:rFonts w:hint="default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6D6848">
                    <w:pPr>
                      <w:pStyle w:val="5"/>
                      <w:rPr>
                        <w:rFonts w:hint="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13</w:t>
                    </w:r>
                  </w:p>
                  <w:p w14:paraId="3C0C23F5">
                    <w:pPr>
                      <w:pStyle w:val="5"/>
                      <w:rPr>
                        <w:rFonts w:hint="default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34535">
    <w:pPr>
      <w:pStyle w:val="5"/>
      <w:tabs>
        <w:tab w:val="center" w:pos="4320"/>
        <w:tab w:val="clear" w:pos="4153"/>
      </w:tabs>
      <w:rPr>
        <w:rFonts w:hint="eastAsia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8FD74D">
                          <w:pPr>
                            <w:pStyle w:val="5"/>
                            <w:rPr>
                              <w:rFonts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14</w:t>
                          </w:r>
                        </w:p>
                        <w:p w14:paraId="6BB61868">
                          <w:pPr>
                            <w:pStyle w:val="5"/>
                            <w:rPr>
                              <w:rFonts w:hint="default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8FD74D">
                    <w:pPr>
                      <w:pStyle w:val="5"/>
                      <w:rPr>
                        <w:rFonts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14</w:t>
                    </w:r>
                  </w:p>
                  <w:p w14:paraId="6BB61868">
                    <w:pPr>
                      <w:pStyle w:val="5"/>
                      <w:rPr>
                        <w:rFonts w:hint="default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66480"/>
    <w:rsid w:val="058D7133"/>
    <w:rsid w:val="1E340FE4"/>
    <w:rsid w:val="233C67EE"/>
    <w:rsid w:val="40666480"/>
    <w:rsid w:val="500120B5"/>
    <w:rsid w:val="5EAF20D8"/>
    <w:rsid w:val="739B5E8A"/>
    <w:rsid w:val="765E42D2"/>
    <w:rsid w:val="7B123570"/>
    <w:rsid w:val="7CA6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0" w:beforeLines="10" w:after="10" w:afterLines="10" w:line="560" w:lineRule="exact"/>
      <w:outlineLvl w:val="2"/>
    </w:pPr>
    <w:rPr>
      <w:rFonts w:eastAsia="楷体_GB2312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line="600" w:lineRule="exact"/>
    </w:pPr>
    <w:rPr>
      <w:rFonts w:eastAsia="仿宋_GB2312" w:cs="Times New Roman"/>
      <w:spacing w:val="-6"/>
      <w:sz w:val="32"/>
      <w:szCs w:val="20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customStyle="1" w:styleId="10">
    <w:name w:val="font11"/>
    <w:qFormat/>
    <w:uiPriority w:val="0"/>
    <w:rPr>
      <w:rFonts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11">
    <w:name w:val="font21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2024-10-15T03:51:00Z</dcterms:created>
  <dc:creator>Administrator</dc:creator>
  <cp:lastModifiedBy>Administrator</cp:lastModifiedBy>
  <dcterms:modified xsi:type="dcterms:W3CDTF">2025-08-08T09:08:19Z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9E7692D85920473A9EF7797F9FD4FAFA_12</vt:lpwstr>
  </property>
</Properties>
</file>