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hd w:val="clear" w:color="auto" w:fill="FFFFFF"/>
        <w:wordWrap w:val="0"/>
        <w:spacing w:before="0" w:beforeAutospacing="0" w:after="0" w:afterAutospacing="0"/>
        <w:jc w:val="center"/>
        <w:rPr>
          <w:rFonts w:ascii="微软雅黑" w:hAnsi="微软雅黑" w:eastAsia="微软雅黑"/>
          <w:color w:val="333333"/>
          <w:sz w:val="45"/>
          <w:szCs w:val="45"/>
        </w:rPr>
      </w:pPr>
      <w:r>
        <w:rPr>
          <w:rFonts w:hint="eastAsia" w:ascii="微软雅黑" w:hAnsi="微软雅黑" w:eastAsia="微软雅黑"/>
          <w:color w:val="333333"/>
          <w:sz w:val="45"/>
          <w:szCs w:val="45"/>
        </w:rPr>
        <w:t>关于20</w:t>
      </w:r>
      <w:r>
        <w:rPr>
          <w:rFonts w:ascii="微软雅黑" w:hAnsi="微软雅黑" w:eastAsia="微软雅黑"/>
          <w:color w:val="333333"/>
          <w:sz w:val="45"/>
          <w:szCs w:val="45"/>
        </w:rPr>
        <w:t>2</w:t>
      </w:r>
      <w:r>
        <w:rPr>
          <w:rFonts w:hint="eastAsia" w:ascii="微软雅黑" w:hAnsi="微软雅黑" w:eastAsia="微软雅黑"/>
          <w:color w:val="333333"/>
          <w:sz w:val="45"/>
          <w:szCs w:val="45"/>
          <w:lang w:val="en-US" w:eastAsia="zh-CN"/>
        </w:rPr>
        <w:t>1</w:t>
      </w:r>
      <w:r>
        <w:rPr>
          <w:rFonts w:hint="eastAsia" w:ascii="微软雅黑" w:hAnsi="微软雅黑" w:eastAsia="微软雅黑"/>
          <w:color w:val="333333"/>
          <w:sz w:val="45"/>
          <w:szCs w:val="45"/>
        </w:rPr>
        <w:t>年民丰县社会保险基金</w:t>
      </w:r>
    </w:p>
    <w:p>
      <w:pPr>
        <w:pStyle w:val="9"/>
        <w:shd w:val="clear" w:color="auto" w:fill="FFFFFF"/>
        <w:wordWrap w:val="0"/>
        <w:spacing w:before="0" w:beforeAutospacing="0" w:after="0" w:afterAutospacing="0"/>
        <w:jc w:val="center"/>
        <w:rPr>
          <w:rFonts w:ascii="微软雅黑" w:hAnsi="微软雅黑" w:eastAsia="微软雅黑"/>
          <w:color w:val="333333"/>
          <w:sz w:val="45"/>
          <w:szCs w:val="45"/>
        </w:rPr>
      </w:pPr>
      <w:r>
        <w:rPr>
          <w:rFonts w:hint="eastAsia" w:ascii="微软雅黑" w:hAnsi="微软雅黑" w:eastAsia="微软雅黑"/>
          <w:color w:val="333333"/>
          <w:sz w:val="45"/>
          <w:szCs w:val="45"/>
        </w:rPr>
        <w:t>预算的说明</w:t>
      </w:r>
    </w:p>
    <w:p>
      <w:pPr>
        <w:pStyle w:val="4"/>
        <w:shd w:val="clear" w:color="auto" w:fill="FFFFFF"/>
        <w:wordWrap w:val="0"/>
        <w:spacing w:before="0" w:beforeAutospacing="0" w:after="0" w:afterAutospacing="0" w:line="378" w:lineRule="atLeast"/>
        <w:ind w:firstLine="640" w:firstLineChars="200"/>
        <w:rPr>
          <w:rFonts w:ascii="仿宋" w:hAnsi="仿宋" w:eastAsia="仿宋"/>
          <w:color w:val="333333"/>
          <w:sz w:val="32"/>
          <w:szCs w:val="32"/>
        </w:rPr>
      </w:pPr>
      <w:r>
        <w:rPr>
          <w:rFonts w:hint="eastAsia" w:ascii="仿宋" w:hAnsi="仿宋" w:eastAsia="仿宋"/>
          <w:color w:val="333333"/>
          <w:sz w:val="32"/>
          <w:szCs w:val="32"/>
        </w:rPr>
        <w:t>民丰县财政局、民丰县人力资源和社会保障局关于202</w:t>
      </w:r>
      <w:r>
        <w:rPr>
          <w:rFonts w:hint="eastAsia" w:ascii="仿宋" w:hAnsi="仿宋" w:eastAsia="仿宋"/>
          <w:color w:val="333333"/>
          <w:sz w:val="32"/>
          <w:szCs w:val="32"/>
          <w:lang w:val="en-US" w:eastAsia="zh-CN"/>
        </w:rPr>
        <w:t>1</w:t>
      </w:r>
      <w:r>
        <w:rPr>
          <w:rFonts w:hint="eastAsia" w:ascii="仿宋" w:hAnsi="仿宋" w:eastAsia="仿宋"/>
          <w:color w:val="333333"/>
          <w:sz w:val="32"/>
          <w:szCs w:val="32"/>
        </w:rPr>
        <w:t>年民丰县社会保险基金预算的报告已报民丰县人民政府和人民代表大会常务委员会同意，现将有关情况公布如下：</w:t>
      </w:r>
    </w:p>
    <w:p>
      <w:pPr>
        <w:pStyle w:val="4"/>
        <w:shd w:val="clear" w:color="auto" w:fill="FFFFFF"/>
        <w:wordWrap w:val="0"/>
        <w:spacing w:before="0" w:beforeAutospacing="0" w:after="0" w:afterAutospacing="0" w:line="378" w:lineRule="atLeast"/>
        <w:ind w:firstLine="480"/>
        <w:rPr>
          <w:rFonts w:ascii="仿宋" w:hAnsi="仿宋" w:eastAsia="仿宋"/>
          <w:color w:val="333333"/>
          <w:sz w:val="32"/>
          <w:szCs w:val="32"/>
        </w:rPr>
      </w:pPr>
      <w:r>
        <w:rPr>
          <w:rFonts w:hint="eastAsia" w:ascii="仿宋" w:hAnsi="仿宋" w:eastAsia="仿宋"/>
          <w:color w:val="333333"/>
          <w:sz w:val="32"/>
          <w:szCs w:val="32"/>
        </w:rPr>
        <w:t>202</w:t>
      </w:r>
      <w:r>
        <w:rPr>
          <w:rFonts w:hint="eastAsia" w:ascii="仿宋" w:hAnsi="仿宋" w:eastAsia="仿宋"/>
          <w:color w:val="333333"/>
          <w:sz w:val="32"/>
          <w:szCs w:val="32"/>
          <w:lang w:val="en-US" w:eastAsia="zh-CN"/>
        </w:rPr>
        <w:t>1</w:t>
      </w:r>
      <w:r>
        <w:rPr>
          <w:rFonts w:hint="eastAsia" w:ascii="仿宋" w:hAnsi="仿宋" w:eastAsia="仿宋"/>
          <w:color w:val="333333"/>
          <w:sz w:val="32"/>
          <w:szCs w:val="32"/>
        </w:rPr>
        <w:t xml:space="preserve">年民丰县社会保险基金预算总收入 </w:t>
      </w:r>
      <w:r>
        <w:rPr>
          <w:rFonts w:hint="eastAsia" w:ascii="仿宋" w:hAnsi="仿宋" w:eastAsia="仿宋"/>
          <w:color w:val="333333"/>
          <w:sz w:val="32"/>
          <w:szCs w:val="32"/>
          <w:lang w:val="en-US" w:eastAsia="zh-CN"/>
        </w:rPr>
        <w:t>20065.95</w:t>
      </w:r>
      <w:r>
        <w:rPr>
          <w:rFonts w:hint="eastAsia" w:ascii="仿宋" w:hAnsi="仿宋" w:eastAsia="仿宋"/>
          <w:color w:val="333333"/>
          <w:sz w:val="32"/>
          <w:szCs w:val="32"/>
        </w:rPr>
        <w:t>万元，总支出</w:t>
      </w:r>
      <w:r>
        <w:rPr>
          <w:rFonts w:hint="eastAsia" w:ascii="仿宋" w:hAnsi="仿宋" w:eastAsia="仿宋"/>
          <w:color w:val="333333"/>
          <w:sz w:val="32"/>
          <w:szCs w:val="32"/>
          <w:lang w:val="en-US" w:eastAsia="zh-CN"/>
        </w:rPr>
        <w:t>19534.49</w:t>
      </w:r>
      <w:r>
        <w:rPr>
          <w:rFonts w:hint="eastAsia" w:ascii="仿宋" w:hAnsi="仿宋" w:eastAsia="仿宋"/>
          <w:color w:val="333333"/>
          <w:sz w:val="32"/>
          <w:szCs w:val="32"/>
        </w:rPr>
        <w:t>万元，本年收支结余</w:t>
      </w:r>
      <w:r>
        <w:rPr>
          <w:rFonts w:hint="eastAsia" w:ascii="仿宋" w:hAnsi="仿宋" w:eastAsia="仿宋"/>
          <w:color w:val="333333"/>
          <w:sz w:val="32"/>
          <w:szCs w:val="32"/>
          <w:lang w:val="en-US" w:eastAsia="zh-CN"/>
        </w:rPr>
        <w:t>531.46</w:t>
      </w:r>
      <w:r>
        <w:rPr>
          <w:rFonts w:hint="eastAsia" w:ascii="仿宋" w:hAnsi="仿宋" w:eastAsia="仿宋"/>
          <w:color w:val="333333"/>
          <w:sz w:val="32"/>
          <w:szCs w:val="32"/>
        </w:rPr>
        <w:t>万元，年末滚存结余</w:t>
      </w:r>
      <w:r>
        <w:rPr>
          <w:rFonts w:hint="eastAsia" w:ascii="仿宋" w:hAnsi="仿宋" w:eastAsia="仿宋"/>
          <w:color w:val="333333"/>
          <w:sz w:val="32"/>
          <w:szCs w:val="32"/>
          <w:lang w:val="en-US" w:eastAsia="zh-CN"/>
        </w:rPr>
        <w:t>3717.19</w:t>
      </w:r>
      <w:r>
        <w:rPr>
          <w:rFonts w:hint="eastAsia" w:ascii="仿宋" w:hAnsi="仿宋" w:eastAsia="仿宋"/>
          <w:color w:val="333333"/>
          <w:sz w:val="32"/>
          <w:szCs w:val="32"/>
        </w:rPr>
        <w:t>万元。分项情况如下：</w:t>
      </w:r>
    </w:p>
    <w:p>
      <w:pPr>
        <w:pStyle w:val="4"/>
        <w:shd w:val="clear" w:color="auto" w:fill="FFFFFF"/>
        <w:wordWrap w:val="0"/>
        <w:spacing w:before="0" w:beforeAutospacing="0" w:after="0" w:afterAutospacing="0" w:line="378" w:lineRule="atLeast"/>
        <w:ind w:firstLine="480"/>
        <w:rPr>
          <w:rFonts w:ascii="仿宋" w:hAnsi="仿宋" w:eastAsia="仿宋"/>
          <w:b/>
          <w:bCs/>
          <w:color w:val="333333"/>
          <w:sz w:val="32"/>
          <w:szCs w:val="32"/>
        </w:rPr>
      </w:pPr>
      <w:r>
        <w:rPr>
          <w:rFonts w:hint="eastAsia" w:ascii="仿宋" w:hAnsi="仿宋" w:eastAsia="仿宋"/>
          <w:b/>
          <w:bCs/>
          <w:color w:val="333333"/>
          <w:sz w:val="32"/>
          <w:szCs w:val="32"/>
        </w:rPr>
        <w:t>一、城乡居民基本养老保险基金预算</w:t>
      </w:r>
    </w:p>
    <w:p>
      <w:pPr>
        <w:pStyle w:val="4"/>
        <w:shd w:val="clear" w:color="auto" w:fill="FFFFFF"/>
        <w:wordWrap w:val="0"/>
        <w:spacing w:before="0" w:beforeAutospacing="0" w:after="0" w:afterAutospacing="0" w:line="378" w:lineRule="atLeast"/>
        <w:ind w:firstLine="480"/>
        <w:rPr>
          <w:rFonts w:hint="eastAsia" w:ascii="仿宋" w:hAnsi="仿宋" w:eastAsia="仿宋"/>
          <w:color w:val="333333"/>
          <w:sz w:val="32"/>
          <w:szCs w:val="32"/>
        </w:rPr>
      </w:pPr>
      <w:r>
        <w:rPr>
          <w:rFonts w:hint="eastAsia" w:ascii="仿宋" w:hAnsi="仿宋" w:eastAsia="仿宋"/>
          <w:color w:val="333333"/>
          <w:sz w:val="32"/>
          <w:szCs w:val="32"/>
        </w:rPr>
        <w:t>本年收入</w:t>
      </w:r>
      <w:r>
        <w:rPr>
          <w:rFonts w:hint="eastAsia" w:ascii="仿宋" w:hAnsi="仿宋" w:eastAsia="仿宋"/>
          <w:color w:val="333333"/>
          <w:sz w:val="32"/>
          <w:szCs w:val="32"/>
          <w:lang w:val="en-US" w:eastAsia="zh-CN"/>
        </w:rPr>
        <w:t>963.35</w:t>
      </w:r>
      <w:r>
        <w:rPr>
          <w:rFonts w:hint="eastAsia" w:ascii="仿宋" w:hAnsi="仿宋" w:eastAsia="仿宋"/>
          <w:color w:val="333333"/>
          <w:sz w:val="32"/>
          <w:szCs w:val="32"/>
        </w:rPr>
        <w:t>万元，其中：社会养老保险费收入</w:t>
      </w:r>
      <w:r>
        <w:rPr>
          <w:rFonts w:hint="eastAsia" w:ascii="仿宋" w:hAnsi="仿宋" w:eastAsia="仿宋"/>
          <w:color w:val="333333"/>
          <w:sz w:val="32"/>
          <w:szCs w:val="32"/>
          <w:lang w:val="en-US" w:eastAsia="zh-CN"/>
        </w:rPr>
        <w:t>436.39</w:t>
      </w:r>
      <w:bookmarkStart w:id="0" w:name="_GoBack"/>
      <w:bookmarkEnd w:id="0"/>
      <w:r>
        <w:rPr>
          <w:rFonts w:hint="eastAsia" w:ascii="仿宋" w:hAnsi="仿宋" w:eastAsia="仿宋"/>
          <w:color w:val="333333"/>
          <w:sz w:val="32"/>
          <w:szCs w:val="32"/>
        </w:rPr>
        <w:t>万元，利息收入</w:t>
      </w:r>
      <w:r>
        <w:rPr>
          <w:rFonts w:hint="eastAsia" w:ascii="仿宋" w:hAnsi="仿宋" w:eastAsia="仿宋"/>
          <w:color w:val="333333"/>
          <w:sz w:val="32"/>
          <w:szCs w:val="32"/>
          <w:lang w:val="en-US" w:eastAsia="zh-CN"/>
        </w:rPr>
        <w:t>7.50</w:t>
      </w:r>
      <w:r>
        <w:rPr>
          <w:rFonts w:hint="eastAsia" w:ascii="仿宋" w:hAnsi="仿宋" w:eastAsia="仿宋"/>
          <w:color w:val="333333"/>
          <w:sz w:val="32"/>
          <w:szCs w:val="32"/>
        </w:rPr>
        <w:t>万元、财政补贴收入</w:t>
      </w:r>
      <w:r>
        <w:rPr>
          <w:rFonts w:hint="eastAsia" w:ascii="仿宋" w:hAnsi="仿宋" w:eastAsia="仿宋"/>
          <w:color w:val="333333"/>
          <w:sz w:val="32"/>
          <w:szCs w:val="32"/>
          <w:lang w:val="en-US" w:eastAsia="zh-CN"/>
        </w:rPr>
        <w:t>497.96</w:t>
      </w:r>
      <w:r>
        <w:rPr>
          <w:rFonts w:hint="eastAsia" w:ascii="仿宋" w:hAnsi="仿宋" w:eastAsia="仿宋"/>
          <w:color w:val="333333"/>
          <w:sz w:val="32"/>
          <w:szCs w:val="32"/>
        </w:rPr>
        <w:t>万元、转移收入</w:t>
      </w:r>
      <w:r>
        <w:rPr>
          <w:rFonts w:hint="eastAsia" w:ascii="仿宋" w:hAnsi="仿宋" w:eastAsia="仿宋"/>
          <w:color w:val="333333"/>
          <w:sz w:val="32"/>
          <w:szCs w:val="32"/>
          <w:lang w:val="en-US" w:eastAsia="zh-CN"/>
        </w:rPr>
        <w:t>4.5</w:t>
      </w:r>
      <w:r>
        <w:rPr>
          <w:rFonts w:hint="eastAsia" w:ascii="仿宋" w:hAnsi="仿宋" w:eastAsia="仿宋"/>
          <w:color w:val="333333"/>
          <w:sz w:val="32"/>
          <w:szCs w:val="32"/>
        </w:rPr>
        <w:t>万元</w:t>
      </w:r>
      <w:r>
        <w:rPr>
          <w:rFonts w:hint="eastAsia" w:ascii="仿宋" w:hAnsi="仿宋" w:eastAsia="仿宋"/>
          <w:color w:val="333333"/>
          <w:sz w:val="32"/>
          <w:szCs w:val="32"/>
          <w:lang w:eastAsia="zh-CN"/>
        </w:rPr>
        <w:t>、</w:t>
      </w:r>
      <w:r>
        <w:rPr>
          <w:rFonts w:hint="eastAsia" w:ascii="仿宋" w:hAnsi="仿宋" w:eastAsia="仿宋"/>
          <w:color w:val="333333"/>
          <w:sz w:val="32"/>
          <w:szCs w:val="32"/>
          <w:lang w:val="en-US" w:eastAsia="zh-CN"/>
        </w:rPr>
        <w:t>委托投资收益17万元</w:t>
      </w:r>
      <w:r>
        <w:rPr>
          <w:rFonts w:hint="eastAsia" w:ascii="仿宋" w:hAnsi="仿宋" w:eastAsia="仿宋"/>
          <w:color w:val="333333"/>
          <w:sz w:val="32"/>
          <w:szCs w:val="32"/>
        </w:rPr>
        <w:t>。</w:t>
      </w:r>
    </w:p>
    <w:p>
      <w:pPr>
        <w:pStyle w:val="4"/>
        <w:shd w:val="clear" w:color="auto" w:fill="FFFFFF"/>
        <w:wordWrap w:val="0"/>
        <w:spacing w:before="0" w:beforeAutospacing="0" w:after="0" w:afterAutospacing="0" w:line="378" w:lineRule="atLeast"/>
        <w:ind w:firstLine="480"/>
        <w:rPr>
          <w:rFonts w:hint="eastAsia" w:ascii="仿宋" w:hAnsi="仿宋" w:eastAsia="仿宋"/>
          <w:color w:val="333333"/>
          <w:sz w:val="32"/>
          <w:szCs w:val="32"/>
        </w:rPr>
      </w:pPr>
      <w:r>
        <w:rPr>
          <w:rFonts w:hint="eastAsia" w:ascii="仿宋" w:hAnsi="仿宋" w:eastAsia="仿宋"/>
          <w:color w:val="333333"/>
          <w:sz w:val="32"/>
          <w:szCs w:val="32"/>
        </w:rPr>
        <w:t>本年支出</w:t>
      </w:r>
      <w:r>
        <w:rPr>
          <w:rFonts w:hint="eastAsia" w:ascii="仿宋" w:hAnsi="仿宋" w:eastAsia="仿宋"/>
          <w:color w:val="333333"/>
          <w:sz w:val="32"/>
          <w:szCs w:val="32"/>
          <w:lang w:val="en-US" w:eastAsia="zh-CN"/>
        </w:rPr>
        <w:t>431.89</w:t>
      </w:r>
      <w:r>
        <w:rPr>
          <w:rFonts w:hint="eastAsia" w:ascii="仿宋" w:hAnsi="仿宋" w:eastAsia="仿宋"/>
          <w:color w:val="333333"/>
          <w:sz w:val="32"/>
          <w:szCs w:val="32"/>
        </w:rPr>
        <w:t>万元，其中：社会保险待遇支出</w:t>
      </w:r>
      <w:r>
        <w:rPr>
          <w:rFonts w:ascii="仿宋" w:hAnsi="仿宋" w:eastAsia="仿宋"/>
          <w:color w:val="333333"/>
          <w:sz w:val="32"/>
          <w:szCs w:val="32"/>
        </w:rPr>
        <w:t>4</w:t>
      </w:r>
      <w:r>
        <w:rPr>
          <w:rFonts w:hint="eastAsia" w:ascii="仿宋" w:hAnsi="仿宋" w:eastAsia="仿宋"/>
          <w:color w:val="333333"/>
          <w:sz w:val="32"/>
          <w:szCs w:val="32"/>
          <w:lang w:val="en-US" w:eastAsia="zh-CN"/>
        </w:rPr>
        <w:t>25.89</w:t>
      </w:r>
      <w:r>
        <w:rPr>
          <w:rFonts w:hint="eastAsia" w:ascii="仿宋" w:hAnsi="仿宋" w:eastAsia="仿宋"/>
          <w:color w:val="333333"/>
          <w:sz w:val="32"/>
          <w:szCs w:val="32"/>
        </w:rPr>
        <w:t>万元、转移支出</w:t>
      </w:r>
      <w:r>
        <w:rPr>
          <w:rFonts w:hint="eastAsia" w:ascii="仿宋" w:hAnsi="仿宋" w:eastAsia="仿宋"/>
          <w:color w:val="333333"/>
          <w:sz w:val="32"/>
          <w:szCs w:val="32"/>
          <w:lang w:val="en-US" w:eastAsia="zh-CN"/>
        </w:rPr>
        <w:t>6</w:t>
      </w:r>
      <w:r>
        <w:rPr>
          <w:rFonts w:ascii="仿宋" w:hAnsi="仿宋" w:eastAsia="仿宋"/>
          <w:color w:val="333333"/>
          <w:sz w:val="32"/>
          <w:szCs w:val="32"/>
        </w:rPr>
        <w:t>.00</w:t>
      </w:r>
      <w:r>
        <w:rPr>
          <w:rFonts w:hint="eastAsia" w:ascii="仿宋" w:hAnsi="仿宋" w:eastAsia="仿宋"/>
          <w:color w:val="333333"/>
          <w:sz w:val="32"/>
          <w:szCs w:val="32"/>
        </w:rPr>
        <w:t>万元。</w:t>
      </w:r>
    </w:p>
    <w:p>
      <w:pPr>
        <w:pStyle w:val="4"/>
        <w:shd w:val="clear" w:color="auto" w:fill="FFFFFF"/>
        <w:wordWrap w:val="0"/>
        <w:spacing w:before="0" w:beforeAutospacing="0" w:after="0" w:afterAutospacing="0" w:line="378" w:lineRule="atLeast"/>
        <w:ind w:firstLine="480"/>
        <w:rPr>
          <w:rFonts w:ascii="仿宋" w:hAnsi="仿宋" w:eastAsia="仿宋"/>
          <w:color w:val="333333"/>
          <w:sz w:val="32"/>
          <w:szCs w:val="32"/>
        </w:rPr>
      </w:pPr>
      <w:r>
        <w:rPr>
          <w:rFonts w:hint="eastAsia" w:ascii="仿宋" w:hAnsi="仿宋" w:eastAsia="仿宋"/>
          <w:color w:val="333333"/>
          <w:sz w:val="32"/>
          <w:szCs w:val="32"/>
        </w:rPr>
        <w:t>本年收支结余</w:t>
      </w:r>
      <w:r>
        <w:rPr>
          <w:rFonts w:hint="eastAsia" w:ascii="仿宋" w:hAnsi="仿宋" w:eastAsia="仿宋"/>
          <w:color w:val="333333"/>
          <w:sz w:val="32"/>
          <w:szCs w:val="32"/>
          <w:lang w:val="en-US" w:eastAsia="zh-CN"/>
        </w:rPr>
        <w:t>531.46</w:t>
      </w:r>
      <w:r>
        <w:rPr>
          <w:rFonts w:hint="eastAsia" w:ascii="仿宋" w:hAnsi="仿宋" w:eastAsia="仿宋"/>
          <w:color w:val="333333"/>
          <w:sz w:val="32"/>
          <w:szCs w:val="32"/>
        </w:rPr>
        <w:t>万元，年末滚存结余</w:t>
      </w:r>
      <w:r>
        <w:rPr>
          <w:rFonts w:hint="eastAsia" w:ascii="仿宋" w:hAnsi="仿宋" w:eastAsia="仿宋"/>
          <w:color w:val="333333"/>
          <w:sz w:val="32"/>
          <w:szCs w:val="32"/>
          <w:lang w:val="en-US" w:eastAsia="zh-CN"/>
        </w:rPr>
        <w:t>3691.91</w:t>
      </w:r>
      <w:r>
        <w:rPr>
          <w:rFonts w:hint="eastAsia" w:ascii="仿宋" w:hAnsi="仿宋" w:eastAsia="仿宋"/>
          <w:color w:val="333333"/>
          <w:sz w:val="32"/>
          <w:szCs w:val="32"/>
        </w:rPr>
        <w:t>万元。</w:t>
      </w:r>
    </w:p>
    <w:p>
      <w:pPr>
        <w:pStyle w:val="4"/>
        <w:shd w:val="clear" w:color="auto" w:fill="FFFFFF"/>
        <w:wordWrap w:val="0"/>
        <w:spacing w:before="0" w:beforeAutospacing="0" w:after="0" w:afterAutospacing="0" w:line="378" w:lineRule="atLeast"/>
        <w:ind w:firstLine="480"/>
        <w:rPr>
          <w:rFonts w:ascii="仿宋" w:hAnsi="仿宋" w:eastAsia="仿宋"/>
          <w:b/>
          <w:bCs/>
          <w:color w:val="333333"/>
          <w:sz w:val="32"/>
          <w:szCs w:val="32"/>
        </w:rPr>
      </w:pPr>
      <w:r>
        <w:rPr>
          <w:rFonts w:hint="eastAsia" w:ascii="仿宋" w:hAnsi="仿宋" w:eastAsia="仿宋"/>
          <w:b/>
          <w:bCs/>
          <w:color w:val="333333"/>
          <w:sz w:val="32"/>
          <w:szCs w:val="32"/>
          <w:lang w:val="en-US" w:eastAsia="zh-CN"/>
        </w:rPr>
        <w:t>二</w:t>
      </w:r>
      <w:r>
        <w:rPr>
          <w:rFonts w:hint="eastAsia" w:ascii="仿宋" w:hAnsi="仿宋" w:eastAsia="仿宋"/>
          <w:b/>
          <w:bCs/>
          <w:color w:val="333333"/>
          <w:sz w:val="32"/>
          <w:szCs w:val="32"/>
        </w:rPr>
        <w:t>、</w:t>
      </w:r>
      <w:r>
        <w:rPr>
          <w:rFonts w:hint="eastAsia" w:ascii="仿宋" w:hAnsi="仿宋" w:eastAsia="仿宋"/>
          <w:b/>
          <w:bCs/>
          <w:color w:val="333333"/>
          <w:sz w:val="32"/>
          <w:szCs w:val="32"/>
          <w:lang w:val="en-US" w:eastAsia="zh-CN"/>
        </w:rPr>
        <w:t>机关事业</w:t>
      </w:r>
      <w:r>
        <w:rPr>
          <w:rFonts w:hint="eastAsia" w:ascii="仿宋" w:hAnsi="仿宋" w:eastAsia="仿宋"/>
          <w:b/>
          <w:bCs/>
          <w:color w:val="333333"/>
          <w:sz w:val="32"/>
          <w:szCs w:val="32"/>
        </w:rPr>
        <w:t>基本养老保险基金预算</w:t>
      </w:r>
    </w:p>
    <w:p>
      <w:pPr>
        <w:pStyle w:val="4"/>
        <w:shd w:val="clear" w:color="auto" w:fill="FFFFFF"/>
        <w:wordWrap w:val="0"/>
        <w:spacing w:before="0" w:beforeAutospacing="0" w:after="0" w:afterAutospacing="0" w:line="378" w:lineRule="atLeast"/>
        <w:ind w:firstLine="480"/>
        <w:rPr>
          <w:rFonts w:hint="eastAsia" w:ascii="仿宋" w:hAnsi="仿宋" w:eastAsia="仿宋"/>
          <w:color w:val="333333"/>
          <w:sz w:val="32"/>
          <w:szCs w:val="32"/>
        </w:rPr>
      </w:pPr>
      <w:r>
        <w:rPr>
          <w:rFonts w:hint="eastAsia" w:ascii="仿宋" w:hAnsi="仿宋" w:eastAsia="仿宋"/>
          <w:color w:val="333333"/>
          <w:sz w:val="32"/>
          <w:szCs w:val="32"/>
        </w:rPr>
        <w:t>本年收入</w:t>
      </w:r>
      <w:r>
        <w:rPr>
          <w:rFonts w:hint="eastAsia" w:ascii="仿宋" w:hAnsi="仿宋" w:eastAsia="仿宋"/>
          <w:color w:val="333333"/>
          <w:sz w:val="32"/>
          <w:szCs w:val="32"/>
          <w:lang w:val="en-US" w:eastAsia="zh-CN"/>
        </w:rPr>
        <w:t>19102.60</w:t>
      </w:r>
      <w:r>
        <w:rPr>
          <w:rFonts w:hint="eastAsia" w:ascii="仿宋" w:hAnsi="仿宋" w:eastAsia="仿宋"/>
          <w:color w:val="333333"/>
          <w:sz w:val="32"/>
          <w:szCs w:val="32"/>
        </w:rPr>
        <w:t>万元，其中：社会养老保险费收入</w:t>
      </w:r>
      <w:r>
        <w:rPr>
          <w:rFonts w:hint="eastAsia" w:ascii="仿宋" w:hAnsi="仿宋" w:eastAsia="仿宋"/>
          <w:color w:val="333333"/>
          <w:sz w:val="32"/>
          <w:szCs w:val="32"/>
          <w:lang w:val="en-US" w:eastAsia="zh-CN"/>
        </w:rPr>
        <w:t>7522.80</w:t>
      </w:r>
      <w:r>
        <w:rPr>
          <w:rFonts w:hint="eastAsia" w:ascii="仿宋" w:hAnsi="仿宋" w:eastAsia="仿宋"/>
          <w:color w:val="333333"/>
          <w:sz w:val="32"/>
          <w:szCs w:val="32"/>
        </w:rPr>
        <w:t>万元，利息收入</w:t>
      </w:r>
      <w:r>
        <w:rPr>
          <w:rFonts w:hint="eastAsia" w:ascii="仿宋" w:hAnsi="仿宋" w:eastAsia="仿宋"/>
          <w:color w:val="333333"/>
          <w:sz w:val="32"/>
          <w:szCs w:val="32"/>
          <w:lang w:val="en-US" w:eastAsia="zh-CN"/>
        </w:rPr>
        <w:t>1.00</w:t>
      </w:r>
      <w:r>
        <w:rPr>
          <w:rFonts w:hint="eastAsia" w:ascii="仿宋" w:hAnsi="仿宋" w:eastAsia="仿宋"/>
          <w:color w:val="333333"/>
          <w:sz w:val="32"/>
          <w:szCs w:val="32"/>
        </w:rPr>
        <w:t>万元、</w:t>
      </w:r>
      <w:r>
        <w:rPr>
          <w:rFonts w:hint="eastAsia" w:ascii="仿宋" w:hAnsi="仿宋" w:eastAsia="仿宋"/>
          <w:color w:val="333333"/>
          <w:sz w:val="32"/>
          <w:szCs w:val="32"/>
          <w:lang w:val="en-US" w:eastAsia="zh-CN"/>
        </w:rPr>
        <w:t>其他收入1.2万元</w:t>
      </w:r>
      <w:r>
        <w:rPr>
          <w:rFonts w:hint="eastAsia" w:ascii="仿宋" w:hAnsi="仿宋" w:eastAsia="仿宋"/>
          <w:color w:val="333333"/>
          <w:sz w:val="32"/>
          <w:szCs w:val="32"/>
        </w:rPr>
        <w:t>。</w:t>
      </w:r>
    </w:p>
    <w:p>
      <w:pPr>
        <w:pStyle w:val="4"/>
        <w:shd w:val="clear" w:color="auto" w:fill="FFFFFF"/>
        <w:wordWrap w:val="0"/>
        <w:spacing w:before="0" w:beforeAutospacing="0" w:after="0" w:afterAutospacing="0" w:line="378" w:lineRule="atLeast"/>
        <w:ind w:firstLine="480"/>
        <w:rPr>
          <w:rFonts w:hint="eastAsia" w:ascii="仿宋" w:hAnsi="仿宋" w:eastAsia="仿宋"/>
          <w:color w:val="333333"/>
          <w:sz w:val="32"/>
          <w:szCs w:val="32"/>
        </w:rPr>
      </w:pPr>
      <w:r>
        <w:rPr>
          <w:rFonts w:hint="eastAsia" w:ascii="仿宋" w:hAnsi="仿宋" w:eastAsia="仿宋"/>
          <w:color w:val="333333"/>
          <w:sz w:val="32"/>
          <w:szCs w:val="32"/>
        </w:rPr>
        <w:t>本年支出</w:t>
      </w:r>
      <w:r>
        <w:rPr>
          <w:rFonts w:hint="eastAsia" w:ascii="仿宋" w:hAnsi="仿宋" w:eastAsia="仿宋"/>
          <w:color w:val="333333"/>
          <w:sz w:val="32"/>
          <w:szCs w:val="32"/>
          <w:lang w:val="en-US" w:eastAsia="zh-CN"/>
        </w:rPr>
        <w:t>19102.60</w:t>
      </w:r>
      <w:r>
        <w:rPr>
          <w:rFonts w:hint="eastAsia" w:ascii="仿宋" w:hAnsi="仿宋" w:eastAsia="仿宋"/>
          <w:color w:val="333333"/>
          <w:sz w:val="32"/>
          <w:szCs w:val="32"/>
        </w:rPr>
        <w:t>万元，其中：社会保险待遇支出</w:t>
      </w:r>
      <w:r>
        <w:rPr>
          <w:rFonts w:hint="eastAsia" w:ascii="仿宋" w:hAnsi="仿宋" w:eastAsia="仿宋"/>
          <w:color w:val="333333"/>
          <w:sz w:val="32"/>
          <w:szCs w:val="32"/>
          <w:lang w:val="en-US" w:eastAsia="zh-CN"/>
        </w:rPr>
        <w:t>11567.60</w:t>
      </w:r>
      <w:r>
        <w:rPr>
          <w:rFonts w:hint="eastAsia" w:ascii="仿宋" w:hAnsi="仿宋" w:eastAsia="仿宋"/>
          <w:color w:val="333333"/>
          <w:sz w:val="32"/>
          <w:szCs w:val="32"/>
        </w:rPr>
        <w:t>万元、转移支出</w:t>
      </w:r>
      <w:r>
        <w:rPr>
          <w:rFonts w:hint="eastAsia" w:ascii="仿宋" w:hAnsi="仿宋" w:eastAsia="仿宋"/>
          <w:color w:val="333333"/>
          <w:sz w:val="32"/>
          <w:szCs w:val="32"/>
          <w:lang w:val="en-US" w:eastAsia="zh-CN"/>
        </w:rPr>
        <w:t>10.00</w:t>
      </w:r>
      <w:r>
        <w:rPr>
          <w:rFonts w:hint="eastAsia" w:ascii="仿宋" w:hAnsi="仿宋" w:eastAsia="仿宋"/>
          <w:color w:val="333333"/>
          <w:sz w:val="32"/>
          <w:szCs w:val="32"/>
        </w:rPr>
        <w:t>万元。</w:t>
      </w:r>
    </w:p>
    <w:p>
      <w:pPr>
        <w:pStyle w:val="4"/>
        <w:shd w:val="clear" w:color="auto" w:fill="FFFFFF"/>
        <w:wordWrap w:val="0"/>
        <w:spacing w:before="0" w:beforeAutospacing="0" w:after="0" w:afterAutospacing="0" w:line="378" w:lineRule="atLeast"/>
        <w:ind w:firstLine="480"/>
        <w:rPr>
          <w:rFonts w:ascii="仿宋" w:hAnsi="仿宋" w:eastAsia="仿宋"/>
          <w:sz w:val="32"/>
          <w:szCs w:val="32"/>
        </w:rPr>
      </w:pPr>
      <w:r>
        <w:rPr>
          <w:rFonts w:hint="eastAsia" w:ascii="仿宋" w:hAnsi="仿宋" w:eastAsia="仿宋"/>
          <w:color w:val="333333"/>
          <w:sz w:val="32"/>
          <w:szCs w:val="32"/>
        </w:rPr>
        <w:t>本年收支结余</w:t>
      </w:r>
      <w:r>
        <w:rPr>
          <w:rFonts w:hint="eastAsia" w:ascii="仿宋" w:hAnsi="仿宋" w:eastAsia="仿宋"/>
          <w:color w:val="333333"/>
          <w:sz w:val="32"/>
          <w:szCs w:val="32"/>
          <w:lang w:val="en-US" w:eastAsia="zh-CN"/>
        </w:rPr>
        <w:t>0.00</w:t>
      </w:r>
      <w:r>
        <w:rPr>
          <w:rFonts w:hint="eastAsia" w:ascii="仿宋" w:hAnsi="仿宋" w:eastAsia="仿宋"/>
          <w:color w:val="333333"/>
          <w:sz w:val="32"/>
          <w:szCs w:val="32"/>
        </w:rPr>
        <w:t>万元，年末滚存结余</w:t>
      </w:r>
      <w:r>
        <w:rPr>
          <w:rFonts w:hint="eastAsia" w:ascii="仿宋" w:hAnsi="仿宋" w:eastAsia="仿宋"/>
          <w:color w:val="333333"/>
          <w:sz w:val="32"/>
          <w:szCs w:val="32"/>
          <w:lang w:val="en-US" w:eastAsia="zh-CN"/>
        </w:rPr>
        <w:t>25.28</w:t>
      </w:r>
      <w:r>
        <w:rPr>
          <w:rFonts w:hint="eastAsia" w:ascii="仿宋" w:hAnsi="仿宋" w:eastAsia="仿宋"/>
          <w:color w:val="333333"/>
          <w:sz w:val="32"/>
          <w:szCs w:val="32"/>
        </w:rPr>
        <w:t>万元。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2CC"/>
    <w:rsid w:val="00027703"/>
    <w:rsid w:val="00055992"/>
    <w:rsid w:val="001074C3"/>
    <w:rsid w:val="001214ED"/>
    <w:rsid w:val="00371B3F"/>
    <w:rsid w:val="004342CC"/>
    <w:rsid w:val="005152E5"/>
    <w:rsid w:val="00793D22"/>
    <w:rsid w:val="00BC3B73"/>
    <w:rsid w:val="00CF47BC"/>
    <w:rsid w:val="00E11CA4"/>
    <w:rsid w:val="00E91870"/>
    <w:rsid w:val="2AAB57A0"/>
    <w:rsid w:val="61343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jc w:val="left"/>
    </w:pPr>
    <w:rPr>
      <w:sz w:val="18"/>
      <w:szCs w:val="18"/>
    </w:rPr>
  </w:style>
  <w:style w:type="paragraph" w:styleId="3">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uiPriority w:val="99"/>
    <w:rPr>
      <w:color w:val="0563C1" w:themeColor="hyperlink"/>
      <w:u w:val="single"/>
      <w14:textFill>
        <w14:solidFill>
          <w14:schemeClr w14:val="hlink"/>
        </w14:solidFill>
      </w14:textFill>
    </w:rPr>
  </w:style>
  <w:style w:type="character" w:customStyle="1" w:styleId="8">
    <w:name w:val="Unresolved Mention"/>
    <w:basedOn w:val="6"/>
    <w:semiHidden/>
    <w:unhideWhenUsed/>
    <w:uiPriority w:val="99"/>
    <w:rPr>
      <w:color w:val="605E5C"/>
      <w:shd w:val="clear" w:color="auto" w:fill="E1DFDD"/>
    </w:rPr>
  </w:style>
  <w:style w:type="paragraph" w:customStyle="1" w:styleId="9">
    <w:name w:val="news-title"/>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0">
    <w:name w:val="f_l"/>
    <w:basedOn w:val="6"/>
    <w:qFormat/>
    <w:uiPriority w:val="0"/>
  </w:style>
  <w:style w:type="paragraph" w:customStyle="1" w:styleId="11">
    <w:name w:val="news-font"/>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2">
    <w:name w:val="页眉 字符"/>
    <w:basedOn w:val="6"/>
    <w:link w:val="3"/>
    <w:uiPriority w:val="99"/>
    <w:rPr>
      <w:sz w:val="18"/>
      <w:szCs w:val="18"/>
    </w:rPr>
  </w:style>
  <w:style w:type="character" w:customStyle="1" w:styleId="13">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97</Words>
  <Characters>554</Characters>
  <Lines>4</Lines>
  <Paragraphs>1</Paragraphs>
  <TotalTime>44</TotalTime>
  <ScaleCrop>false</ScaleCrop>
  <LinksUpToDate>false</LinksUpToDate>
  <CharactersWithSpaces>650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2020-03-31T02:59:00Z</dcterms:created>
  <dc:creator>Administrator</dc:creator>
  <cp:lastModifiedBy>Administrator</cp:lastModifiedBy>
  <cp:lastPrinted>2021-02-08T05:10:00Z</cp:lastPrinted>
  <dcterms:modified xsi:type="dcterms:W3CDTF">2021-02-08T05:33:31Z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